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92F" w:rsidRPr="006A22D3" w:rsidRDefault="002F79ED" w:rsidP="002F79E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F8034BFB-4D7E-457A-B3D3-A9843F591AF7" style="width:455.25pt;height:426pt">
            <v:imagedata r:id="rId11" o:title=""/>
          </v:shape>
        </w:pict>
      </w:r>
    </w:p>
    <w:p w:rsidR="0080592F" w:rsidRPr="006A22D3" w:rsidRDefault="0080592F" w:rsidP="0080592F">
      <w:pPr>
        <w:rPr>
          <w:noProof/>
        </w:rPr>
        <w:sectPr w:rsidR="0080592F" w:rsidRPr="006A22D3" w:rsidSect="002F79ED">
          <w:footerReference w:type="default" r:id="rId12"/>
          <w:pgSz w:w="11907" w:h="16839"/>
          <w:pgMar w:top="1134" w:right="1417" w:bottom="1134" w:left="1417" w:header="709" w:footer="709" w:gutter="0"/>
          <w:pgNumType w:start="0"/>
          <w:cols w:space="720"/>
          <w:docGrid w:linePitch="360"/>
        </w:sectPr>
      </w:pPr>
    </w:p>
    <w:p w:rsidR="001859C1" w:rsidRPr="006A22D3" w:rsidRDefault="0080592F" w:rsidP="001859C1">
      <w:pPr>
        <w:pStyle w:val="Exposdesmotifstitre"/>
        <w:rPr>
          <w:noProof/>
        </w:rPr>
      </w:pPr>
      <w:bookmarkStart w:id="0" w:name="_GoBack"/>
      <w:bookmarkEnd w:id="0"/>
      <w:r w:rsidRPr="006A22D3">
        <w:rPr>
          <w:noProof/>
        </w:rPr>
        <w:lastRenderedPageBreak/>
        <w:t>UZASADNIENIE</w:t>
      </w:r>
    </w:p>
    <w:p w:rsidR="001859C1" w:rsidRPr="006A22D3" w:rsidRDefault="001859C1" w:rsidP="001859C1">
      <w:pPr>
        <w:pStyle w:val="ManualHeading1"/>
        <w:rPr>
          <w:noProof/>
        </w:rPr>
      </w:pPr>
      <w:r w:rsidRPr="006A22D3">
        <w:rPr>
          <w:noProof/>
        </w:rPr>
        <w:t>1.</w:t>
      </w:r>
      <w:r w:rsidRPr="006A22D3">
        <w:rPr>
          <w:noProof/>
        </w:rPr>
        <w:tab/>
        <w:t>KONTEKST WNIOSKU</w:t>
      </w:r>
    </w:p>
    <w:p w:rsidR="001859C1" w:rsidRPr="006A22D3" w:rsidRDefault="001859C1" w:rsidP="00407619">
      <w:pPr>
        <w:pStyle w:val="ManualHeading2"/>
        <w:rPr>
          <w:noProof/>
        </w:rPr>
      </w:pPr>
      <w:r w:rsidRPr="006A22D3">
        <w:rPr>
          <w:noProof/>
        </w:rPr>
        <w:t>Przyczyny</w:t>
      </w:r>
      <w:r w:rsidR="006A22D3" w:rsidRPr="006A22D3">
        <w:rPr>
          <w:noProof/>
        </w:rPr>
        <w:t xml:space="preserve"> i cel</w:t>
      </w:r>
      <w:r w:rsidRPr="006A22D3">
        <w:rPr>
          <w:noProof/>
        </w:rPr>
        <w:t>e wniosku</w:t>
      </w:r>
    </w:p>
    <w:p w:rsidR="001859C1" w:rsidRPr="006A22D3" w:rsidRDefault="001859C1" w:rsidP="00CB3D33">
      <w:pPr>
        <w:rPr>
          <w:noProof/>
        </w:rPr>
      </w:pPr>
      <w:r w:rsidRPr="006A22D3">
        <w:rPr>
          <w:noProof/>
        </w:rPr>
        <w:t>Zachowanie przedsiębiorstw ze wszystkich sektorów gospodarki ma kluczowe znaczenie dla pomyślnego przejścia przez Unię na neutralną dla klimatu</w:t>
      </w:r>
      <w:r w:rsidR="006A22D3" w:rsidRPr="006A22D3">
        <w:rPr>
          <w:noProof/>
        </w:rPr>
        <w:t xml:space="preserve"> i zie</w:t>
      </w:r>
      <w:r w:rsidRPr="006A22D3">
        <w:rPr>
          <w:noProof/>
        </w:rPr>
        <w:t>loną gospodarkę</w:t>
      </w:r>
      <w:r w:rsidRPr="006A22D3">
        <w:rPr>
          <w:rStyle w:val="FootnoteReference"/>
          <w:noProof/>
        </w:rPr>
        <w:footnoteReference w:id="2"/>
      </w:r>
      <w:r w:rsidRPr="006A22D3">
        <w:rPr>
          <w:noProof/>
        </w:rPr>
        <w:t xml:space="preserve"> zgodnie</w:t>
      </w:r>
      <w:r w:rsidR="006A22D3" w:rsidRPr="006A22D3">
        <w:rPr>
          <w:noProof/>
        </w:rPr>
        <w:t xml:space="preserve"> z Eur</w:t>
      </w:r>
      <w:r w:rsidRPr="006A22D3">
        <w:rPr>
          <w:noProof/>
        </w:rPr>
        <w:t>opejskim Zielonym Ładem</w:t>
      </w:r>
      <w:r w:rsidRPr="006A22D3">
        <w:rPr>
          <w:rStyle w:val="FootnoteReference"/>
          <w:noProof/>
        </w:rPr>
        <w:footnoteReference w:id="3"/>
      </w:r>
      <w:r w:rsidRPr="006A22D3">
        <w:rPr>
          <w:noProof/>
        </w:rPr>
        <w:t xml:space="preserve"> oraz dla osiągnięcia wyznaczonych przez ONZ celów zrównoważonego rozwoju,</w:t>
      </w:r>
      <w:r w:rsidR="006A22D3" w:rsidRPr="006A22D3">
        <w:rPr>
          <w:noProof/>
        </w:rPr>
        <w:t xml:space="preserve"> w tym</w:t>
      </w:r>
      <w:r w:rsidRPr="006A22D3">
        <w:rPr>
          <w:noProof/>
        </w:rPr>
        <w:t xml:space="preserve"> celów</w:t>
      </w:r>
      <w:r w:rsidR="006A22D3" w:rsidRPr="006A22D3">
        <w:rPr>
          <w:noProof/>
        </w:rPr>
        <w:t xml:space="preserve"> w zak</w:t>
      </w:r>
      <w:r w:rsidRPr="006A22D3">
        <w:rPr>
          <w:noProof/>
        </w:rPr>
        <w:t>resie praw człowieka</w:t>
      </w:r>
      <w:r w:rsidR="006A22D3" w:rsidRPr="006A22D3">
        <w:rPr>
          <w:noProof/>
        </w:rPr>
        <w:t xml:space="preserve"> i śro</w:t>
      </w:r>
      <w:r w:rsidRPr="006A22D3">
        <w:rPr>
          <w:noProof/>
        </w:rPr>
        <w:t>dowiska. Wiąże się to</w:t>
      </w:r>
      <w:r w:rsidR="006A22D3" w:rsidRPr="006A22D3">
        <w:rPr>
          <w:noProof/>
        </w:rPr>
        <w:t xml:space="preserve"> z kon</w:t>
      </w:r>
      <w:r w:rsidRPr="006A22D3">
        <w:rPr>
          <w:noProof/>
        </w:rPr>
        <w:t>iecznością wdrożenia przez przedsiębiorstwa kompleksowych procedur ograniczania ryzyka związanego</w:t>
      </w:r>
      <w:r w:rsidR="006A22D3" w:rsidRPr="006A22D3">
        <w:rPr>
          <w:noProof/>
        </w:rPr>
        <w:t xml:space="preserve"> z nie</w:t>
      </w:r>
      <w:r w:rsidRPr="006A22D3">
        <w:rPr>
          <w:noProof/>
        </w:rPr>
        <w:t>korzystnymi skutkami dla praw człowieka</w:t>
      </w:r>
      <w:r w:rsidR="006A22D3" w:rsidRPr="006A22D3">
        <w:rPr>
          <w:noProof/>
        </w:rPr>
        <w:t xml:space="preserve"> i dla</w:t>
      </w:r>
      <w:r w:rsidRPr="006A22D3">
        <w:rPr>
          <w:noProof/>
        </w:rPr>
        <w:t xml:space="preserve"> środowiska</w:t>
      </w:r>
      <w:r w:rsidR="006A22D3" w:rsidRPr="006A22D3">
        <w:rPr>
          <w:noProof/>
        </w:rPr>
        <w:t xml:space="preserve"> w ich</w:t>
      </w:r>
      <w:r w:rsidRPr="006A22D3">
        <w:rPr>
          <w:noProof/>
        </w:rPr>
        <w:t xml:space="preserve"> łańcuchach wartości, włączenia aspektów związanych ze zrównoważonym rozwojem do ich systemów ładu korporacyjnego</w:t>
      </w:r>
      <w:r w:rsidR="006A22D3" w:rsidRPr="006A22D3">
        <w:rPr>
          <w:noProof/>
        </w:rPr>
        <w:t xml:space="preserve"> i zar</w:t>
      </w:r>
      <w:r w:rsidRPr="006A22D3">
        <w:rPr>
          <w:noProof/>
        </w:rPr>
        <w:t>ządzania oraz osadzenia decyzji biznesowych</w:t>
      </w:r>
      <w:r w:rsidR="006A22D3" w:rsidRPr="006A22D3">
        <w:rPr>
          <w:noProof/>
        </w:rPr>
        <w:t xml:space="preserve"> w ram</w:t>
      </w:r>
      <w:r w:rsidRPr="006A22D3">
        <w:rPr>
          <w:noProof/>
        </w:rPr>
        <w:t>ach uwzględniających kwestie związane</w:t>
      </w:r>
      <w:r w:rsidR="006A22D3" w:rsidRPr="006A22D3">
        <w:rPr>
          <w:noProof/>
        </w:rPr>
        <w:t xml:space="preserve"> z pra</w:t>
      </w:r>
      <w:r w:rsidRPr="006A22D3">
        <w:rPr>
          <w:noProof/>
        </w:rPr>
        <w:t>wami człowieka, klimatem</w:t>
      </w:r>
      <w:r w:rsidR="006A22D3" w:rsidRPr="006A22D3">
        <w:rPr>
          <w:noProof/>
        </w:rPr>
        <w:t xml:space="preserve"> i wpł</w:t>
      </w:r>
      <w:r w:rsidRPr="006A22D3">
        <w:rPr>
          <w:noProof/>
        </w:rPr>
        <w:t>ywem na środowisko, jak również</w:t>
      </w:r>
      <w:r w:rsidR="006A22D3" w:rsidRPr="006A22D3">
        <w:rPr>
          <w:noProof/>
        </w:rPr>
        <w:t xml:space="preserve"> z odp</w:t>
      </w:r>
      <w:r w:rsidRPr="006A22D3">
        <w:rPr>
          <w:noProof/>
        </w:rPr>
        <w:t>ornością przedsiębiorstwa</w:t>
      </w:r>
      <w:r w:rsidR="006A22D3" w:rsidRPr="006A22D3">
        <w:rPr>
          <w:noProof/>
        </w:rPr>
        <w:t xml:space="preserve"> w dłu</w:t>
      </w:r>
      <w:r w:rsidRPr="006A22D3">
        <w:rPr>
          <w:noProof/>
        </w:rPr>
        <w:t xml:space="preserve">ższej perspektywie. </w:t>
      </w:r>
    </w:p>
    <w:p w:rsidR="006642A7" w:rsidRPr="006A22D3" w:rsidRDefault="001859C1" w:rsidP="006642A7">
      <w:pPr>
        <w:rPr>
          <w:rStyle w:val="normaltextrun"/>
          <w:rFonts w:eastAsia="Times New Roman"/>
          <w:noProof/>
        </w:rPr>
      </w:pPr>
      <w:r w:rsidRPr="006A22D3">
        <w:rPr>
          <w:rStyle w:val="normaltextrun"/>
          <w:noProof/>
        </w:rPr>
        <w:t>Przedsiębiorstwa unijne prowadzą działalność</w:t>
      </w:r>
      <w:r w:rsidR="006A22D3" w:rsidRPr="006A22D3">
        <w:rPr>
          <w:rStyle w:val="normaltextrun"/>
          <w:noProof/>
        </w:rPr>
        <w:t xml:space="preserve"> w zło</w:t>
      </w:r>
      <w:r w:rsidRPr="006A22D3">
        <w:rPr>
          <w:rStyle w:val="normaltextrun"/>
          <w:noProof/>
        </w:rPr>
        <w:t>żonym otoczeniu</w:t>
      </w:r>
      <w:r w:rsidR="006A22D3" w:rsidRPr="006A22D3">
        <w:rPr>
          <w:rStyle w:val="normaltextrun"/>
          <w:noProof/>
        </w:rPr>
        <w:t xml:space="preserve"> i pol</w:t>
      </w:r>
      <w:r w:rsidRPr="006A22D3">
        <w:rPr>
          <w:rStyle w:val="normaltextrun"/>
          <w:noProof/>
        </w:rPr>
        <w:t>egają na globalnych łańcuchach wartości – dotyczy to</w:t>
      </w:r>
      <w:r w:rsidR="006A22D3" w:rsidRPr="006A22D3">
        <w:rPr>
          <w:rStyle w:val="normaltextrun"/>
          <w:noProof/>
        </w:rPr>
        <w:t xml:space="preserve"> w szc</w:t>
      </w:r>
      <w:r w:rsidRPr="006A22D3">
        <w:rPr>
          <w:rStyle w:val="normaltextrun"/>
          <w:noProof/>
        </w:rPr>
        <w:t>zególności większych</w:t>
      </w:r>
      <w:r w:rsidR="006A22D3" w:rsidRPr="006A22D3">
        <w:rPr>
          <w:rStyle w:val="normaltextrun"/>
          <w:noProof/>
        </w:rPr>
        <w:t xml:space="preserve"> z nic</w:t>
      </w:r>
      <w:r w:rsidRPr="006A22D3">
        <w:rPr>
          <w:rStyle w:val="normaltextrun"/>
          <w:noProof/>
        </w:rPr>
        <w:t>h. Biorąc pod uwagę znaczną liczbę ich dostawców</w:t>
      </w:r>
      <w:r w:rsidR="006A22D3" w:rsidRPr="006A22D3">
        <w:rPr>
          <w:rStyle w:val="normaltextrun"/>
          <w:noProof/>
        </w:rPr>
        <w:t xml:space="preserve"> w Uni</w:t>
      </w:r>
      <w:r w:rsidRPr="006A22D3">
        <w:rPr>
          <w:rStyle w:val="normaltextrun"/>
          <w:noProof/>
        </w:rPr>
        <w:t>i</w:t>
      </w:r>
      <w:r w:rsidR="006A22D3" w:rsidRPr="006A22D3">
        <w:rPr>
          <w:rStyle w:val="normaltextrun"/>
          <w:noProof/>
        </w:rPr>
        <w:t xml:space="preserve"> i w pań</w:t>
      </w:r>
      <w:r w:rsidRPr="006A22D3">
        <w:rPr>
          <w:rStyle w:val="normaltextrun"/>
          <w:noProof/>
        </w:rPr>
        <w:t>stwach trzecich oraz ogólną złożoność łańcuchów wartości, przedsiębiorstwa unijne – uwzględniając duże przedsiębiorstwa – mogą doświadczać trudności</w:t>
      </w:r>
      <w:r w:rsidR="006A22D3" w:rsidRPr="006A22D3">
        <w:rPr>
          <w:rStyle w:val="normaltextrun"/>
          <w:noProof/>
        </w:rPr>
        <w:t xml:space="preserve"> w ide</w:t>
      </w:r>
      <w:r w:rsidRPr="006A22D3">
        <w:rPr>
          <w:rStyle w:val="normaltextrun"/>
          <w:noProof/>
        </w:rPr>
        <w:t>ntyfikowaniu</w:t>
      </w:r>
      <w:r w:rsidR="006A22D3" w:rsidRPr="006A22D3">
        <w:rPr>
          <w:rStyle w:val="normaltextrun"/>
          <w:noProof/>
        </w:rPr>
        <w:t xml:space="preserve"> i ogr</w:t>
      </w:r>
      <w:r w:rsidRPr="006A22D3">
        <w:rPr>
          <w:rStyle w:val="normaltextrun"/>
          <w:noProof/>
        </w:rPr>
        <w:t>aniczaniu ryzyka związanego</w:t>
      </w:r>
      <w:r w:rsidR="006A22D3" w:rsidRPr="006A22D3">
        <w:rPr>
          <w:rStyle w:val="normaltextrun"/>
          <w:noProof/>
        </w:rPr>
        <w:t xml:space="preserve"> z pos</w:t>
      </w:r>
      <w:r w:rsidRPr="006A22D3">
        <w:rPr>
          <w:rStyle w:val="normaltextrun"/>
          <w:noProof/>
        </w:rPr>
        <w:t>zanowaniem praw człowieka lub wpływem na środowisko</w:t>
      </w:r>
      <w:r w:rsidR="006A22D3" w:rsidRPr="006A22D3">
        <w:rPr>
          <w:rStyle w:val="normaltextrun"/>
          <w:noProof/>
        </w:rPr>
        <w:t xml:space="preserve"> w swo</w:t>
      </w:r>
      <w:r w:rsidRPr="006A22D3">
        <w:rPr>
          <w:rStyle w:val="normaltextrun"/>
          <w:noProof/>
        </w:rPr>
        <w:t>ich łańcuchach wartości. Identyfikowanie tego rodzaju niekorzystnych skutków</w:t>
      </w:r>
      <w:r w:rsidR="006A22D3" w:rsidRPr="006A22D3">
        <w:rPr>
          <w:rStyle w:val="normaltextrun"/>
          <w:noProof/>
        </w:rPr>
        <w:t xml:space="preserve"> w łań</w:t>
      </w:r>
      <w:r w:rsidRPr="006A22D3">
        <w:rPr>
          <w:rStyle w:val="normaltextrun"/>
          <w:noProof/>
        </w:rPr>
        <w:t>cuchach wartości stanie się łatwiejsze, jeżeli większa liczba przedsiębiorstw będzie dokładać należytej staranności, co przełoży się na udostępnianie większej ilości danych na temat niekorzystnego wpływu na prawa człowieka</w:t>
      </w:r>
      <w:r w:rsidR="006A22D3" w:rsidRPr="006A22D3">
        <w:rPr>
          <w:rStyle w:val="normaltextrun"/>
          <w:noProof/>
        </w:rPr>
        <w:t xml:space="preserve"> i śro</w:t>
      </w:r>
      <w:r w:rsidRPr="006A22D3">
        <w:rPr>
          <w:rStyle w:val="normaltextrun"/>
          <w:noProof/>
        </w:rPr>
        <w:t xml:space="preserve">dowisko. </w:t>
      </w:r>
    </w:p>
    <w:p w:rsidR="0078470C" w:rsidRPr="006A22D3" w:rsidRDefault="00991860" w:rsidP="0078470C">
      <w:pPr>
        <w:rPr>
          <w:noProof/>
          <w:szCs w:val="24"/>
        </w:rPr>
      </w:pPr>
      <w:r w:rsidRPr="006A22D3">
        <w:rPr>
          <w:rStyle w:val="normaltextrun"/>
          <w:noProof/>
        </w:rPr>
        <w:t>Fakt, że gospodarka UE jest powiązana</w:t>
      </w:r>
      <w:r w:rsidR="006A22D3" w:rsidRPr="006A22D3">
        <w:rPr>
          <w:rStyle w:val="normaltextrun"/>
          <w:noProof/>
        </w:rPr>
        <w:t xml:space="preserve"> z mil</w:t>
      </w:r>
      <w:r w:rsidRPr="006A22D3">
        <w:rPr>
          <w:rStyle w:val="normaltextrun"/>
          <w:noProof/>
        </w:rPr>
        <w:t>ionami pracowników na całym świecie za pośrednictwem globalnych łańcuchów wartości, wiąże się</w:t>
      </w:r>
      <w:r w:rsidR="006A22D3" w:rsidRPr="006A22D3">
        <w:rPr>
          <w:rStyle w:val="normaltextrun"/>
          <w:noProof/>
        </w:rPr>
        <w:t xml:space="preserve"> z odp</w:t>
      </w:r>
      <w:r w:rsidRPr="006A22D3">
        <w:rPr>
          <w:rStyle w:val="normaltextrun"/>
          <w:noProof/>
        </w:rPr>
        <w:t>owiedzialnością za eliminowanie niekorzystnych skutków, jakie łańcuchy te wywierają na prawa wspomnianych pracowników. Wyraźne żądanie obywateli Unii, wyrażone</w:t>
      </w:r>
      <w:r w:rsidR="006A22D3" w:rsidRPr="006A22D3">
        <w:rPr>
          <w:rStyle w:val="normaltextrun"/>
          <w:noProof/>
        </w:rPr>
        <w:t xml:space="preserve"> w szc</w:t>
      </w:r>
      <w:r w:rsidRPr="006A22D3">
        <w:rPr>
          <w:rStyle w:val="normaltextrun"/>
          <w:noProof/>
        </w:rPr>
        <w:t>zególności</w:t>
      </w:r>
      <w:r w:rsidR="006A22D3" w:rsidRPr="006A22D3">
        <w:rPr>
          <w:rStyle w:val="normaltextrun"/>
          <w:noProof/>
        </w:rPr>
        <w:t xml:space="preserve"> w ram</w:t>
      </w:r>
      <w:r w:rsidRPr="006A22D3">
        <w:rPr>
          <w:rStyle w:val="normaltextrun"/>
          <w:noProof/>
        </w:rPr>
        <w:t>ach Konferencji</w:t>
      </w:r>
      <w:r w:rsidR="006A22D3" w:rsidRPr="006A22D3">
        <w:rPr>
          <w:rStyle w:val="normaltextrun"/>
          <w:noProof/>
        </w:rPr>
        <w:t xml:space="preserve"> w spr</w:t>
      </w:r>
      <w:r w:rsidRPr="006A22D3">
        <w:rPr>
          <w:rStyle w:val="normaltextrun"/>
          <w:noProof/>
        </w:rPr>
        <w:t>awie przyszłości Europy, dotyczące wkładu gospodarki UE</w:t>
      </w:r>
      <w:r w:rsidR="006A22D3" w:rsidRPr="006A22D3">
        <w:rPr>
          <w:rStyle w:val="normaltextrun"/>
          <w:noProof/>
        </w:rPr>
        <w:t xml:space="preserve"> w eli</w:t>
      </w:r>
      <w:r w:rsidRPr="006A22D3">
        <w:rPr>
          <w:rStyle w:val="normaltextrun"/>
          <w:noProof/>
        </w:rPr>
        <w:t>minowanie tych</w:t>
      </w:r>
      <w:r w:rsidR="006A22D3" w:rsidRPr="006A22D3">
        <w:rPr>
          <w:rStyle w:val="normaltextrun"/>
          <w:noProof/>
        </w:rPr>
        <w:t xml:space="preserve"> i inn</w:t>
      </w:r>
      <w:r w:rsidRPr="006A22D3">
        <w:rPr>
          <w:rStyle w:val="normaltextrun"/>
          <w:noProof/>
        </w:rPr>
        <w:t>ych niekorzystnych skutków znajduje odzwierciedlenie</w:t>
      </w:r>
      <w:r w:rsidR="006A22D3" w:rsidRPr="006A22D3">
        <w:rPr>
          <w:rStyle w:val="normaltextrun"/>
          <w:noProof/>
        </w:rPr>
        <w:t xml:space="preserve"> w ist</w:t>
      </w:r>
      <w:r w:rsidRPr="006A22D3">
        <w:rPr>
          <w:rStyle w:val="normaltextrun"/>
          <w:noProof/>
        </w:rPr>
        <w:t>niejącym lub planowanym ustawodawstwie krajowym dotyczącym należytej staranności</w:t>
      </w:r>
      <w:r w:rsidR="006A22D3" w:rsidRPr="006A22D3">
        <w:rPr>
          <w:rStyle w:val="normaltextrun"/>
          <w:noProof/>
        </w:rPr>
        <w:t xml:space="preserve"> w zak</w:t>
      </w:r>
      <w:r w:rsidRPr="006A22D3">
        <w:rPr>
          <w:rStyle w:val="normaltextrun"/>
          <w:noProof/>
        </w:rPr>
        <w:t>resie praw człowieka</w:t>
      </w:r>
      <w:r w:rsidR="006A22D3" w:rsidRPr="006A22D3">
        <w:rPr>
          <w:rStyle w:val="normaltextrun"/>
          <w:noProof/>
        </w:rPr>
        <w:t xml:space="preserve"> i och</w:t>
      </w:r>
      <w:r w:rsidRPr="006A22D3">
        <w:rPr>
          <w:rStyle w:val="normaltextrun"/>
          <w:noProof/>
        </w:rPr>
        <w:t>rony środowiska</w:t>
      </w:r>
      <w:bookmarkStart w:id="1" w:name="_Ref96003663"/>
      <w:r w:rsidR="0078470C" w:rsidRPr="006A22D3">
        <w:rPr>
          <w:rStyle w:val="FootnoteReference"/>
          <w:rFonts w:eastAsia="Times New Roman"/>
          <w:noProof/>
          <w:lang w:eastAsia="en-GB"/>
        </w:rPr>
        <w:footnoteReference w:id="4"/>
      </w:r>
      <w:bookmarkEnd w:id="1"/>
      <w:r w:rsidRPr="006A22D3">
        <w:rPr>
          <w:rStyle w:val="normaltextrun"/>
          <w:noProof/>
        </w:rPr>
        <w:t>,</w:t>
      </w:r>
      <w:r w:rsidR="006A22D3" w:rsidRPr="006A22D3">
        <w:rPr>
          <w:rStyle w:val="normaltextrun"/>
          <w:noProof/>
        </w:rPr>
        <w:t xml:space="preserve"> w deb</w:t>
      </w:r>
      <w:r w:rsidRPr="006A22D3">
        <w:rPr>
          <w:rStyle w:val="normaltextrun"/>
          <w:noProof/>
        </w:rPr>
        <w:t>atach toczących się na szczeblu krajowym oraz</w:t>
      </w:r>
      <w:r w:rsidR="006A22D3" w:rsidRPr="006A22D3">
        <w:rPr>
          <w:rStyle w:val="normaltextrun"/>
          <w:noProof/>
        </w:rPr>
        <w:t xml:space="preserve"> w wez</w:t>
      </w:r>
      <w:r w:rsidRPr="006A22D3">
        <w:rPr>
          <w:rStyle w:val="normaltextrun"/>
          <w:noProof/>
        </w:rPr>
        <w:t>waniu do działania wystosowanym przez Parlament Europejski</w:t>
      </w:r>
      <w:r w:rsidR="006A22D3" w:rsidRPr="006A22D3">
        <w:rPr>
          <w:rStyle w:val="normaltextrun"/>
          <w:noProof/>
        </w:rPr>
        <w:t xml:space="preserve"> i Rad</w:t>
      </w:r>
      <w:r w:rsidRPr="006A22D3">
        <w:rPr>
          <w:rStyle w:val="normaltextrun"/>
          <w:noProof/>
        </w:rPr>
        <w:t xml:space="preserve">ę. Obydwie te instytucje </w:t>
      </w:r>
      <w:r w:rsidRPr="006A22D3">
        <w:rPr>
          <w:noProof/>
        </w:rPr>
        <w:t>wezwały Komisję do zaproponowania przepisów na szczeblu Unii nakładających międzysektorowe obowiązki</w:t>
      </w:r>
      <w:r w:rsidR="006A22D3" w:rsidRPr="006A22D3">
        <w:rPr>
          <w:noProof/>
        </w:rPr>
        <w:t xml:space="preserve"> w zak</w:t>
      </w:r>
      <w:r w:rsidRPr="006A22D3">
        <w:rPr>
          <w:noProof/>
        </w:rPr>
        <w:t>resie należytej staranności przedsiębiorstw</w:t>
      </w:r>
      <w:r w:rsidR="0078470C" w:rsidRPr="006A22D3">
        <w:rPr>
          <w:rStyle w:val="FootnoteReference"/>
          <w:noProof/>
        </w:rPr>
        <w:footnoteReference w:id="5"/>
      </w:r>
      <w:r w:rsidRPr="006A22D3">
        <w:rPr>
          <w:noProof/>
        </w:rPr>
        <w:t>. We wspólnej deklaracji dotyczącej priorytetów legislacyjnych UE na</w:t>
      </w:r>
      <w:r w:rsidR="00192E90" w:rsidRPr="006A22D3">
        <w:rPr>
          <w:noProof/>
        </w:rPr>
        <w:t> </w:t>
      </w:r>
      <w:r w:rsidRPr="006A22D3">
        <w:rPr>
          <w:noProof/>
        </w:rPr>
        <w:t>2022</w:t>
      </w:r>
      <w:r w:rsidR="00192E90" w:rsidRPr="006A22D3">
        <w:rPr>
          <w:noProof/>
        </w:rPr>
        <w:t> </w:t>
      </w:r>
      <w:r w:rsidRPr="006A22D3">
        <w:rPr>
          <w:noProof/>
        </w:rPr>
        <w:t>r.</w:t>
      </w:r>
      <w:r w:rsidR="0078470C" w:rsidRPr="006A22D3">
        <w:rPr>
          <w:rStyle w:val="FootnoteReference"/>
          <w:noProof/>
        </w:rPr>
        <w:footnoteReference w:id="6"/>
      </w:r>
      <w:r w:rsidRPr="006A22D3">
        <w:rPr>
          <w:noProof/>
        </w:rPr>
        <w:t xml:space="preserve"> Parlament Europejski, Rada Unii Europejskiej</w:t>
      </w:r>
      <w:r w:rsidR="006A22D3" w:rsidRPr="006A22D3">
        <w:rPr>
          <w:noProof/>
        </w:rPr>
        <w:t xml:space="preserve"> i Kom</w:t>
      </w:r>
      <w:r w:rsidRPr="006A22D3">
        <w:rPr>
          <w:noProof/>
        </w:rPr>
        <w:t>isja Europejska zobowiązały się do stworzenia gospodarki służącej ludziom,</w:t>
      </w:r>
      <w:r w:rsidR="006A22D3" w:rsidRPr="006A22D3">
        <w:rPr>
          <w:noProof/>
        </w:rPr>
        <w:t xml:space="preserve"> a tak</w:t>
      </w:r>
      <w:r w:rsidRPr="006A22D3">
        <w:rPr>
          <w:noProof/>
        </w:rPr>
        <w:t>że do udoskonalenia ram regulacyjnych dotyczących zrównoważonego ładu korporacyjnego.</w:t>
      </w:r>
    </w:p>
    <w:p w:rsidR="001859C1" w:rsidRPr="006A22D3" w:rsidRDefault="00643C08" w:rsidP="006642A7">
      <w:pPr>
        <w:rPr>
          <w:rStyle w:val="normaltextrun"/>
          <w:rFonts w:eastAsia="Times New Roman"/>
          <w:noProof/>
        </w:rPr>
      </w:pPr>
      <w:r w:rsidRPr="006A22D3">
        <w:rPr>
          <w:rStyle w:val="normaltextrun"/>
          <w:noProof/>
        </w:rPr>
        <w:t>Korzystając</w:t>
      </w:r>
      <w:r w:rsidR="006A22D3" w:rsidRPr="006A22D3">
        <w:rPr>
          <w:rStyle w:val="normaltextrun"/>
          <w:noProof/>
        </w:rPr>
        <w:t xml:space="preserve"> z prz</w:t>
      </w:r>
      <w:r w:rsidRPr="006A22D3">
        <w:rPr>
          <w:rStyle w:val="normaltextrun"/>
          <w:noProof/>
        </w:rPr>
        <w:t>yjętych na szczeblu międzynarodowym dobrowolnych norm</w:t>
      </w:r>
      <w:r w:rsidR="006A22D3" w:rsidRPr="006A22D3">
        <w:rPr>
          <w:rStyle w:val="normaltextrun"/>
          <w:noProof/>
        </w:rPr>
        <w:t xml:space="preserve"> w zak</w:t>
      </w:r>
      <w:r w:rsidRPr="006A22D3">
        <w:rPr>
          <w:rStyle w:val="normaltextrun"/>
          <w:noProof/>
        </w:rPr>
        <w:t>resie odpowiedzialnego prowadzenia działalności gospodarczej</w:t>
      </w:r>
      <w:bookmarkStart w:id="2" w:name="_Ref96025026"/>
      <w:r w:rsidR="001859C1" w:rsidRPr="006A22D3">
        <w:rPr>
          <w:rStyle w:val="FootnoteReference"/>
          <w:rFonts w:eastAsia="Times New Roman"/>
          <w:noProof/>
          <w:lang w:eastAsia="en-GB"/>
        </w:rPr>
        <w:footnoteReference w:id="7"/>
      </w:r>
      <w:bookmarkEnd w:id="2"/>
      <w:r w:rsidRPr="006A22D3">
        <w:rPr>
          <w:rStyle w:val="normaltextrun"/>
          <w:noProof/>
        </w:rPr>
        <w:t>, coraz większa liczba przedsiębiorstw unijnych podejmuje działania służące zapewnieniu należytej staranności</w:t>
      </w:r>
      <w:r w:rsidR="006A22D3" w:rsidRPr="006A22D3">
        <w:rPr>
          <w:rStyle w:val="normaltextrun"/>
          <w:noProof/>
        </w:rPr>
        <w:t xml:space="preserve"> w odn</w:t>
      </w:r>
      <w:r w:rsidRPr="006A22D3">
        <w:rPr>
          <w:rStyle w:val="normaltextrun"/>
          <w:noProof/>
        </w:rPr>
        <w:t>iesieniu do łańcuchów wartości, aby identyfikować ryzyko</w:t>
      </w:r>
      <w:r w:rsidR="006A22D3" w:rsidRPr="006A22D3">
        <w:rPr>
          <w:rStyle w:val="normaltextrun"/>
          <w:noProof/>
        </w:rPr>
        <w:t xml:space="preserve"> w swo</w:t>
      </w:r>
      <w:r w:rsidRPr="006A22D3">
        <w:rPr>
          <w:rStyle w:val="normaltextrun"/>
          <w:noProof/>
        </w:rPr>
        <w:t>im łańcuchu wartości oraz zwiększać odporność na niespodziewane zmiany</w:t>
      </w:r>
      <w:r w:rsidR="006A22D3" w:rsidRPr="006A22D3">
        <w:rPr>
          <w:rStyle w:val="normaltextrun"/>
          <w:noProof/>
        </w:rPr>
        <w:t xml:space="preserve"> w łań</w:t>
      </w:r>
      <w:r w:rsidRPr="006A22D3">
        <w:rPr>
          <w:rStyle w:val="normaltextrun"/>
          <w:noProof/>
        </w:rPr>
        <w:t>cuchach wartości; niektóre przedsiębiorstwa napotykają jednak również trudności przy próbie wprowadzenia rozwiązań</w:t>
      </w:r>
      <w:r w:rsidR="006A22D3" w:rsidRPr="006A22D3">
        <w:rPr>
          <w:rStyle w:val="normaltextrun"/>
          <w:noProof/>
        </w:rPr>
        <w:t xml:space="preserve"> w zak</w:t>
      </w:r>
      <w:r w:rsidRPr="006A22D3">
        <w:rPr>
          <w:rStyle w:val="normaltextrun"/>
          <w:noProof/>
        </w:rPr>
        <w:t>resie należytej staranności</w:t>
      </w:r>
      <w:r w:rsidR="006A22D3" w:rsidRPr="006A22D3">
        <w:rPr>
          <w:rStyle w:val="normaltextrun"/>
          <w:noProof/>
        </w:rPr>
        <w:t xml:space="preserve"> w swo</w:t>
      </w:r>
      <w:r w:rsidRPr="006A22D3">
        <w:rPr>
          <w:rStyle w:val="normaltextrun"/>
          <w:noProof/>
        </w:rPr>
        <w:t>ich łańcuchach wartości. Takie trudności mogą obejmować na przykład brak jasności prawa, jeżeli chodzi</w:t>
      </w:r>
      <w:r w:rsidR="006A22D3" w:rsidRPr="006A22D3">
        <w:rPr>
          <w:rStyle w:val="normaltextrun"/>
          <w:noProof/>
        </w:rPr>
        <w:t xml:space="preserve"> o obo</w:t>
      </w:r>
      <w:r w:rsidRPr="006A22D3">
        <w:rPr>
          <w:rStyle w:val="normaltextrun"/>
          <w:noProof/>
        </w:rPr>
        <w:t>wiązki</w:t>
      </w:r>
      <w:r w:rsidR="006A22D3" w:rsidRPr="006A22D3">
        <w:rPr>
          <w:rStyle w:val="normaltextrun"/>
          <w:noProof/>
        </w:rPr>
        <w:t xml:space="preserve"> w zak</w:t>
      </w:r>
      <w:r w:rsidRPr="006A22D3">
        <w:rPr>
          <w:rStyle w:val="normaltextrun"/>
          <w:noProof/>
        </w:rPr>
        <w:t>resie należytej staranności przedsiębiorstw, złożoność łańcuchów wartości, presję rynkową, niedobór informacji</w:t>
      </w:r>
      <w:r w:rsidR="006A22D3" w:rsidRPr="006A22D3">
        <w:rPr>
          <w:rStyle w:val="normaltextrun"/>
          <w:noProof/>
        </w:rPr>
        <w:t xml:space="preserve"> i kos</w:t>
      </w:r>
      <w:r w:rsidRPr="006A22D3">
        <w:rPr>
          <w:rStyle w:val="normaltextrun"/>
          <w:noProof/>
        </w:rPr>
        <w:t>zty</w:t>
      </w:r>
      <w:r w:rsidR="006A22D3" w:rsidRPr="006A22D3">
        <w:rPr>
          <w:rStyle w:val="normaltextrun"/>
          <w:noProof/>
        </w:rPr>
        <w:t>. W rez</w:t>
      </w:r>
      <w:r w:rsidRPr="006A22D3">
        <w:rPr>
          <w:rStyle w:val="normaltextrun"/>
          <w:noProof/>
        </w:rPr>
        <w:t>ultacie korzyści wynikające</w:t>
      </w:r>
      <w:r w:rsidR="006A22D3" w:rsidRPr="006A22D3">
        <w:rPr>
          <w:rStyle w:val="normaltextrun"/>
          <w:noProof/>
        </w:rPr>
        <w:t xml:space="preserve"> z nal</w:t>
      </w:r>
      <w:r w:rsidRPr="006A22D3">
        <w:rPr>
          <w:rStyle w:val="normaltextrun"/>
          <w:noProof/>
        </w:rPr>
        <w:t>eżytej staranności nie są szeroko rozpowszechnione wśród europejskich przedsiębiorstw ani</w:t>
      </w:r>
      <w:r w:rsidR="006A22D3" w:rsidRPr="006A22D3">
        <w:rPr>
          <w:rStyle w:val="normaltextrun"/>
          <w:noProof/>
        </w:rPr>
        <w:t xml:space="preserve"> w pos</w:t>
      </w:r>
      <w:r w:rsidRPr="006A22D3">
        <w:rPr>
          <w:rStyle w:val="normaltextrun"/>
          <w:noProof/>
        </w:rPr>
        <w:t xml:space="preserve">zczególnych sektorach gospodarki. </w:t>
      </w:r>
    </w:p>
    <w:p w:rsidR="001859C1" w:rsidRPr="006A22D3" w:rsidRDefault="001859C1" w:rsidP="005A221B">
      <w:pPr>
        <w:rPr>
          <w:noProof/>
        </w:rPr>
      </w:pPr>
      <w:r w:rsidRPr="006A22D3">
        <w:rPr>
          <w:rStyle w:val="normaltextrun"/>
          <w:noProof/>
        </w:rPr>
        <w:t>Głównie duże przedsiębiorstwa</w:t>
      </w:r>
      <w:r w:rsidR="006A22D3" w:rsidRPr="006A22D3">
        <w:rPr>
          <w:rStyle w:val="normaltextrun"/>
          <w:noProof/>
        </w:rPr>
        <w:t xml:space="preserve"> w cor</w:t>
      </w:r>
      <w:r w:rsidRPr="006A22D3">
        <w:rPr>
          <w:rStyle w:val="normaltextrun"/>
          <w:noProof/>
        </w:rPr>
        <w:t>az większym stopniu wdrażają procedury należytej staranności, ponieważ mogą one zapewnić im przewagę konkurencyjną</w:t>
      </w:r>
      <w:r w:rsidRPr="006A22D3">
        <w:rPr>
          <w:rStyle w:val="FootnoteReference"/>
          <w:rFonts w:eastAsia="Times New Roman"/>
          <w:noProof/>
          <w:lang w:eastAsia="en-GB"/>
        </w:rPr>
        <w:footnoteReference w:id="8"/>
      </w:r>
      <w:r w:rsidRPr="006A22D3">
        <w:rPr>
          <w:noProof/>
        </w:rPr>
        <w:t>.Działania</w:t>
      </w:r>
      <w:r w:rsidR="006A22D3" w:rsidRPr="006A22D3">
        <w:rPr>
          <w:noProof/>
        </w:rPr>
        <w:t xml:space="preserve"> w tym</w:t>
      </w:r>
      <w:r w:rsidRPr="006A22D3">
        <w:rPr>
          <w:noProof/>
        </w:rPr>
        <w:t xml:space="preserve"> zakresie stanowią również odpowiedź na rosnącą presję rynkową skłaniającą przedsiębiorstwa do podejmowania zrównoważonych działań, </w:t>
      </w:r>
      <w:r w:rsidRPr="006A22D3">
        <w:rPr>
          <w:rStyle w:val="normaltextrun"/>
          <w:noProof/>
        </w:rPr>
        <w:t>co pozwala im uniknąć niepożądanego ryzyka utraty renomy</w:t>
      </w:r>
      <w:r w:rsidR="006A22D3" w:rsidRPr="006A22D3">
        <w:rPr>
          <w:rStyle w:val="normaltextrun"/>
          <w:noProof/>
        </w:rPr>
        <w:t xml:space="preserve"> w ocz</w:t>
      </w:r>
      <w:r w:rsidRPr="006A22D3">
        <w:rPr>
          <w:rStyle w:val="normaltextrun"/>
          <w:noProof/>
        </w:rPr>
        <w:t>ach konsumentów</w:t>
      </w:r>
      <w:r w:rsidR="006A22D3" w:rsidRPr="006A22D3">
        <w:rPr>
          <w:rStyle w:val="normaltextrun"/>
          <w:noProof/>
        </w:rPr>
        <w:t xml:space="preserve"> i inw</w:t>
      </w:r>
      <w:r w:rsidRPr="006A22D3">
        <w:rPr>
          <w:rStyle w:val="normaltextrun"/>
          <w:noProof/>
        </w:rPr>
        <w:t>estorów, którzy dysponują coraz lepszą znajomością problematyki powiązanej ze zrównoważonym charakterem. Wspomniane procedury bazują jednak na dobrowolnych normach</w:t>
      </w:r>
      <w:r w:rsidR="006A22D3" w:rsidRPr="006A22D3">
        <w:rPr>
          <w:rStyle w:val="normaltextrun"/>
          <w:noProof/>
        </w:rPr>
        <w:t xml:space="preserve"> i nie</w:t>
      </w:r>
      <w:r w:rsidRPr="006A22D3">
        <w:rPr>
          <w:rStyle w:val="normaltextrun"/>
          <w:noProof/>
        </w:rPr>
        <w:t xml:space="preserve"> zapewniają pewności prawa przedsiębiorstwom ani ofiarom</w:t>
      </w:r>
      <w:r w:rsidR="006A22D3" w:rsidRPr="006A22D3">
        <w:rPr>
          <w:rStyle w:val="normaltextrun"/>
          <w:noProof/>
        </w:rPr>
        <w:t xml:space="preserve"> w prz</w:t>
      </w:r>
      <w:r w:rsidRPr="006A22D3">
        <w:rPr>
          <w:rStyle w:val="normaltextrun"/>
          <w:noProof/>
        </w:rPr>
        <w:t>ypadku wystąpienia rzeczywistej szkody.</w:t>
      </w:r>
      <w:r w:rsidRPr="006A22D3">
        <w:rPr>
          <w:noProof/>
        </w:rPr>
        <w:t xml:space="preserve"> </w:t>
      </w:r>
    </w:p>
    <w:p w:rsidR="001859C1" w:rsidRPr="006A22D3" w:rsidRDefault="001859C1" w:rsidP="00740BB9">
      <w:pPr>
        <w:rPr>
          <w:noProof/>
        </w:rPr>
      </w:pPr>
      <w:r w:rsidRPr="006A22D3">
        <w:rPr>
          <w:noProof/>
        </w:rPr>
        <w:t xml:space="preserve">Wydaje się, że dobrowolne działania </w:t>
      </w:r>
      <w:r w:rsidRPr="006A22D3">
        <w:rPr>
          <w:rStyle w:val="normaltextrun"/>
          <w:noProof/>
        </w:rPr>
        <w:t>nie doprowadziły do szeroko zakrojonej poprawy sytuacji</w:t>
      </w:r>
      <w:r w:rsidR="006A22D3" w:rsidRPr="006A22D3">
        <w:rPr>
          <w:rStyle w:val="normaltextrun"/>
          <w:noProof/>
        </w:rPr>
        <w:t xml:space="preserve"> w pos</w:t>
      </w:r>
      <w:r w:rsidRPr="006A22D3">
        <w:rPr>
          <w:rStyle w:val="normaltextrun"/>
          <w:noProof/>
        </w:rPr>
        <w:t>zczególnych sektorach;</w:t>
      </w:r>
      <w:r w:rsidR="006A22D3" w:rsidRPr="006A22D3">
        <w:rPr>
          <w:rStyle w:val="normaltextrun"/>
          <w:noProof/>
        </w:rPr>
        <w:t xml:space="preserve"> w rez</w:t>
      </w:r>
      <w:r w:rsidRPr="006A22D3">
        <w:rPr>
          <w:rStyle w:val="normaltextrun"/>
          <w:noProof/>
        </w:rPr>
        <w:t>ultacie zarówno na terytorium Unii, jak</w:t>
      </w:r>
      <w:r w:rsidR="006A22D3" w:rsidRPr="006A22D3">
        <w:rPr>
          <w:rStyle w:val="normaltextrun"/>
          <w:noProof/>
        </w:rPr>
        <w:t xml:space="preserve"> i poz</w:t>
      </w:r>
      <w:r w:rsidRPr="006A22D3">
        <w:rPr>
          <w:rStyle w:val="normaltextrun"/>
          <w:noProof/>
        </w:rPr>
        <w:t>a jej granicami można zaobserwować negatywne efekty zewnętrzne związane</w:t>
      </w:r>
      <w:r w:rsidR="006A22D3" w:rsidRPr="006A22D3">
        <w:rPr>
          <w:rStyle w:val="normaltextrun"/>
          <w:noProof/>
        </w:rPr>
        <w:t xml:space="preserve"> z pro</w:t>
      </w:r>
      <w:r w:rsidRPr="006A22D3">
        <w:rPr>
          <w:rStyle w:val="normaltextrun"/>
          <w:noProof/>
        </w:rPr>
        <w:t>dukcją</w:t>
      </w:r>
      <w:r w:rsidR="006A22D3" w:rsidRPr="006A22D3">
        <w:rPr>
          <w:rStyle w:val="normaltextrun"/>
          <w:noProof/>
        </w:rPr>
        <w:t xml:space="preserve"> i kon</w:t>
      </w:r>
      <w:r w:rsidRPr="006A22D3">
        <w:rPr>
          <w:rStyle w:val="normaltextrun"/>
          <w:noProof/>
        </w:rPr>
        <w:t xml:space="preserve">sumpcją unijną. </w:t>
      </w:r>
      <w:r w:rsidRPr="006A22D3">
        <w:rPr>
          <w:noProof/>
        </w:rPr>
        <w:t>Niektóre przedsiębiorstwa unijne były powiązane</w:t>
      </w:r>
      <w:r w:rsidR="006A22D3" w:rsidRPr="006A22D3">
        <w:rPr>
          <w:noProof/>
        </w:rPr>
        <w:t xml:space="preserve"> z nie</w:t>
      </w:r>
      <w:r w:rsidRPr="006A22D3">
        <w:rPr>
          <w:noProof/>
        </w:rPr>
        <w:t>korzystnymi skutkami dla praw człowieka</w:t>
      </w:r>
      <w:r w:rsidR="006A22D3" w:rsidRPr="006A22D3">
        <w:rPr>
          <w:noProof/>
        </w:rPr>
        <w:t xml:space="preserve"> i dla</w:t>
      </w:r>
      <w:r w:rsidRPr="006A22D3">
        <w:rPr>
          <w:noProof/>
        </w:rPr>
        <w:t xml:space="preserve"> środowiska, m.in.</w:t>
      </w:r>
      <w:r w:rsidR="006A22D3" w:rsidRPr="006A22D3">
        <w:rPr>
          <w:noProof/>
        </w:rPr>
        <w:t xml:space="preserve"> w ram</w:t>
      </w:r>
      <w:r w:rsidRPr="006A22D3">
        <w:rPr>
          <w:noProof/>
        </w:rPr>
        <w:t>ach swoich łańcuchów wartości</w:t>
      </w:r>
      <w:r w:rsidRPr="006A22D3">
        <w:rPr>
          <w:rStyle w:val="FootnoteReference"/>
          <w:noProof/>
        </w:rPr>
        <w:footnoteReference w:id="9"/>
      </w:r>
      <w:r w:rsidRPr="006A22D3">
        <w:rPr>
          <w:noProof/>
        </w:rPr>
        <w:t>. Wspomniane niekorzystne skutki obejmują</w:t>
      </w:r>
      <w:r w:rsidR="006A22D3" w:rsidRPr="006A22D3">
        <w:rPr>
          <w:noProof/>
        </w:rPr>
        <w:t xml:space="preserve"> w szc</w:t>
      </w:r>
      <w:r w:rsidRPr="006A22D3">
        <w:rPr>
          <w:noProof/>
        </w:rPr>
        <w:t>zególności kwestie związane</w:t>
      </w:r>
      <w:r w:rsidR="006A22D3" w:rsidRPr="006A22D3">
        <w:rPr>
          <w:noProof/>
        </w:rPr>
        <w:t xml:space="preserve"> z pra</w:t>
      </w:r>
      <w:r w:rsidRPr="006A22D3">
        <w:rPr>
          <w:noProof/>
        </w:rPr>
        <w:t>wami człowieka, takie jak praca przymusowa, praca dzieci, nieodpowiednia ochrona bezpieczeństwa</w:t>
      </w:r>
      <w:r w:rsidR="006A22D3" w:rsidRPr="006A22D3">
        <w:rPr>
          <w:noProof/>
        </w:rPr>
        <w:t xml:space="preserve"> i zdr</w:t>
      </w:r>
      <w:r w:rsidRPr="006A22D3">
        <w:rPr>
          <w:noProof/>
        </w:rPr>
        <w:t>owia</w:t>
      </w:r>
      <w:r w:rsidR="006A22D3" w:rsidRPr="006A22D3">
        <w:rPr>
          <w:noProof/>
        </w:rPr>
        <w:t xml:space="preserve"> w mie</w:t>
      </w:r>
      <w:r w:rsidRPr="006A22D3">
        <w:rPr>
          <w:noProof/>
        </w:rPr>
        <w:t>jscu pracy</w:t>
      </w:r>
      <w:r w:rsidR="006A22D3" w:rsidRPr="006A22D3">
        <w:rPr>
          <w:noProof/>
        </w:rPr>
        <w:t xml:space="preserve"> i wyz</w:t>
      </w:r>
      <w:r w:rsidRPr="006A22D3">
        <w:rPr>
          <w:noProof/>
        </w:rPr>
        <w:t>ysk pracowników, oraz kwestie związane</w:t>
      </w:r>
      <w:r w:rsidR="006A22D3" w:rsidRPr="006A22D3">
        <w:rPr>
          <w:noProof/>
        </w:rPr>
        <w:t xml:space="preserve"> z wpł</w:t>
      </w:r>
      <w:r w:rsidRPr="006A22D3">
        <w:rPr>
          <w:noProof/>
        </w:rPr>
        <w:t>ywem na środowisko, np. emisje gazów cieplarnianych</w:t>
      </w:r>
      <w:r w:rsidR="006A22D3" w:rsidRPr="006A22D3">
        <w:rPr>
          <w:noProof/>
        </w:rPr>
        <w:t xml:space="preserve"> i zan</w:t>
      </w:r>
      <w:r w:rsidRPr="006A22D3">
        <w:rPr>
          <w:noProof/>
        </w:rPr>
        <w:t>ieczyszczanie środowiska lub utrata różnorodności biologicznej</w:t>
      </w:r>
      <w:r w:rsidR="006A22D3" w:rsidRPr="006A22D3">
        <w:rPr>
          <w:noProof/>
        </w:rPr>
        <w:t xml:space="preserve"> i deg</w:t>
      </w:r>
      <w:r w:rsidRPr="006A22D3">
        <w:rPr>
          <w:noProof/>
        </w:rPr>
        <w:t>radacja ekosystemów.</w:t>
      </w:r>
    </w:p>
    <w:p w:rsidR="001859C1" w:rsidRPr="006A22D3" w:rsidRDefault="001859C1" w:rsidP="00740BB9">
      <w:pPr>
        <w:rPr>
          <w:noProof/>
        </w:rPr>
      </w:pPr>
      <w:r w:rsidRPr="006A22D3">
        <w:rPr>
          <w:noProof/>
        </w:rPr>
        <w:t>Ramy prawne dotyczące należytej staranności przedsiębiorstw ustanawiane</w:t>
      </w:r>
      <w:r w:rsidR="006A22D3" w:rsidRPr="006A22D3">
        <w:rPr>
          <w:noProof/>
        </w:rPr>
        <w:t xml:space="preserve"> w pań</w:t>
      </w:r>
      <w:r w:rsidRPr="006A22D3">
        <w:rPr>
          <w:noProof/>
        </w:rPr>
        <w:t>stwach członkowskich</w:t>
      </w:r>
      <w:r w:rsidR="006A22D3" w:rsidRPr="006A22D3">
        <w:rPr>
          <w:noProof/>
        </w:rPr>
        <w:t xml:space="preserve"> w ost</w:t>
      </w:r>
      <w:r w:rsidRPr="006A22D3">
        <w:rPr>
          <w:noProof/>
        </w:rPr>
        <w:t>atnich latach</w:t>
      </w:r>
      <w:r w:rsidRPr="006A22D3">
        <w:rPr>
          <w:rStyle w:val="FootnoteReference"/>
          <w:noProof/>
        </w:rPr>
        <w:footnoteReference w:id="10"/>
      </w:r>
      <w:r w:rsidRPr="006A22D3">
        <w:rPr>
          <w:noProof/>
        </w:rPr>
        <w:t xml:space="preserve"> odzwierciedlają coraz większą gotowość do wspierania przedsiębiorstw</w:t>
      </w:r>
      <w:r w:rsidR="006A22D3" w:rsidRPr="006A22D3">
        <w:rPr>
          <w:noProof/>
        </w:rPr>
        <w:t xml:space="preserve"> w pod</w:t>
      </w:r>
      <w:r w:rsidRPr="006A22D3">
        <w:rPr>
          <w:noProof/>
        </w:rPr>
        <w:t>ejmowanych przez nie wysiłkach na rzecz dochowywania należytej staranności</w:t>
      </w:r>
      <w:r w:rsidR="006A22D3" w:rsidRPr="006A22D3">
        <w:rPr>
          <w:noProof/>
        </w:rPr>
        <w:t xml:space="preserve"> w odn</w:t>
      </w:r>
      <w:r w:rsidRPr="006A22D3">
        <w:rPr>
          <w:noProof/>
        </w:rPr>
        <w:t>iesieniu do ich łańcuchów wartości</w:t>
      </w:r>
      <w:r w:rsidR="006A22D3" w:rsidRPr="006A22D3">
        <w:rPr>
          <w:noProof/>
        </w:rPr>
        <w:t xml:space="preserve"> i spr</w:t>
      </w:r>
      <w:r w:rsidRPr="006A22D3">
        <w:rPr>
          <w:noProof/>
        </w:rPr>
        <w:t>zyjają prowadzeniu działalności gospodarczej</w:t>
      </w:r>
      <w:r w:rsidR="006A22D3" w:rsidRPr="006A22D3">
        <w:rPr>
          <w:noProof/>
        </w:rPr>
        <w:t xml:space="preserve"> w spo</w:t>
      </w:r>
      <w:r w:rsidRPr="006A22D3">
        <w:rPr>
          <w:noProof/>
        </w:rPr>
        <w:t>sób zapewniający poszanowanie praw człowieka, praw dzieci</w:t>
      </w:r>
      <w:r w:rsidR="006A22D3" w:rsidRPr="006A22D3">
        <w:rPr>
          <w:noProof/>
        </w:rPr>
        <w:t xml:space="preserve"> i prz</w:t>
      </w:r>
      <w:r w:rsidRPr="006A22D3">
        <w:rPr>
          <w:noProof/>
        </w:rPr>
        <w:t>episów</w:t>
      </w:r>
      <w:r w:rsidR="006A22D3" w:rsidRPr="006A22D3">
        <w:rPr>
          <w:noProof/>
        </w:rPr>
        <w:t xml:space="preserve"> w zak</w:t>
      </w:r>
      <w:r w:rsidRPr="006A22D3">
        <w:rPr>
          <w:noProof/>
        </w:rPr>
        <w:t>resie ochrony środowiska</w:t>
      </w:r>
      <w:r w:rsidR="006A22D3" w:rsidRPr="006A22D3">
        <w:rPr>
          <w:noProof/>
        </w:rPr>
        <w:t>. Z dru</w:t>
      </w:r>
      <w:r w:rsidRPr="006A22D3">
        <w:rPr>
          <w:noProof/>
        </w:rPr>
        <w:t>giej strony tego rodzaju ramy przyczyniają się również do rozdrobnienia</w:t>
      </w:r>
      <w:r w:rsidR="006A22D3" w:rsidRPr="006A22D3">
        <w:rPr>
          <w:noProof/>
        </w:rPr>
        <w:t xml:space="preserve"> i wią</w:t>
      </w:r>
      <w:r w:rsidRPr="006A22D3">
        <w:rPr>
          <w:noProof/>
        </w:rPr>
        <w:t>żą się</w:t>
      </w:r>
      <w:r w:rsidR="006A22D3" w:rsidRPr="006A22D3">
        <w:rPr>
          <w:noProof/>
        </w:rPr>
        <w:t xml:space="preserve"> z ryz</w:t>
      </w:r>
      <w:r w:rsidRPr="006A22D3">
        <w:rPr>
          <w:noProof/>
        </w:rPr>
        <w:t xml:space="preserve">ykiem osłabienia pewności prawa oraz zaburzenia równych warunków działania przedsiębiorstw na jednolitym rynku. </w:t>
      </w:r>
    </w:p>
    <w:p w:rsidR="001859C1" w:rsidRPr="006A22D3" w:rsidRDefault="008832B0" w:rsidP="00740BB9">
      <w:pPr>
        <w:rPr>
          <w:noProof/>
        </w:rPr>
      </w:pPr>
      <w:r w:rsidRPr="006A22D3">
        <w:rPr>
          <w:noProof/>
        </w:rPr>
        <w:t>Przyjęcie przepisów regulujących kwestie związane</w:t>
      </w:r>
      <w:r w:rsidR="006A22D3" w:rsidRPr="006A22D3">
        <w:rPr>
          <w:noProof/>
        </w:rPr>
        <w:t xml:space="preserve"> z nal</w:t>
      </w:r>
      <w:r w:rsidRPr="006A22D3">
        <w:rPr>
          <w:noProof/>
        </w:rPr>
        <w:t>eżytą starannością przedsiębiorstw na szczeblu Unii przyczyniłoby się do poprawy przestrzegania praw człowieka</w:t>
      </w:r>
      <w:r w:rsidR="006A22D3" w:rsidRPr="006A22D3">
        <w:rPr>
          <w:noProof/>
        </w:rPr>
        <w:t xml:space="preserve"> i prz</w:t>
      </w:r>
      <w:r w:rsidRPr="006A22D3">
        <w:rPr>
          <w:noProof/>
        </w:rPr>
        <w:t>episów</w:t>
      </w:r>
      <w:r w:rsidR="006A22D3" w:rsidRPr="006A22D3">
        <w:rPr>
          <w:noProof/>
        </w:rPr>
        <w:t xml:space="preserve"> w zak</w:t>
      </w:r>
      <w:r w:rsidRPr="006A22D3">
        <w:rPr>
          <w:noProof/>
        </w:rPr>
        <w:t>resie ochrony środowiska, zapewniłoby przedsiębiorstwom na terytorium UE równe warunki działania</w:t>
      </w:r>
      <w:r w:rsidR="006A22D3" w:rsidRPr="006A22D3">
        <w:rPr>
          <w:noProof/>
        </w:rPr>
        <w:t xml:space="preserve"> i poz</w:t>
      </w:r>
      <w:r w:rsidRPr="006A22D3">
        <w:rPr>
          <w:noProof/>
        </w:rPr>
        <w:t>woliłoby uniknąć rozdrobnienia wynikającego</w:t>
      </w:r>
      <w:r w:rsidR="006A22D3" w:rsidRPr="006A22D3">
        <w:rPr>
          <w:noProof/>
        </w:rPr>
        <w:t xml:space="preserve"> z pod</w:t>
      </w:r>
      <w:r w:rsidRPr="006A22D3">
        <w:rPr>
          <w:noProof/>
        </w:rPr>
        <w:t>ejmowania przez państwa członkowskie działań na własną rękę. Przepisy te miałyby również zastosowanie do przedsiębiorstw</w:t>
      </w:r>
      <w:r w:rsidR="006A22D3" w:rsidRPr="006A22D3">
        <w:rPr>
          <w:noProof/>
        </w:rPr>
        <w:t xml:space="preserve"> z pań</w:t>
      </w:r>
      <w:r w:rsidRPr="006A22D3">
        <w:rPr>
          <w:noProof/>
        </w:rPr>
        <w:t>stw trzecich prowadzących działalność na rynku Unii</w:t>
      </w:r>
      <w:r w:rsidR="006A22D3" w:rsidRPr="006A22D3">
        <w:rPr>
          <w:noProof/>
        </w:rPr>
        <w:t xml:space="preserve"> w opa</w:t>
      </w:r>
      <w:r w:rsidRPr="006A22D3">
        <w:rPr>
          <w:noProof/>
        </w:rPr>
        <w:t>rciu</w:t>
      </w:r>
      <w:r w:rsidR="006A22D3" w:rsidRPr="006A22D3">
        <w:rPr>
          <w:noProof/>
        </w:rPr>
        <w:t xml:space="preserve"> o kry</w:t>
      </w:r>
      <w:r w:rsidRPr="006A22D3">
        <w:rPr>
          <w:noProof/>
        </w:rPr>
        <w:t>terium zbliżonego przychodu.</w:t>
      </w:r>
    </w:p>
    <w:p w:rsidR="001859C1" w:rsidRPr="006A22D3" w:rsidRDefault="001859C1" w:rsidP="00DF252A">
      <w:pPr>
        <w:rPr>
          <w:noProof/>
        </w:rPr>
      </w:pPr>
      <w:r w:rsidRPr="006A22D3">
        <w:rPr>
          <w:noProof/>
        </w:rPr>
        <w:t>W tym kontekście na mocy niniejszej dyrektywy planuje się ustanowić ramy horyzontalne sprzyjające wnoszeniu przez przedsiębiorstwa prowadzące działalność na jednolitym rynku wkładu</w:t>
      </w:r>
      <w:r w:rsidR="006A22D3" w:rsidRPr="006A22D3">
        <w:rPr>
          <w:noProof/>
        </w:rPr>
        <w:t xml:space="preserve"> w dąż</w:t>
      </w:r>
      <w:r w:rsidRPr="006A22D3">
        <w:rPr>
          <w:noProof/>
        </w:rPr>
        <w:t>enie do zapewnienia poszanowania praw człowieka</w:t>
      </w:r>
      <w:r w:rsidR="006A22D3" w:rsidRPr="006A22D3">
        <w:rPr>
          <w:noProof/>
        </w:rPr>
        <w:t xml:space="preserve"> i prz</w:t>
      </w:r>
      <w:r w:rsidRPr="006A22D3">
        <w:rPr>
          <w:noProof/>
        </w:rPr>
        <w:t>episów</w:t>
      </w:r>
      <w:r w:rsidR="006A22D3" w:rsidRPr="006A22D3">
        <w:rPr>
          <w:noProof/>
        </w:rPr>
        <w:t xml:space="preserve"> w zak</w:t>
      </w:r>
      <w:r w:rsidRPr="006A22D3">
        <w:rPr>
          <w:noProof/>
        </w:rPr>
        <w:t>resie ochrony środowiska</w:t>
      </w:r>
      <w:r w:rsidR="006A22D3" w:rsidRPr="006A22D3">
        <w:rPr>
          <w:noProof/>
        </w:rPr>
        <w:t xml:space="preserve"> w pod</w:t>
      </w:r>
      <w:r w:rsidRPr="006A22D3">
        <w:rPr>
          <w:noProof/>
        </w:rPr>
        <w:t>ejmowanych przez nie działaniach i za pośrednictwem ich łańcuchów wartości poprzez identyfikowanie niekorzystnych skutków dla praw człowieka</w:t>
      </w:r>
      <w:r w:rsidR="006A22D3" w:rsidRPr="006A22D3">
        <w:rPr>
          <w:noProof/>
        </w:rPr>
        <w:t xml:space="preserve"> i dla</w:t>
      </w:r>
      <w:r w:rsidRPr="006A22D3">
        <w:rPr>
          <w:noProof/>
        </w:rPr>
        <w:t xml:space="preserve"> środowiska, zapobieganie takim skutkom, ograniczanie ich</w:t>
      </w:r>
      <w:r w:rsidR="006A22D3" w:rsidRPr="006A22D3">
        <w:rPr>
          <w:noProof/>
        </w:rPr>
        <w:t xml:space="preserve"> i pon</w:t>
      </w:r>
      <w:r w:rsidRPr="006A22D3">
        <w:rPr>
          <w:noProof/>
        </w:rPr>
        <w:t>oszenie</w:t>
      </w:r>
      <w:r w:rsidR="006A22D3" w:rsidRPr="006A22D3">
        <w:rPr>
          <w:noProof/>
        </w:rPr>
        <w:t xml:space="preserve"> w tym</w:t>
      </w:r>
      <w:r w:rsidRPr="006A22D3">
        <w:rPr>
          <w:noProof/>
        </w:rPr>
        <w:t xml:space="preserve"> kontekście odpowiedzialności,</w:t>
      </w:r>
      <w:r w:rsidR="006A22D3" w:rsidRPr="006A22D3">
        <w:rPr>
          <w:noProof/>
        </w:rPr>
        <w:t xml:space="preserve"> a tak</w:t>
      </w:r>
      <w:r w:rsidRPr="006A22D3">
        <w:rPr>
          <w:noProof/>
        </w:rPr>
        <w:t>że poprzez dbanie</w:t>
      </w:r>
      <w:r w:rsidR="006A22D3" w:rsidRPr="006A22D3">
        <w:rPr>
          <w:noProof/>
        </w:rPr>
        <w:t xml:space="preserve"> o wdr</w:t>
      </w:r>
      <w:r w:rsidRPr="006A22D3">
        <w:rPr>
          <w:noProof/>
        </w:rPr>
        <w:t>ażanie odpowiednich systemów nadzoru</w:t>
      </w:r>
      <w:r w:rsidR="006A22D3" w:rsidRPr="006A22D3">
        <w:rPr>
          <w:noProof/>
        </w:rPr>
        <w:t xml:space="preserve"> i zar</w:t>
      </w:r>
      <w:r w:rsidRPr="006A22D3">
        <w:rPr>
          <w:noProof/>
        </w:rPr>
        <w:t>ządzania oraz wprowadzanie odpowiednich środków</w:t>
      </w:r>
      <w:r w:rsidR="006A22D3" w:rsidRPr="006A22D3">
        <w:rPr>
          <w:noProof/>
        </w:rPr>
        <w:t xml:space="preserve"> w tym</w:t>
      </w:r>
      <w:r w:rsidRPr="006A22D3">
        <w:rPr>
          <w:noProof/>
        </w:rPr>
        <w:t xml:space="preserve"> celu.</w:t>
      </w:r>
    </w:p>
    <w:p w:rsidR="00DB3CEF" w:rsidRPr="006A22D3" w:rsidRDefault="00DB3CEF" w:rsidP="00C562CA">
      <w:pPr>
        <w:rPr>
          <w:noProof/>
        </w:rPr>
      </w:pPr>
      <w:r w:rsidRPr="006A22D3">
        <w:rPr>
          <w:noProof/>
        </w:rPr>
        <w:t xml:space="preserve">W szczególności dyrektywa: </w:t>
      </w:r>
    </w:p>
    <w:p w:rsidR="001859C1" w:rsidRPr="006A22D3" w:rsidRDefault="006A22D3" w:rsidP="006A22D3">
      <w:pPr>
        <w:pStyle w:val="Point1"/>
        <w:rPr>
          <w:noProof/>
        </w:rPr>
      </w:pPr>
      <w:r w:rsidRPr="006A22D3">
        <w:rPr>
          <w:noProof/>
        </w:rPr>
        <w:t>1)</w:t>
      </w:r>
      <w:r w:rsidRPr="006A22D3">
        <w:rPr>
          <w:noProof/>
        </w:rPr>
        <w:tab/>
      </w:r>
      <w:r w:rsidR="001859C1" w:rsidRPr="006A22D3">
        <w:rPr>
          <w:noProof/>
        </w:rPr>
        <w:t>przyczyni się do udoskonalenia praktyk</w:t>
      </w:r>
      <w:r w:rsidRPr="006A22D3">
        <w:rPr>
          <w:noProof/>
        </w:rPr>
        <w:t xml:space="preserve"> w zak</w:t>
      </w:r>
      <w:r w:rsidR="001859C1" w:rsidRPr="006A22D3">
        <w:rPr>
          <w:noProof/>
        </w:rPr>
        <w:t>resie ładu korporacyjnego, zapewniając możliwość lepszego integrowania procesów zarządzania ryzykiem związanym</w:t>
      </w:r>
      <w:r w:rsidRPr="006A22D3">
        <w:rPr>
          <w:noProof/>
        </w:rPr>
        <w:t xml:space="preserve"> z pra</w:t>
      </w:r>
      <w:r w:rsidR="001859C1" w:rsidRPr="006A22D3">
        <w:rPr>
          <w:noProof/>
        </w:rPr>
        <w:t>wami człowieka, ryzykiem dla środowiska oraz wpływem na prawa człowieka i na środowisko,</w:t>
      </w:r>
      <w:r w:rsidRPr="006A22D3">
        <w:rPr>
          <w:noProof/>
        </w:rPr>
        <w:t xml:space="preserve"> a tak</w:t>
      </w:r>
      <w:r w:rsidR="001859C1" w:rsidRPr="006A22D3">
        <w:rPr>
          <w:noProof/>
        </w:rPr>
        <w:t>że procesów łagodzenia tego ryzyka</w:t>
      </w:r>
      <w:r w:rsidRPr="006A22D3">
        <w:rPr>
          <w:noProof/>
        </w:rPr>
        <w:t xml:space="preserve"> i teg</w:t>
      </w:r>
      <w:r w:rsidR="001859C1" w:rsidRPr="006A22D3">
        <w:rPr>
          <w:noProof/>
        </w:rPr>
        <w:t>o wpływu, uwzględniając ryzyko</w:t>
      </w:r>
      <w:r w:rsidRPr="006A22D3">
        <w:rPr>
          <w:noProof/>
        </w:rPr>
        <w:t xml:space="preserve"> i wpł</w:t>
      </w:r>
      <w:r w:rsidR="001859C1" w:rsidRPr="006A22D3">
        <w:rPr>
          <w:noProof/>
        </w:rPr>
        <w:t>yw wynikające</w:t>
      </w:r>
      <w:r w:rsidRPr="006A22D3">
        <w:rPr>
          <w:noProof/>
        </w:rPr>
        <w:t xml:space="preserve"> z łań</w:t>
      </w:r>
      <w:r w:rsidR="001859C1" w:rsidRPr="006A22D3">
        <w:rPr>
          <w:noProof/>
        </w:rPr>
        <w:t xml:space="preserve">cuchów wartości, ze strategiami przedsiębiorstw; </w:t>
      </w:r>
    </w:p>
    <w:p w:rsidR="001859C1" w:rsidRPr="006A22D3" w:rsidRDefault="006A22D3" w:rsidP="006A22D3">
      <w:pPr>
        <w:pStyle w:val="Point1"/>
        <w:rPr>
          <w:noProof/>
        </w:rPr>
      </w:pPr>
      <w:r w:rsidRPr="006A22D3">
        <w:rPr>
          <w:noProof/>
        </w:rPr>
        <w:t>2)</w:t>
      </w:r>
      <w:r w:rsidRPr="006A22D3">
        <w:rPr>
          <w:noProof/>
        </w:rPr>
        <w:tab/>
      </w:r>
      <w:r w:rsidR="001859C1" w:rsidRPr="006A22D3">
        <w:rPr>
          <w:noProof/>
        </w:rPr>
        <w:t>pozwoli uniknąć rozdrobnienia wymogów</w:t>
      </w:r>
      <w:r w:rsidRPr="006A22D3">
        <w:rPr>
          <w:noProof/>
        </w:rPr>
        <w:t xml:space="preserve"> w zak</w:t>
      </w:r>
      <w:r w:rsidR="001859C1" w:rsidRPr="006A22D3">
        <w:rPr>
          <w:noProof/>
        </w:rPr>
        <w:t>resie należytej staranności na jednolitym rynku</w:t>
      </w:r>
      <w:r w:rsidR="001859C1" w:rsidRPr="006A22D3">
        <w:rPr>
          <w:noProof/>
        </w:rPr>
        <w:tab/>
      </w:r>
      <w:r w:rsidRPr="006A22D3">
        <w:rPr>
          <w:noProof/>
        </w:rPr>
        <w:t xml:space="preserve"> i dop</w:t>
      </w:r>
      <w:r w:rsidR="001859C1" w:rsidRPr="006A22D3">
        <w:rPr>
          <w:noProof/>
        </w:rPr>
        <w:t>rowadzi do zapewnienia pewności prawa dla przedsiębiorstw</w:t>
      </w:r>
      <w:r w:rsidRPr="006A22D3">
        <w:rPr>
          <w:noProof/>
        </w:rPr>
        <w:t xml:space="preserve"> i zai</w:t>
      </w:r>
      <w:r w:rsidR="001859C1" w:rsidRPr="006A22D3">
        <w:rPr>
          <w:noProof/>
        </w:rPr>
        <w:t>nteresowanych stron, jeżeli chodzi</w:t>
      </w:r>
      <w:r w:rsidRPr="006A22D3">
        <w:rPr>
          <w:noProof/>
        </w:rPr>
        <w:t xml:space="preserve"> o ocz</w:t>
      </w:r>
      <w:r w:rsidR="001859C1" w:rsidRPr="006A22D3">
        <w:rPr>
          <w:noProof/>
        </w:rPr>
        <w:t>ekiwane od nich zachowania</w:t>
      </w:r>
      <w:r w:rsidRPr="006A22D3">
        <w:rPr>
          <w:noProof/>
        </w:rPr>
        <w:t xml:space="preserve"> i zak</w:t>
      </w:r>
      <w:r w:rsidR="001859C1" w:rsidRPr="006A22D3">
        <w:rPr>
          <w:noProof/>
        </w:rPr>
        <w:t xml:space="preserve">res spoczywającej na nich odpowiedzialności; </w:t>
      </w:r>
    </w:p>
    <w:p w:rsidR="001859C1" w:rsidRPr="006A22D3" w:rsidRDefault="006A22D3" w:rsidP="006A22D3">
      <w:pPr>
        <w:pStyle w:val="Point1"/>
        <w:rPr>
          <w:noProof/>
        </w:rPr>
      </w:pPr>
      <w:r w:rsidRPr="006A22D3">
        <w:rPr>
          <w:noProof/>
        </w:rPr>
        <w:t>3)</w:t>
      </w:r>
      <w:r w:rsidRPr="006A22D3">
        <w:rPr>
          <w:noProof/>
        </w:rPr>
        <w:tab/>
      </w:r>
      <w:r w:rsidR="001859C1" w:rsidRPr="006A22D3">
        <w:rPr>
          <w:noProof/>
        </w:rPr>
        <w:t>zwiększy rozliczalność przedsiębiorstw za niekorzystne skutki prowadzonej przez nie działalności</w:t>
      </w:r>
      <w:r w:rsidRPr="006A22D3">
        <w:rPr>
          <w:noProof/>
        </w:rPr>
        <w:t xml:space="preserve"> i zag</w:t>
      </w:r>
      <w:r w:rsidR="001859C1" w:rsidRPr="006A22D3">
        <w:rPr>
          <w:noProof/>
        </w:rPr>
        <w:t>warantuje spójność</w:t>
      </w:r>
      <w:r w:rsidRPr="006A22D3">
        <w:rPr>
          <w:noProof/>
        </w:rPr>
        <w:t xml:space="preserve"> w kwe</w:t>
      </w:r>
      <w:r w:rsidR="001859C1" w:rsidRPr="006A22D3">
        <w:rPr>
          <w:noProof/>
        </w:rPr>
        <w:t>stii zobowiązań spoczywających na przedsiębiorstwach</w:t>
      </w:r>
      <w:r w:rsidRPr="006A22D3">
        <w:rPr>
          <w:noProof/>
        </w:rPr>
        <w:t xml:space="preserve"> w ram</w:t>
      </w:r>
      <w:r w:rsidR="001859C1" w:rsidRPr="006A22D3">
        <w:rPr>
          <w:noProof/>
        </w:rPr>
        <w:t>ach już istniejących</w:t>
      </w:r>
      <w:r w:rsidRPr="006A22D3">
        <w:rPr>
          <w:noProof/>
        </w:rPr>
        <w:t xml:space="preserve"> i pla</w:t>
      </w:r>
      <w:r w:rsidR="001859C1" w:rsidRPr="006A22D3">
        <w:rPr>
          <w:noProof/>
        </w:rPr>
        <w:t>nowanych inicjatyw UE</w:t>
      </w:r>
      <w:r w:rsidRPr="006A22D3">
        <w:rPr>
          <w:noProof/>
        </w:rPr>
        <w:t xml:space="preserve"> w zak</w:t>
      </w:r>
      <w:r w:rsidR="001859C1" w:rsidRPr="006A22D3">
        <w:rPr>
          <w:noProof/>
        </w:rPr>
        <w:t xml:space="preserve">resie odpowiedzialnego prowadzenia działalności gospodarczej; </w:t>
      </w:r>
    </w:p>
    <w:p w:rsidR="001859C1" w:rsidRPr="006A22D3" w:rsidRDefault="006A22D3" w:rsidP="006A22D3">
      <w:pPr>
        <w:pStyle w:val="Point1"/>
        <w:rPr>
          <w:noProof/>
        </w:rPr>
      </w:pPr>
      <w:r w:rsidRPr="006A22D3">
        <w:rPr>
          <w:noProof/>
        </w:rPr>
        <w:t>4)</w:t>
      </w:r>
      <w:r w:rsidRPr="006A22D3">
        <w:rPr>
          <w:noProof/>
        </w:rPr>
        <w:tab/>
      </w:r>
      <w:r w:rsidR="00DB3CEF" w:rsidRPr="006A22D3">
        <w:rPr>
          <w:noProof/>
        </w:rPr>
        <w:t>poprawi dostęp do środków ochrony prawnej dla osób dotkniętych niekorzystnymi skutkami filozofii zarządzania przedsiębiorstwem dla praw człowieka</w:t>
      </w:r>
      <w:r w:rsidRPr="006A22D3">
        <w:rPr>
          <w:noProof/>
        </w:rPr>
        <w:t xml:space="preserve"> i dla</w:t>
      </w:r>
      <w:r w:rsidR="00DB3CEF" w:rsidRPr="006A22D3">
        <w:rPr>
          <w:noProof/>
        </w:rPr>
        <w:t xml:space="preserve"> środowiska; </w:t>
      </w:r>
    </w:p>
    <w:p w:rsidR="001859C1" w:rsidRPr="006A22D3" w:rsidRDefault="006A22D3" w:rsidP="006A22D3">
      <w:pPr>
        <w:pStyle w:val="Point1"/>
        <w:rPr>
          <w:rFonts w:eastAsia="Arial Unicode MS"/>
          <w:noProof/>
        </w:rPr>
      </w:pPr>
      <w:r w:rsidRPr="006A22D3">
        <w:rPr>
          <w:noProof/>
        </w:rPr>
        <w:t>5)</w:t>
      </w:r>
      <w:r w:rsidRPr="006A22D3">
        <w:rPr>
          <w:noProof/>
        </w:rPr>
        <w:tab/>
      </w:r>
      <w:r w:rsidR="00A16F1B" w:rsidRPr="006A22D3">
        <w:rPr>
          <w:noProof/>
        </w:rPr>
        <w:t>będzie uzupełniała – jako instrument horyzontalny koncentrujący się na procesach biznesowych, który ma również zastosowanie do łańcucha wartości – inne już obowiązujące lub proponowane środki, których bezpośrednim celem jest przezwyciężenie pewnych określonych wyzwań dla zrównoważonego rozwoju lub które stosuje się</w:t>
      </w:r>
      <w:r w:rsidRPr="006A22D3">
        <w:rPr>
          <w:noProof/>
        </w:rPr>
        <w:t xml:space="preserve"> w nie</w:t>
      </w:r>
      <w:r w:rsidR="00A16F1B" w:rsidRPr="006A22D3">
        <w:rPr>
          <w:noProof/>
        </w:rPr>
        <w:t>których konkretnych sektorach,</w:t>
      </w:r>
      <w:r w:rsidRPr="006A22D3">
        <w:rPr>
          <w:noProof/>
        </w:rPr>
        <w:t xml:space="preserve"> w prz</w:t>
      </w:r>
      <w:r w:rsidR="00A16F1B" w:rsidRPr="006A22D3">
        <w:rPr>
          <w:noProof/>
        </w:rPr>
        <w:t>eważającej mierze na terytorium Unii.</w:t>
      </w:r>
    </w:p>
    <w:p w:rsidR="001859C1" w:rsidRPr="006A22D3" w:rsidRDefault="001859C1" w:rsidP="000B2095">
      <w:pPr>
        <w:pStyle w:val="ManualHeading2"/>
        <w:rPr>
          <w:b w:val="0"/>
          <w:noProof/>
          <w:color w:val="000000" w:themeColor="text1"/>
        </w:rPr>
      </w:pPr>
      <w:r w:rsidRPr="006A22D3">
        <w:rPr>
          <w:noProof/>
        </w:rPr>
        <w:t>Spójność</w:t>
      </w:r>
      <w:r w:rsidR="006A22D3" w:rsidRPr="006A22D3">
        <w:rPr>
          <w:noProof/>
        </w:rPr>
        <w:t xml:space="preserve"> z prz</w:t>
      </w:r>
      <w:r w:rsidRPr="006A22D3">
        <w:rPr>
          <w:noProof/>
        </w:rPr>
        <w:t>episami obowiązującymi</w:t>
      </w:r>
      <w:r w:rsidR="006A22D3" w:rsidRPr="006A22D3">
        <w:rPr>
          <w:noProof/>
        </w:rPr>
        <w:t xml:space="preserve"> w tej</w:t>
      </w:r>
      <w:r w:rsidRPr="006A22D3">
        <w:rPr>
          <w:noProof/>
        </w:rPr>
        <w:t xml:space="preserve"> dziedzinie polityki</w:t>
      </w:r>
    </w:p>
    <w:p w:rsidR="001859C1" w:rsidRPr="006A22D3" w:rsidRDefault="001859C1" w:rsidP="00CB3D33">
      <w:pPr>
        <w:rPr>
          <w:rFonts w:eastAsia="Times New Roman"/>
          <w:noProof/>
        </w:rPr>
      </w:pPr>
      <w:r w:rsidRPr="006A22D3">
        <w:rPr>
          <w:noProof/>
        </w:rPr>
        <w:t xml:space="preserve">Na szczeblu UE zrównoważony ład korporacyjny wspierano głównie pośrednio poprzez nałożenie przewidzianych w </w:t>
      </w:r>
      <w:hyperlink r:id="rId13" w:history="1">
        <w:r w:rsidRPr="006A22D3">
          <w:rPr>
            <w:noProof/>
            <w:color w:val="0000FF" w:themeColor="hyperlink"/>
            <w:u w:val="single"/>
          </w:rPr>
          <w:t>dyrektywie</w:t>
        </w:r>
        <w:r w:rsidR="006A22D3" w:rsidRPr="006A22D3">
          <w:rPr>
            <w:noProof/>
            <w:color w:val="0000FF" w:themeColor="hyperlink"/>
            <w:u w:val="single"/>
          </w:rPr>
          <w:t xml:space="preserve"> w spr</w:t>
        </w:r>
        <w:r w:rsidRPr="006A22D3">
          <w:rPr>
            <w:noProof/>
            <w:color w:val="0000FF" w:themeColor="hyperlink"/>
            <w:u w:val="single"/>
          </w:rPr>
          <w:t>awie informacji niefinansowych</w:t>
        </w:r>
      </w:hyperlink>
      <w:r w:rsidR="00AF3BC1" w:rsidRPr="006A22D3">
        <w:rPr>
          <w:rStyle w:val="FootnoteReference"/>
          <w:noProof/>
        </w:rPr>
        <w:footnoteReference w:id="11"/>
      </w:r>
      <w:r w:rsidRPr="006A22D3">
        <w:rPr>
          <w:noProof/>
        </w:rPr>
        <w:t xml:space="preserve"> wymogów dotyczących sprawozdawczości na około 12 000 przedsiębiorstw</w:t>
      </w:r>
      <w:r w:rsidRPr="006A22D3">
        <w:rPr>
          <w:rStyle w:val="FootnoteReference"/>
          <w:noProof/>
        </w:rPr>
        <w:footnoteReference w:id="12"/>
      </w:r>
      <w:r w:rsidRPr="006A22D3">
        <w:rPr>
          <w:noProof/>
        </w:rPr>
        <w:t>, zobowiązując je do przekazywania informacji na temat ryzyka, wpływu, środków (uwzględniając należytą staranność)</w:t>
      </w:r>
      <w:r w:rsidR="006A22D3" w:rsidRPr="006A22D3">
        <w:rPr>
          <w:noProof/>
        </w:rPr>
        <w:t xml:space="preserve"> i pol</w:t>
      </w:r>
      <w:r w:rsidRPr="006A22D3">
        <w:rPr>
          <w:noProof/>
        </w:rPr>
        <w:t>ityki</w:t>
      </w:r>
      <w:r w:rsidR="006A22D3" w:rsidRPr="006A22D3">
        <w:rPr>
          <w:noProof/>
        </w:rPr>
        <w:t xml:space="preserve"> w dzi</w:t>
      </w:r>
      <w:r w:rsidRPr="006A22D3">
        <w:rPr>
          <w:noProof/>
        </w:rPr>
        <w:t>edzinie środowiska, kwestii społecznych</w:t>
      </w:r>
      <w:r w:rsidR="006A22D3" w:rsidRPr="006A22D3">
        <w:rPr>
          <w:noProof/>
        </w:rPr>
        <w:t xml:space="preserve"> i pra</w:t>
      </w:r>
      <w:r w:rsidRPr="006A22D3">
        <w:rPr>
          <w:noProof/>
        </w:rPr>
        <w:t>w człowieka</w:t>
      </w:r>
      <w:r w:rsidRPr="006A22D3">
        <w:rPr>
          <w:rStyle w:val="FootnoteReference"/>
          <w:noProof/>
        </w:rPr>
        <w:footnoteReference w:id="13"/>
      </w:r>
      <w:r w:rsidRPr="006A22D3">
        <w:rPr>
          <w:noProof/>
        </w:rPr>
        <w:t>. Choć dyrektywa</w:t>
      </w:r>
      <w:r w:rsidR="006A22D3" w:rsidRPr="006A22D3">
        <w:rPr>
          <w:noProof/>
        </w:rPr>
        <w:t xml:space="preserve"> w spr</w:t>
      </w:r>
      <w:r w:rsidRPr="006A22D3">
        <w:rPr>
          <w:noProof/>
        </w:rPr>
        <w:t>awie informacji niefinansowych wywarła pewien pozytywny wpływ przejawiający się poprawą sytuacji</w:t>
      </w:r>
      <w:r w:rsidR="006A22D3" w:rsidRPr="006A22D3">
        <w:rPr>
          <w:noProof/>
        </w:rPr>
        <w:t xml:space="preserve"> w obs</w:t>
      </w:r>
      <w:r w:rsidRPr="006A22D3">
        <w:rPr>
          <w:noProof/>
        </w:rPr>
        <w:t>zarze odpowiedzialnego prowadzenia działalności gospodarczej, nie doprowadziła do sytuacji,</w:t>
      </w:r>
      <w:r w:rsidR="006A22D3" w:rsidRPr="006A22D3">
        <w:rPr>
          <w:noProof/>
        </w:rPr>
        <w:t xml:space="preserve"> w któ</w:t>
      </w:r>
      <w:r w:rsidRPr="006A22D3">
        <w:rPr>
          <w:noProof/>
        </w:rPr>
        <w:t>rej większość przedsiębiorstw zaczęłaby</w:t>
      </w:r>
      <w:r w:rsidR="006A22D3" w:rsidRPr="006A22D3">
        <w:rPr>
          <w:noProof/>
        </w:rPr>
        <w:t xml:space="preserve"> w dos</w:t>
      </w:r>
      <w:r w:rsidRPr="006A22D3">
        <w:rPr>
          <w:noProof/>
        </w:rPr>
        <w:t>tatecznym stopniu uwzględniać niekorzystne skutki prowadzonej przez siebie działalności</w:t>
      </w:r>
      <w:r w:rsidR="006A22D3" w:rsidRPr="006A22D3">
        <w:rPr>
          <w:noProof/>
        </w:rPr>
        <w:t xml:space="preserve"> w swo</w:t>
      </w:r>
      <w:r w:rsidRPr="006A22D3">
        <w:rPr>
          <w:noProof/>
        </w:rPr>
        <w:t>ich łańcuchach wartości</w:t>
      </w:r>
      <w:r w:rsidRPr="006A22D3">
        <w:rPr>
          <w:rStyle w:val="FootnoteReference"/>
          <w:noProof/>
        </w:rPr>
        <w:footnoteReference w:id="14"/>
      </w:r>
      <w:r w:rsidRPr="006A22D3">
        <w:rPr>
          <w:noProof/>
        </w:rPr>
        <w:t>.</w:t>
      </w:r>
      <w:r w:rsidR="00192E90" w:rsidRPr="006A22D3">
        <w:rPr>
          <w:noProof/>
        </w:rPr>
        <w:t xml:space="preserve"> </w:t>
      </w:r>
    </w:p>
    <w:p w:rsidR="001859C1" w:rsidRPr="006A22D3" w:rsidRDefault="001859C1" w:rsidP="00CB3D33">
      <w:pPr>
        <w:rPr>
          <w:noProof/>
        </w:rPr>
      </w:pPr>
      <w:r w:rsidRPr="006A22D3">
        <w:rPr>
          <w:noProof/>
        </w:rPr>
        <w:t xml:space="preserve">W opublikowanym niedawno przez Komisję </w:t>
      </w:r>
      <w:r w:rsidRPr="006A22D3">
        <w:rPr>
          <w:noProof/>
          <w:color w:val="0000FF" w:themeColor="hyperlink"/>
          <w:u w:val="single"/>
        </w:rPr>
        <w:t>wniosku dotyczącym dyrektywy</w:t>
      </w:r>
      <w:r w:rsidR="006A22D3" w:rsidRPr="006A22D3">
        <w:rPr>
          <w:noProof/>
          <w:color w:val="0000FF" w:themeColor="hyperlink"/>
          <w:u w:val="single"/>
        </w:rPr>
        <w:t xml:space="preserve"> w spr</w:t>
      </w:r>
      <w:r w:rsidRPr="006A22D3">
        <w:rPr>
          <w:noProof/>
          <w:color w:val="0000FF" w:themeColor="hyperlink"/>
          <w:u w:val="single"/>
        </w:rPr>
        <w:t>awie sprawozdawczości przedsiębiorstw</w:t>
      </w:r>
      <w:r w:rsidR="006A22D3" w:rsidRPr="006A22D3">
        <w:rPr>
          <w:noProof/>
          <w:color w:val="0000FF" w:themeColor="hyperlink"/>
          <w:u w:val="single"/>
        </w:rPr>
        <w:t xml:space="preserve"> w zak</w:t>
      </w:r>
      <w:r w:rsidRPr="006A22D3">
        <w:rPr>
          <w:noProof/>
          <w:color w:val="0000FF" w:themeColor="hyperlink"/>
          <w:u w:val="single"/>
        </w:rPr>
        <w:t>resie zrównoważonego rozwoju (CSRD) zmieniającej dyrektywę</w:t>
      </w:r>
      <w:r w:rsidR="006A22D3" w:rsidRPr="006A22D3">
        <w:rPr>
          <w:noProof/>
          <w:color w:val="0000FF" w:themeColor="hyperlink"/>
          <w:u w:val="single"/>
        </w:rPr>
        <w:t xml:space="preserve"> w spr</w:t>
      </w:r>
      <w:r w:rsidRPr="006A22D3">
        <w:rPr>
          <w:noProof/>
          <w:color w:val="0000FF" w:themeColor="hyperlink"/>
          <w:u w:val="single"/>
        </w:rPr>
        <w:t>awie informacji niefinansowych</w:t>
      </w:r>
      <w:r w:rsidR="008A4E68" w:rsidRPr="006A22D3">
        <w:rPr>
          <w:rStyle w:val="FootnoteReference"/>
          <w:noProof/>
        </w:rPr>
        <w:footnoteReference w:id="15"/>
      </w:r>
      <w:r w:rsidRPr="006A22D3">
        <w:rPr>
          <w:rStyle w:val="FootnoteReference"/>
          <w:noProof/>
          <w:vertAlign w:val="baseline"/>
        </w:rPr>
        <w:t xml:space="preserve"> </w:t>
      </w:r>
      <w:r w:rsidRPr="006A22D3">
        <w:rPr>
          <w:noProof/>
        </w:rPr>
        <w:t>przewidziano rozszerzenie obowiązków</w:t>
      </w:r>
      <w:r w:rsidR="006A22D3" w:rsidRPr="006A22D3">
        <w:rPr>
          <w:noProof/>
        </w:rPr>
        <w:t xml:space="preserve"> w zak</w:t>
      </w:r>
      <w:r w:rsidRPr="006A22D3">
        <w:rPr>
          <w:noProof/>
        </w:rPr>
        <w:t>resie sprawozdawczości na wszystkie duże przedsiębiorstwa oraz na wszystkie spółki giełdowe</w:t>
      </w:r>
      <w:r w:rsidRPr="006A22D3">
        <w:rPr>
          <w:rStyle w:val="FootnoteReference"/>
          <w:noProof/>
        </w:rPr>
        <w:footnoteReference w:id="16"/>
      </w:r>
      <w:r w:rsidRPr="006A22D3">
        <w:rPr>
          <w:noProof/>
        </w:rPr>
        <w:t>, ustanowienie wymogu przeprowadzania badania (atestacji) zgłaszanych informacji oraz wzmocnienie działań na rzecz standaryzacji przekazywanych informacji poprzez upoważnienie Komisji do przyjmowania standardów dotyczących sprawozdawczości</w:t>
      </w:r>
      <w:r w:rsidR="006A22D3" w:rsidRPr="006A22D3">
        <w:rPr>
          <w:noProof/>
        </w:rPr>
        <w:t xml:space="preserve"> w zak</w:t>
      </w:r>
      <w:r w:rsidRPr="006A22D3">
        <w:rPr>
          <w:noProof/>
        </w:rPr>
        <w:t>resie zrównoważonego rozwoju</w:t>
      </w:r>
      <w:r w:rsidR="00386920" w:rsidRPr="006A22D3">
        <w:rPr>
          <w:rStyle w:val="FootnoteReference"/>
          <w:noProof/>
        </w:rPr>
        <w:footnoteReference w:id="17"/>
      </w:r>
      <w:r w:rsidRPr="006A22D3">
        <w:rPr>
          <w:noProof/>
        </w:rPr>
        <w:t>. Niniejsza dyrektywa będzie uzupełniała aktualnie obowiązującą dyrektywę</w:t>
      </w:r>
      <w:r w:rsidR="006A22D3" w:rsidRPr="006A22D3">
        <w:rPr>
          <w:noProof/>
        </w:rPr>
        <w:t xml:space="preserve"> w spr</w:t>
      </w:r>
      <w:r w:rsidRPr="006A22D3">
        <w:rPr>
          <w:noProof/>
        </w:rPr>
        <w:t>awie informacji niefinansowych</w:t>
      </w:r>
      <w:r w:rsidR="006A22D3" w:rsidRPr="006A22D3">
        <w:rPr>
          <w:noProof/>
        </w:rPr>
        <w:t xml:space="preserve"> i pro</w:t>
      </w:r>
      <w:r w:rsidRPr="006A22D3">
        <w:rPr>
          <w:noProof/>
        </w:rPr>
        <w:t>ponowane zmiany do tej dyrektywy (wniosek dotyczący CSRD) poprzez nałożenie na niektóre przedsiębiorstwa istotnego obowiązku polegającego na dokładaniu należytej staranności</w:t>
      </w:r>
      <w:r w:rsidR="006A22D3" w:rsidRPr="006A22D3">
        <w:rPr>
          <w:noProof/>
        </w:rPr>
        <w:t xml:space="preserve"> w cel</w:t>
      </w:r>
      <w:r w:rsidRPr="006A22D3">
        <w:rPr>
          <w:noProof/>
        </w:rPr>
        <w:t>u identyfikowania szkód zewnętrznych wynikających</w:t>
      </w:r>
      <w:r w:rsidR="006A22D3" w:rsidRPr="006A22D3">
        <w:rPr>
          <w:noProof/>
        </w:rPr>
        <w:t xml:space="preserve"> z nie</w:t>
      </w:r>
      <w:r w:rsidRPr="006A22D3">
        <w:rPr>
          <w:noProof/>
        </w:rPr>
        <w:t>korzystnych skutków dla praw człowieka</w:t>
      </w:r>
      <w:r w:rsidR="006A22D3" w:rsidRPr="006A22D3">
        <w:rPr>
          <w:noProof/>
        </w:rPr>
        <w:t xml:space="preserve"> i dla</w:t>
      </w:r>
      <w:r w:rsidRPr="006A22D3">
        <w:rPr>
          <w:noProof/>
        </w:rPr>
        <w:t xml:space="preserve"> środowiska wywieranych przez działalność samego przedsiębiorstwa, jego jednostek zależnych oraz podmiotów działających</w:t>
      </w:r>
      <w:r w:rsidR="006A22D3" w:rsidRPr="006A22D3">
        <w:rPr>
          <w:noProof/>
        </w:rPr>
        <w:t xml:space="preserve"> w ram</w:t>
      </w:r>
      <w:r w:rsidRPr="006A22D3">
        <w:rPr>
          <w:noProof/>
        </w:rPr>
        <w:t>ach jego łańcucha wartości, zapobiegania tym szkodom, ich łagodzenia oraz ponoszenia</w:t>
      </w:r>
      <w:r w:rsidR="006A22D3" w:rsidRPr="006A22D3">
        <w:rPr>
          <w:noProof/>
        </w:rPr>
        <w:t xml:space="preserve"> w tym</w:t>
      </w:r>
      <w:r w:rsidRPr="006A22D3">
        <w:rPr>
          <w:noProof/>
        </w:rPr>
        <w:t xml:space="preserve"> kontekście odpowiedzialności. Elementem wniosku dotyczącego CSRD, który ma szczególne znaczenie</w:t>
      </w:r>
      <w:r w:rsidR="006A22D3" w:rsidRPr="006A22D3">
        <w:rPr>
          <w:noProof/>
        </w:rPr>
        <w:t xml:space="preserve"> w tym</w:t>
      </w:r>
      <w:r w:rsidRPr="006A22D3">
        <w:rPr>
          <w:noProof/>
        </w:rPr>
        <w:t xml:space="preserve"> kontekście, jest fakt, że we wniosku tym przewidziano uprawnienie do ujawniania planów przedsiębiorstwa, aby zapewnić, że jego model biznesowy</w:t>
      </w:r>
      <w:r w:rsidR="006A22D3" w:rsidRPr="006A22D3">
        <w:rPr>
          <w:noProof/>
        </w:rPr>
        <w:t xml:space="preserve"> i str</w:t>
      </w:r>
      <w:r w:rsidRPr="006A22D3">
        <w:rPr>
          <w:noProof/>
        </w:rPr>
        <w:t>ategia są spójne</w:t>
      </w:r>
      <w:r w:rsidR="006A22D3" w:rsidRPr="006A22D3">
        <w:rPr>
          <w:noProof/>
        </w:rPr>
        <w:t xml:space="preserve"> z zał</w:t>
      </w:r>
      <w:r w:rsidRPr="006A22D3">
        <w:rPr>
          <w:noProof/>
        </w:rPr>
        <w:t>ożeniami procesu przechodzenia na gospodarkę zrównoważoną oraz</w:t>
      </w:r>
      <w:r w:rsidR="006A22D3" w:rsidRPr="006A22D3">
        <w:rPr>
          <w:noProof/>
        </w:rPr>
        <w:t xml:space="preserve"> z cel</w:t>
      </w:r>
      <w:r w:rsidRPr="006A22D3">
        <w:rPr>
          <w:noProof/>
        </w:rPr>
        <w:t>em polegającym na ograniczeniu globalnego ocieplenia do</w:t>
      </w:r>
      <w:r w:rsidR="00192E90" w:rsidRPr="006A22D3">
        <w:rPr>
          <w:noProof/>
        </w:rPr>
        <w:t> </w:t>
      </w:r>
      <w:r w:rsidRPr="006A22D3">
        <w:rPr>
          <w:noProof/>
        </w:rPr>
        <w:t>1,5</w:t>
      </w:r>
      <w:r w:rsidR="00192E90" w:rsidRPr="006A22D3">
        <w:rPr>
          <w:noProof/>
        </w:rPr>
        <w:t> </w:t>
      </w:r>
      <w:r w:rsidRPr="006A22D3">
        <w:rPr>
          <w:noProof/>
        </w:rPr>
        <w:t>°C zgodnie</w:t>
      </w:r>
      <w:r w:rsidR="006A22D3" w:rsidRPr="006A22D3">
        <w:rPr>
          <w:noProof/>
        </w:rPr>
        <w:t xml:space="preserve"> z pos</w:t>
      </w:r>
      <w:r w:rsidRPr="006A22D3">
        <w:rPr>
          <w:noProof/>
        </w:rPr>
        <w:t>tanowieniami porozumienia paryskiego. Te dwie inicjatywy są ze sobą ściśle powiązane</w:t>
      </w:r>
      <w:r w:rsidR="006A22D3" w:rsidRPr="006A22D3">
        <w:rPr>
          <w:noProof/>
        </w:rPr>
        <w:t xml:space="preserve"> i dop</w:t>
      </w:r>
      <w:r w:rsidRPr="006A22D3">
        <w:rPr>
          <w:noProof/>
        </w:rPr>
        <w:t>rowadzą do osiągnięcia synergii. Po pierwsze, odpowiednie gromadzenie danych na potrzeby wymogów</w:t>
      </w:r>
      <w:r w:rsidR="006A22D3" w:rsidRPr="006A22D3">
        <w:rPr>
          <w:noProof/>
        </w:rPr>
        <w:t xml:space="preserve"> w zak</w:t>
      </w:r>
      <w:r w:rsidRPr="006A22D3">
        <w:rPr>
          <w:noProof/>
        </w:rPr>
        <w:t>resie sprawozdawczości ustanowionych we wniosku dotyczącym CSRD wiąże się</w:t>
      </w:r>
      <w:r w:rsidR="006A22D3" w:rsidRPr="006A22D3">
        <w:rPr>
          <w:noProof/>
        </w:rPr>
        <w:t xml:space="preserve"> z kon</w:t>
      </w:r>
      <w:r w:rsidRPr="006A22D3">
        <w:rPr>
          <w:noProof/>
        </w:rPr>
        <w:t>iecznością przyjęcia procedur, które będą ściśle powiązane</w:t>
      </w:r>
      <w:r w:rsidR="006A22D3" w:rsidRPr="006A22D3">
        <w:rPr>
          <w:noProof/>
        </w:rPr>
        <w:t xml:space="preserve"> z ide</w:t>
      </w:r>
      <w:r w:rsidRPr="006A22D3">
        <w:rPr>
          <w:noProof/>
        </w:rPr>
        <w:t>ntyfikowaniem niekorzystnych skutków</w:t>
      </w:r>
      <w:r w:rsidR="006A22D3" w:rsidRPr="006A22D3">
        <w:rPr>
          <w:noProof/>
        </w:rPr>
        <w:t xml:space="preserve"> w cel</w:t>
      </w:r>
      <w:r w:rsidRPr="006A22D3">
        <w:rPr>
          <w:noProof/>
        </w:rPr>
        <w:t>u wywiązania się</w:t>
      </w:r>
      <w:r w:rsidR="006A22D3" w:rsidRPr="006A22D3">
        <w:rPr>
          <w:noProof/>
        </w:rPr>
        <w:t xml:space="preserve"> z obo</w:t>
      </w:r>
      <w:r w:rsidRPr="006A22D3">
        <w:rPr>
          <w:noProof/>
        </w:rPr>
        <w:t>wiązku dochowania należytej staranności przewidzianego</w:t>
      </w:r>
      <w:r w:rsidR="006A22D3" w:rsidRPr="006A22D3">
        <w:rPr>
          <w:noProof/>
        </w:rPr>
        <w:t xml:space="preserve"> w nin</w:t>
      </w:r>
      <w:r w:rsidRPr="006A22D3">
        <w:rPr>
          <w:noProof/>
        </w:rPr>
        <w:t>iejszej dyrektywie. Po drugie,</w:t>
      </w:r>
      <w:r w:rsidR="006A22D3" w:rsidRPr="006A22D3">
        <w:rPr>
          <w:noProof/>
        </w:rPr>
        <w:t xml:space="preserve"> w odn</w:t>
      </w:r>
      <w:r w:rsidRPr="006A22D3">
        <w:rPr>
          <w:noProof/>
        </w:rPr>
        <w:t>iesieniu do przedsiębiorstw, które są również objęte zakresem CSRD, przepisy CSRD będą obejmowały ostatni etap działań podejmowanych</w:t>
      </w:r>
      <w:r w:rsidR="006A22D3" w:rsidRPr="006A22D3">
        <w:rPr>
          <w:noProof/>
        </w:rPr>
        <w:t xml:space="preserve"> w cel</w:t>
      </w:r>
      <w:r w:rsidRPr="006A22D3">
        <w:rPr>
          <w:noProof/>
        </w:rPr>
        <w:t>u wywiązania się</w:t>
      </w:r>
      <w:r w:rsidR="006A22D3" w:rsidRPr="006A22D3">
        <w:rPr>
          <w:noProof/>
        </w:rPr>
        <w:t xml:space="preserve"> z obo</w:t>
      </w:r>
      <w:r w:rsidRPr="006A22D3">
        <w:rPr>
          <w:noProof/>
        </w:rPr>
        <w:t>wiązku dochowania należytej staranności, czyli etap sprawozdawczości. Po trzecie,</w:t>
      </w:r>
      <w:r w:rsidR="006A22D3" w:rsidRPr="006A22D3">
        <w:rPr>
          <w:noProof/>
        </w:rPr>
        <w:t xml:space="preserve"> w nin</w:t>
      </w:r>
      <w:r w:rsidRPr="006A22D3">
        <w:rPr>
          <w:noProof/>
        </w:rPr>
        <w:t>iejszej dyrektywie na przedsiębiorstwa planuje się nałożyć obowiązki</w:t>
      </w:r>
      <w:r w:rsidR="006A22D3" w:rsidRPr="006A22D3">
        <w:rPr>
          <w:noProof/>
        </w:rPr>
        <w:t xml:space="preserve"> w zak</w:t>
      </w:r>
      <w:r w:rsidRPr="006A22D3">
        <w:rPr>
          <w:noProof/>
        </w:rPr>
        <w:t>resie przyjęcia planu służącego zagwarantowaniu spójności ich modelu biznesowego</w:t>
      </w:r>
      <w:r w:rsidR="006A22D3" w:rsidRPr="006A22D3">
        <w:rPr>
          <w:noProof/>
        </w:rPr>
        <w:t xml:space="preserve"> i str</w:t>
      </w:r>
      <w:r w:rsidRPr="006A22D3">
        <w:rPr>
          <w:noProof/>
        </w:rPr>
        <w:t>ategii</w:t>
      </w:r>
      <w:r w:rsidR="006A22D3" w:rsidRPr="006A22D3">
        <w:rPr>
          <w:noProof/>
        </w:rPr>
        <w:t xml:space="preserve"> z zał</w:t>
      </w:r>
      <w:r w:rsidRPr="006A22D3">
        <w:rPr>
          <w:noProof/>
        </w:rPr>
        <w:t>ożeniami procesu przechodzenia na gospodarkę zrównoważoną oraz</w:t>
      </w:r>
      <w:r w:rsidR="006A22D3" w:rsidRPr="006A22D3">
        <w:rPr>
          <w:noProof/>
        </w:rPr>
        <w:t xml:space="preserve"> z cel</w:t>
      </w:r>
      <w:r w:rsidRPr="006A22D3">
        <w:rPr>
          <w:noProof/>
        </w:rPr>
        <w:t>em polegającym na ograniczeniu globalnego ocieplenia do</w:t>
      </w:r>
      <w:r w:rsidR="00192E90" w:rsidRPr="006A22D3">
        <w:rPr>
          <w:noProof/>
        </w:rPr>
        <w:t> </w:t>
      </w:r>
      <w:r w:rsidRPr="006A22D3">
        <w:rPr>
          <w:noProof/>
        </w:rPr>
        <w:t>1,5</w:t>
      </w:r>
      <w:r w:rsidR="00192E90" w:rsidRPr="006A22D3">
        <w:rPr>
          <w:noProof/>
        </w:rPr>
        <w:t> </w:t>
      </w:r>
      <w:r w:rsidRPr="006A22D3">
        <w:rPr>
          <w:noProof/>
        </w:rPr>
        <w:t>°C zgodnie</w:t>
      </w:r>
      <w:r w:rsidR="006A22D3" w:rsidRPr="006A22D3">
        <w:rPr>
          <w:noProof/>
        </w:rPr>
        <w:t xml:space="preserve"> z pos</w:t>
      </w:r>
      <w:r w:rsidRPr="006A22D3">
        <w:rPr>
          <w:noProof/>
        </w:rPr>
        <w:t>tanowieniami porozumienia paryskiego;</w:t>
      </w:r>
      <w:r w:rsidR="006A22D3" w:rsidRPr="006A22D3">
        <w:rPr>
          <w:noProof/>
        </w:rPr>
        <w:t xml:space="preserve"> z kol</w:t>
      </w:r>
      <w:r w:rsidRPr="006A22D3">
        <w:rPr>
          <w:noProof/>
        </w:rPr>
        <w:t>ei w CSRD na przedsiębiorstwa nałożono obowiązek sprawozdawczości</w:t>
      </w:r>
      <w:r w:rsidR="006A22D3" w:rsidRPr="006A22D3">
        <w:rPr>
          <w:noProof/>
        </w:rPr>
        <w:t xml:space="preserve"> w zak</w:t>
      </w:r>
      <w:r w:rsidRPr="006A22D3">
        <w:rPr>
          <w:noProof/>
        </w:rPr>
        <w:t>resie podejmowanych przez nie działań przyczyniających się do osiągnięcia tego celu. Tym samym niniejsza dyrektywa sprawi, że sprawozdawczość przedsiębiorstw będzie bardziej kompletna</w:t>
      </w:r>
      <w:r w:rsidR="006A22D3" w:rsidRPr="006A22D3">
        <w:rPr>
          <w:noProof/>
        </w:rPr>
        <w:t xml:space="preserve"> i sku</w:t>
      </w:r>
      <w:r w:rsidRPr="006A22D3">
        <w:rPr>
          <w:noProof/>
        </w:rPr>
        <w:t>teczniejsza</w:t>
      </w:r>
      <w:r w:rsidR="006A22D3" w:rsidRPr="006A22D3">
        <w:rPr>
          <w:noProof/>
        </w:rPr>
        <w:t>. W zwi</w:t>
      </w:r>
      <w:r w:rsidRPr="006A22D3">
        <w:rPr>
          <w:noProof/>
        </w:rPr>
        <w:t>ązku</w:t>
      </w:r>
      <w:r w:rsidR="006A22D3" w:rsidRPr="006A22D3">
        <w:rPr>
          <w:noProof/>
        </w:rPr>
        <w:t xml:space="preserve"> z pow</w:t>
      </w:r>
      <w:r w:rsidRPr="006A22D3">
        <w:rPr>
          <w:noProof/>
        </w:rPr>
        <w:t>yższym komplementarność doprowadzi do poprawy efektywności obydwu wspomnianych środków</w:t>
      </w:r>
      <w:r w:rsidR="006A22D3" w:rsidRPr="006A22D3">
        <w:rPr>
          <w:noProof/>
        </w:rPr>
        <w:t xml:space="preserve"> i będ</w:t>
      </w:r>
      <w:r w:rsidRPr="006A22D3">
        <w:rPr>
          <w:noProof/>
        </w:rPr>
        <w:t>zie stanowiła czynnik sprzyjający zmianie filozofii zarządzania przedsiębiorstwem</w:t>
      </w:r>
      <w:r w:rsidR="006A22D3" w:rsidRPr="006A22D3">
        <w:rPr>
          <w:noProof/>
        </w:rPr>
        <w:t xml:space="preserve"> w prz</w:t>
      </w:r>
      <w:r w:rsidRPr="006A22D3">
        <w:rPr>
          <w:noProof/>
        </w:rPr>
        <w:t>ypadku przedsiębiorstw podlegających wymogom przewidzianym</w:t>
      </w:r>
      <w:r w:rsidR="006A22D3" w:rsidRPr="006A22D3">
        <w:rPr>
          <w:noProof/>
        </w:rPr>
        <w:t xml:space="preserve"> w tyc</w:t>
      </w:r>
      <w:r w:rsidRPr="006A22D3">
        <w:rPr>
          <w:noProof/>
        </w:rPr>
        <w:t>h środkach.</w:t>
      </w:r>
    </w:p>
    <w:p w:rsidR="00443987" w:rsidRPr="006A22D3" w:rsidRDefault="00443987" w:rsidP="00CB3D33">
      <w:pPr>
        <w:rPr>
          <w:noProof/>
        </w:rPr>
      </w:pPr>
      <w:r w:rsidRPr="006A22D3">
        <w:rPr>
          <w:noProof/>
        </w:rPr>
        <w:t xml:space="preserve">Niniejsza dyrektywa będzie również wspierała wdrażanie </w:t>
      </w:r>
      <w:hyperlink r:id="rId14" w:history="1">
        <w:r w:rsidRPr="006A22D3">
          <w:rPr>
            <w:rStyle w:val="Hyperlink"/>
            <w:noProof/>
          </w:rPr>
          <w:t>rozporządzenia</w:t>
        </w:r>
        <w:r w:rsidR="006A22D3" w:rsidRPr="006A22D3">
          <w:rPr>
            <w:rStyle w:val="Hyperlink"/>
            <w:noProof/>
          </w:rPr>
          <w:t xml:space="preserve"> w spr</w:t>
        </w:r>
        <w:r w:rsidRPr="006A22D3">
          <w:rPr>
            <w:rStyle w:val="Hyperlink"/>
            <w:noProof/>
          </w:rPr>
          <w:t>awie ujawniania informacji związanych ze zrównoważonym rozwojem</w:t>
        </w:r>
        <w:r w:rsidR="006A22D3" w:rsidRPr="006A22D3">
          <w:rPr>
            <w:rStyle w:val="Hyperlink"/>
            <w:noProof/>
          </w:rPr>
          <w:t xml:space="preserve"> w sek</w:t>
        </w:r>
        <w:r w:rsidRPr="006A22D3">
          <w:rPr>
            <w:rStyle w:val="Hyperlink"/>
            <w:noProof/>
          </w:rPr>
          <w:t>torze usług finansowych</w:t>
        </w:r>
      </w:hyperlink>
      <w:r w:rsidRPr="006A22D3">
        <w:rPr>
          <w:rStyle w:val="FootnoteReference"/>
          <w:noProof/>
        </w:rPr>
        <w:footnoteReference w:id="18"/>
      </w:r>
      <w:r w:rsidRPr="006A22D3">
        <w:rPr>
          <w:noProof/>
        </w:rPr>
        <w:t>, które niedawno weszło</w:t>
      </w:r>
      <w:r w:rsidR="006A22D3" w:rsidRPr="006A22D3">
        <w:rPr>
          <w:noProof/>
        </w:rPr>
        <w:t xml:space="preserve"> w życ</w:t>
      </w:r>
      <w:r w:rsidRPr="006A22D3">
        <w:rPr>
          <w:noProof/>
        </w:rPr>
        <w:t>ie</w:t>
      </w:r>
      <w:r w:rsidR="006A22D3" w:rsidRPr="006A22D3">
        <w:rPr>
          <w:noProof/>
        </w:rPr>
        <w:t xml:space="preserve"> i któ</w:t>
      </w:r>
      <w:r w:rsidRPr="006A22D3">
        <w:rPr>
          <w:noProof/>
        </w:rPr>
        <w:t>re ma zastosowanie do uczestników rynku finansowego (takich jak zarządzający funduszami inwestycyjnymi</w:t>
      </w:r>
      <w:r w:rsidR="006A22D3" w:rsidRPr="006A22D3">
        <w:rPr>
          <w:noProof/>
        </w:rPr>
        <w:t xml:space="preserve"> i zar</w:t>
      </w:r>
      <w:r w:rsidRPr="006A22D3">
        <w:rPr>
          <w:noProof/>
        </w:rPr>
        <w:t>ządzający portfelami, zakłady ubezpieczeń sprzedające ubezpieczeniowe produkty inwestycyjne oraz przedsiębiorstwa oferujące różnego rodzaju produkty emerytalne)</w:t>
      </w:r>
      <w:r w:rsidR="006A22D3" w:rsidRPr="006A22D3">
        <w:rPr>
          <w:noProof/>
        </w:rPr>
        <w:t xml:space="preserve"> i dor</w:t>
      </w:r>
      <w:r w:rsidRPr="006A22D3">
        <w:rPr>
          <w:noProof/>
        </w:rPr>
        <w:t>adców finansowych. Zgodnie</w:t>
      </w:r>
      <w:r w:rsidR="006A22D3" w:rsidRPr="006A22D3">
        <w:rPr>
          <w:noProof/>
        </w:rPr>
        <w:t xml:space="preserve"> z roz</w:t>
      </w:r>
      <w:r w:rsidRPr="006A22D3">
        <w:rPr>
          <w:noProof/>
        </w:rPr>
        <w:t>porządzeniem</w:t>
      </w:r>
      <w:r w:rsidR="006A22D3" w:rsidRPr="006A22D3">
        <w:rPr>
          <w:noProof/>
        </w:rPr>
        <w:t xml:space="preserve"> w spr</w:t>
      </w:r>
      <w:r w:rsidRPr="006A22D3">
        <w:rPr>
          <w:noProof/>
        </w:rPr>
        <w:t>awie ujawniania informacji związanych ze zrównoważonym rozwojem</w:t>
      </w:r>
      <w:r w:rsidR="006A22D3" w:rsidRPr="006A22D3">
        <w:rPr>
          <w:noProof/>
        </w:rPr>
        <w:t xml:space="preserve"> w sek</w:t>
      </w:r>
      <w:r w:rsidRPr="006A22D3">
        <w:rPr>
          <w:noProof/>
        </w:rPr>
        <w:t>torze usług finansowych wspomniane przedsiębiorstwa są zobowiązane do opublikowania m.in. oświadczenia</w:t>
      </w:r>
      <w:r w:rsidR="006A22D3" w:rsidRPr="006A22D3">
        <w:rPr>
          <w:noProof/>
        </w:rPr>
        <w:t xml:space="preserve"> w spr</w:t>
      </w:r>
      <w:r w:rsidRPr="006A22D3">
        <w:rPr>
          <w:noProof/>
        </w:rPr>
        <w:t>awie stosowanych przez nie polityk</w:t>
      </w:r>
      <w:r w:rsidR="006A22D3" w:rsidRPr="006A22D3">
        <w:rPr>
          <w:noProof/>
        </w:rPr>
        <w:t xml:space="preserve"> w zak</w:t>
      </w:r>
      <w:r w:rsidRPr="006A22D3">
        <w:rPr>
          <w:noProof/>
        </w:rPr>
        <w:t>resie należytej staranności</w:t>
      </w:r>
      <w:r w:rsidR="006A22D3" w:rsidRPr="006A22D3">
        <w:rPr>
          <w:noProof/>
        </w:rPr>
        <w:t xml:space="preserve"> w odn</w:t>
      </w:r>
      <w:r w:rsidRPr="006A22D3">
        <w:rPr>
          <w:noProof/>
        </w:rPr>
        <w:t>iesieniu do najważniejszych niekorzystnych skutków, jakie ich decyzje inwestycyjne wywierają na czynniki związane ze zrównoważonym rozwojem zgodnie</w:t>
      </w:r>
      <w:r w:rsidR="006A22D3" w:rsidRPr="006A22D3">
        <w:rPr>
          <w:noProof/>
        </w:rPr>
        <w:t xml:space="preserve"> z pod</w:t>
      </w:r>
      <w:r w:rsidRPr="006A22D3">
        <w:rPr>
          <w:noProof/>
        </w:rPr>
        <w:t>ejściem „przestrzegaj lub wyjaśnij”. Ponadto</w:t>
      </w:r>
      <w:r w:rsidR="006A22D3" w:rsidRPr="006A22D3">
        <w:rPr>
          <w:noProof/>
        </w:rPr>
        <w:t xml:space="preserve"> w prz</w:t>
      </w:r>
      <w:r w:rsidRPr="006A22D3">
        <w:rPr>
          <w:noProof/>
        </w:rPr>
        <w:t>ypadku przedsiębiorstw zatrudniających ponad 500 pracowników publikacja takiego oświadczenia jest obowiązkowa; Komisja jest również uprawniona do przyjmowania regulacyjnych standardów technicznych dotyczących wskaźników zrównoważonego rozwoju</w:t>
      </w:r>
      <w:r w:rsidR="006A22D3" w:rsidRPr="006A22D3">
        <w:rPr>
          <w:noProof/>
        </w:rPr>
        <w:t xml:space="preserve"> w odn</w:t>
      </w:r>
      <w:r w:rsidRPr="006A22D3">
        <w:rPr>
          <w:noProof/>
        </w:rPr>
        <w:t>iesieniu do poszczególnych rodzajów niekorzystnych skutków</w:t>
      </w:r>
      <w:r w:rsidRPr="006A22D3">
        <w:rPr>
          <w:rStyle w:val="FootnoteReference"/>
          <w:noProof/>
        </w:rPr>
        <w:footnoteReference w:id="19"/>
      </w:r>
      <w:r w:rsidRPr="006A22D3">
        <w:rPr>
          <w:noProof/>
        </w:rPr>
        <w:t>.</w:t>
      </w:r>
    </w:p>
    <w:p w:rsidR="001859C1" w:rsidRPr="006A22D3" w:rsidRDefault="001859C1" w:rsidP="0070694A">
      <w:pPr>
        <w:rPr>
          <w:noProof/>
        </w:rPr>
      </w:pPr>
      <w:r w:rsidRPr="006A22D3">
        <w:rPr>
          <w:noProof/>
        </w:rPr>
        <w:t xml:space="preserve">Podobnie niniejsza dyrektywa będzie uzupełniała przyjęte niedawno </w:t>
      </w:r>
      <w:hyperlink r:id="rId15" w:history="1">
        <w:r w:rsidRPr="006A22D3">
          <w:rPr>
            <w:noProof/>
            <w:color w:val="0000FF" w:themeColor="hyperlink"/>
            <w:u w:val="single"/>
          </w:rPr>
          <w:t>rozporządzenie</w:t>
        </w:r>
        <w:r w:rsidR="006A22D3" w:rsidRPr="006A22D3">
          <w:rPr>
            <w:noProof/>
            <w:color w:val="0000FF" w:themeColor="hyperlink"/>
            <w:u w:val="single"/>
          </w:rPr>
          <w:t xml:space="preserve"> w spr</w:t>
        </w:r>
        <w:r w:rsidRPr="006A22D3">
          <w:rPr>
            <w:noProof/>
            <w:color w:val="0000FF" w:themeColor="hyperlink"/>
            <w:u w:val="single"/>
          </w:rPr>
          <w:t>awie systematyki</w:t>
        </w:r>
      </w:hyperlink>
      <w:r w:rsidR="00580037" w:rsidRPr="006A22D3">
        <w:rPr>
          <w:rStyle w:val="FootnoteReference"/>
          <w:noProof/>
        </w:rPr>
        <w:footnoteReference w:id="20"/>
      </w:r>
      <w:r w:rsidRPr="006A22D3">
        <w:rPr>
          <w:noProof/>
        </w:rPr>
        <w:t xml:space="preserve"> stanowiące narzędzie sprzyjające przejrzystości, które ułatwia podejmowanie decyzji inwestycyjnych</w:t>
      </w:r>
      <w:r w:rsidR="006A22D3" w:rsidRPr="006A22D3">
        <w:rPr>
          <w:noProof/>
        </w:rPr>
        <w:t xml:space="preserve"> i zap</w:t>
      </w:r>
      <w:r w:rsidRPr="006A22D3">
        <w:rPr>
          <w:noProof/>
        </w:rPr>
        <w:t>ewnia wsparcie na rzecz przeciwdziałania pseudoekologicznemu marketingowi poprzez ustanowienie klasyfikacji zrównoważonych środowiskowo inwestycji</w:t>
      </w:r>
      <w:r w:rsidR="006A22D3" w:rsidRPr="006A22D3">
        <w:rPr>
          <w:noProof/>
        </w:rPr>
        <w:t xml:space="preserve"> w dzi</w:t>
      </w:r>
      <w:r w:rsidRPr="006A22D3">
        <w:rPr>
          <w:noProof/>
        </w:rPr>
        <w:t>ałalność gospodarczą prowadzoną przy poszanowaniu minimalnych gwarancji socjalnych</w:t>
      </w:r>
      <w:r w:rsidRPr="006A22D3">
        <w:rPr>
          <w:rStyle w:val="FootnoteReference"/>
          <w:noProof/>
        </w:rPr>
        <w:footnoteReference w:id="21"/>
      </w:r>
      <w:r w:rsidRPr="006A22D3">
        <w:rPr>
          <w:noProof/>
        </w:rPr>
        <w:t>. Sprawozdawczość obejmuje również minimalne gwarancje ustanowione</w:t>
      </w:r>
      <w:r w:rsidR="006A22D3" w:rsidRPr="006A22D3">
        <w:rPr>
          <w:noProof/>
        </w:rPr>
        <w:t xml:space="preserve"> w art</w:t>
      </w:r>
      <w:r w:rsidRPr="006A22D3">
        <w:rPr>
          <w:noProof/>
        </w:rPr>
        <w:t>.</w:t>
      </w:r>
      <w:r w:rsidR="00192E90" w:rsidRPr="006A22D3">
        <w:rPr>
          <w:noProof/>
        </w:rPr>
        <w:t> </w:t>
      </w:r>
      <w:r w:rsidRPr="006A22D3">
        <w:rPr>
          <w:noProof/>
        </w:rPr>
        <w:t>18 rozporządzenia</w:t>
      </w:r>
      <w:r w:rsidR="006A22D3" w:rsidRPr="006A22D3">
        <w:rPr>
          <w:noProof/>
        </w:rPr>
        <w:t xml:space="preserve"> w spr</w:t>
      </w:r>
      <w:r w:rsidRPr="006A22D3">
        <w:rPr>
          <w:noProof/>
        </w:rPr>
        <w:t>awie systematyki, które odnoszą się do procedur, jakie przedsiębiorstwa powinny stosować, aby zapewnić przestrzeganie Wytycznych OECD dla przedsiębiorstw wielonarodowych oraz Wytycznych ONZ dotyczących biznesu</w:t>
      </w:r>
      <w:r w:rsidR="006A22D3" w:rsidRPr="006A22D3">
        <w:rPr>
          <w:noProof/>
        </w:rPr>
        <w:t xml:space="preserve"> i pra</w:t>
      </w:r>
      <w:r w:rsidRPr="006A22D3">
        <w:rPr>
          <w:noProof/>
        </w:rPr>
        <w:t>w człowieka,</w:t>
      </w:r>
      <w:r w:rsidR="006A22D3" w:rsidRPr="006A22D3">
        <w:rPr>
          <w:noProof/>
        </w:rPr>
        <w:t xml:space="preserve"> w tym</w:t>
      </w:r>
      <w:r w:rsidRPr="006A22D3">
        <w:rPr>
          <w:noProof/>
        </w:rPr>
        <w:t xml:space="preserve"> zasad</w:t>
      </w:r>
      <w:r w:rsidR="006A22D3" w:rsidRPr="006A22D3">
        <w:rPr>
          <w:noProof/>
        </w:rPr>
        <w:t xml:space="preserve"> i pra</w:t>
      </w:r>
      <w:r w:rsidRPr="006A22D3">
        <w:rPr>
          <w:noProof/>
        </w:rPr>
        <w:t>w określonych</w:t>
      </w:r>
      <w:r w:rsidR="006A22D3" w:rsidRPr="006A22D3">
        <w:rPr>
          <w:noProof/>
        </w:rPr>
        <w:t xml:space="preserve"> w ośm</w:t>
      </w:r>
      <w:r w:rsidRPr="006A22D3">
        <w:rPr>
          <w:noProof/>
        </w:rPr>
        <w:t>iu podstawowych konwencjach wskazanych</w:t>
      </w:r>
      <w:r w:rsidR="006A22D3" w:rsidRPr="006A22D3">
        <w:rPr>
          <w:noProof/>
        </w:rPr>
        <w:t xml:space="preserve"> w Dek</w:t>
      </w:r>
      <w:r w:rsidRPr="006A22D3">
        <w:rPr>
          <w:noProof/>
        </w:rPr>
        <w:t>laracji Międzynarodowej Organizacji Pracy dotyczącej podstawowych zasad</w:t>
      </w:r>
      <w:r w:rsidR="006A22D3" w:rsidRPr="006A22D3">
        <w:rPr>
          <w:noProof/>
        </w:rPr>
        <w:t xml:space="preserve"> i pra</w:t>
      </w:r>
      <w:r w:rsidRPr="006A22D3">
        <w:rPr>
          <w:noProof/>
        </w:rPr>
        <w:t>w</w:t>
      </w:r>
      <w:r w:rsidR="006A22D3" w:rsidRPr="006A22D3">
        <w:rPr>
          <w:noProof/>
        </w:rPr>
        <w:t xml:space="preserve"> w pra</w:t>
      </w:r>
      <w:r w:rsidRPr="006A22D3">
        <w:rPr>
          <w:noProof/>
        </w:rPr>
        <w:t>cy oraz zasad</w:t>
      </w:r>
      <w:r w:rsidR="006A22D3" w:rsidRPr="006A22D3">
        <w:rPr>
          <w:noProof/>
        </w:rPr>
        <w:t xml:space="preserve"> i pra</w:t>
      </w:r>
      <w:r w:rsidRPr="006A22D3">
        <w:rPr>
          <w:noProof/>
        </w:rPr>
        <w:t>w określonych</w:t>
      </w:r>
      <w:r w:rsidR="006A22D3" w:rsidRPr="006A22D3">
        <w:rPr>
          <w:noProof/>
        </w:rPr>
        <w:t xml:space="preserve"> w Mię</w:t>
      </w:r>
      <w:r w:rsidRPr="006A22D3">
        <w:rPr>
          <w:noProof/>
        </w:rPr>
        <w:t>dzynarodowej karcie praw człowieka przy prowadzeniu działalności gospodarczej sklasyfikowanej jako „zrównoważona”. Podobnie jak miało to miejsce</w:t>
      </w:r>
      <w:r w:rsidR="006A22D3" w:rsidRPr="006A22D3">
        <w:rPr>
          <w:noProof/>
        </w:rPr>
        <w:t xml:space="preserve"> w prz</w:t>
      </w:r>
      <w:r w:rsidRPr="006A22D3">
        <w:rPr>
          <w:noProof/>
        </w:rPr>
        <w:t>ypadku dyrektywy</w:t>
      </w:r>
      <w:r w:rsidR="006A22D3" w:rsidRPr="006A22D3">
        <w:rPr>
          <w:noProof/>
        </w:rPr>
        <w:t xml:space="preserve"> w spr</w:t>
      </w:r>
      <w:r w:rsidRPr="006A22D3">
        <w:rPr>
          <w:noProof/>
        </w:rPr>
        <w:t>awie informacji niefinansowych</w:t>
      </w:r>
      <w:r w:rsidR="006A22D3" w:rsidRPr="006A22D3">
        <w:rPr>
          <w:noProof/>
        </w:rPr>
        <w:t xml:space="preserve"> i wni</w:t>
      </w:r>
      <w:r w:rsidRPr="006A22D3">
        <w:rPr>
          <w:noProof/>
        </w:rPr>
        <w:t>osku dotyczącego CSRD, rozporządzenie</w:t>
      </w:r>
      <w:r w:rsidR="006A22D3" w:rsidRPr="006A22D3">
        <w:rPr>
          <w:noProof/>
        </w:rPr>
        <w:t xml:space="preserve"> w spr</w:t>
      </w:r>
      <w:r w:rsidRPr="006A22D3">
        <w:rPr>
          <w:noProof/>
        </w:rPr>
        <w:t>awie systematyki nie nakłada na przedsiębiorstwa żadnych istotnych obowiązków poza wymogami</w:t>
      </w:r>
      <w:r w:rsidR="006A22D3" w:rsidRPr="006A22D3">
        <w:rPr>
          <w:noProof/>
        </w:rPr>
        <w:t xml:space="preserve"> w zak</w:t>
      </w:r>
      <w:r w:rsidRPr="006A22D3">
        <w:rPr>
          <w:noProof/>
        </w:rPr>
        <w:t>resie sprawozdawczości publicznej,</w:t>
      </w:r>
      <w:r w:rsidR="006A22D3" w:rsidRPr="006A22D3">
        <w:rPr>
          <w:noProof/>
        </w:rPr>
        <w:t xml:space="preserve"> a inw</w:t>
      </w:r>
      <w:r w:rsidRPr="006A22D3">
        <w:rPr>
          <w:noProof/>
        </w:rPr>
        <w:t>estorzy mogą korzystać</w:t>
      </w:r>
      <w:r w:rsidR="006A22D3" w:rsidRPr="006A22D3">
        <w:rPr>
          <w:noProof/>
        </w:rPr>
        <w:t xml:space="preserve"> z teg</w:t>
      </w:r>
      <w:r w:rsidRPr="006A22D3">
        <w:rPr>
          <w:noProof/>
        </w:rPr>
        <w:t>o rodzaju informacji przy podejmowaniu decyzji</w:t>
      </w:r>
      <w:r w:rsidR="006A22D3" w:rsidRPr="006A22D3">
        <w:rPr>
          <w:noProof/>
        </w:rPr>
        <w:t xml:space="preserve"> w spr</w:t>
      </w:r>
      <w:r w:rsidRPr="006A22D3">
        <w:rPr>
          <w:noProof/>
        </w:rPr>
        <w:t>awie alokacji kapitału na rzecz przedsiębiorstw. Zobowiązując przedsiębiorstwa do identyfikowania niekorzystnych skutków prowadzonej przez nie działalności</w:t>
      </w:r>
      <w:r w:rsidR="006A22D3" w:rsidRPr="006A22D3">
        <w:rPr>
          <w:noProof/>
        </w:rPr>
        <w:t xml:space="preserve"> w odn</w:t>
      </w:r>
      <w:r w:rsidRPr="006A22D3">
        <w:rPr>
          <w:noProof/>
        </w:rPr>
        <w:t>iesieniu do wszystkich realizowanych przez nie operacji</w:t>
      </w:r>
      <w:r w:rsidR="006A22D3" w:rsidRPr="006A22D3">
        <w:rPr>
          <w:noProof/>
        </w:rPr>
        <w:t xml:space="preserve"> i wsz</w:t>
      </w:r>
      <w:r w:rsidRPr="006A22D3">
        <w:rPr>
          <w:noProof/>
        </w:rPr>
        <w:t>ystkich ich łańcuchów wartości, niniejsza dyrektywa może przyczynić się do zapewnienia inwestorom dostępu do bardziej szczegółowych informacji. Tym samym uzupełnia ona rozporządzenie</w:t>
      </w:r>
      <w:r w:rsidR="006A22D3" w:rsidRPr="006A22D3">
        <w:rPr>
          <w:noProof/>
        </w:rPr>
        <w:t xml:space="preserve"> w spr</w:t>
      </w:r>
      <w:r w:rsidRPr="006A22D3">
        <w:rPr>
          <w:noProof/>
        </w:rPr>
        <w:t>awie systematyki, ponieważ umożliwia udzielanie inwestorom dodatkowego wsparcia</w:t>
      </w:r>
      <w:r w:rsidR="006A22D3" w:rsidRPr="006A22D3">
        <w:rPr>
          <w:noProof/>
        </w:rPr>
        <w:t xml:space="preserve"> w kon</w:t>
      </w:r>
      <w:r w:rsidRPr="006A22D3">
        <w:rPr>
          <w:noProof/>
        </w:rPr>
        <w:t>tekście alokowania kapitału na rzecz odpowiedzialnych</w:t>
      </w:r>
      <w:r w:rsidR="006A22D3" w:rsidRPr="006A22D3">
        <w:rPr>
          <w:noProof/>
        </w:rPr>
        <w:t xml:space="preserve"> i zró</w:t>
      </w:r>
      <w:r w:rsidRPr="006A22D3">
        <w:rPr>
          <w:noProof/>
        </w:rPr>
        <w:t>wnoważonych przedsiębiorstw. Ponadto rozporządzenie</w:t>
      </w:r>
      <w:r w:rsidR="006A22D3" w:rsidRPr="006A22D3">
        <w:rPr>
          <w:noProof/>
        </w:rPr>
        <w:t xml:space="preserve"> w spr</w:t>
      </w:r>
      <w:r w:rsidRPr="006A22D3">
        <w:rPr>
          <w:noProof/>
        </w:rPr>
        <w:t>awie systematyki (które ustanawia wspólny język na potrzeby zrównoważonej działalności gospodarczej prowadzonej</w:t>
      </w:r>
      <w:r w:rsidR="006A22D3" w:rsidRPr="006A22D3">
        <w:rPr>
          <w:noProof/>
        </w:rPr>
        <w:t xml:space="preserve"> w cel</w:t>
      </w:r>
      <w:r w:rsidRPr="006A22D3">
        <w:rPr>
          <w:noProof/>
        </w:rPr>
        <w:t>ach inwestycyjnych) może pełnić funkcję narzędzia przewodniego dla przedsiębiorstw pozwalającego im pozyskać zrównoważone finansowanie na rzecz realizacji ich planów</w:t>
      </w:r>
      <w:r w:rsidR="006A22D3" w:rsidRPr="006A22D3">
        <w:rPr>
          <w:noProof/>
        </w:rPr>
        <w:t xml:space="preserve"> i har</w:t>
      </w:r>
      <w:r w:rsidRPr="006A22D3">
        <w:rPr>
          <w:noProof/>
        </w:rPr>
        <w:t>monogramów działań naprawczych.</w:t>
      </w:r>
    </w:p>
    <w:p w:rsidR="004B7B2F" w:rsidRPr="006A22D3" w:rsidRDefault="004B7B2F" w:rsidP="00725B46">
      <w:pPr>
        <w:rPr>
          <w:noProof/>
        </w:rPr>
      </w:pPr>
      <w:r w:rsidRPr="006A22D3">
        <w:rPr>
          <w:noProof/>
        </w:rPr>
        <w:t>Niniejsza dyrektywa będzie uzupełniała</w:t>
      </w:r>
      <w:r w:rsidRPr="006A22D3">
        <w:rPr>
          <w:b/>
          <w:noProof/>
        </w:rPr>
        <w:t xml:space="preserve"> </w:t>
      </w:r>
      <w:hyperlink r:id="rId16" w:history="1">
        <w:r w:rsidRPr="006A22D3">
          <w:rPr>
            <w:rStyle w:val="Hyperlink"/>
            <w:noProof/>
          </w:rPr>
          <w:t>dyrektywę 2011/36/UE</w:t>
        </w:r>
        <w:r w:rsidR="006A22D3" w:rsidRPr="006A22D3">
          <w:rPr>
            <w:rStyle w:val="Hyperlink"/>
            <w:noProof/>
          </w:rPr>
          <w:t xml:space="preserve"> w spr</w:t>
        </w:r>
        <w:r w:rsidRPr="006A22D3">
          <w:rPr>
            <w:rStyle w:val="Hyperlink"/>
            <w:noProof/>
          </w:rPr>
          <w:t>awie zapobiegania handlowi ludźmi</w:t>
        </w:r>
        <w:r w:rsidR="006A22D3" w:rsidRPr="006A22D3">
          <w:rPr>
            <w:rStyle w:val="Hyperlink"/>
            <w:noProof/>
          </w:rPr>
          <w:t xml:space="preserve"> i zwa</w:t>
        </w:r>
        <w:r w:rsidRPr="006A22D3">
          <w:rPr>
            <w:rStyle w:val="Hyperlink"/>
            <w:noProof/>
          </w:rPr>
          <w:t>lczania tego procederu oraz ochrony ofiar</w:t>
        </w:r>
      </w:hyperlink>
      <w:r w:rsidRPr="006A22D3">
        <w:rPr>
          <w:rStyle w:val="FootnoteReference"/>
          <w:noProof/>
        </w:rPr>
        <w:footnoteReference w:id="22"/>
      </w:r>
      <w:r w:rsidRPr="006A22D3">
        <w:rPr>
          <w:noProof/>
        </w:rPr>
        <w:t>, która ustanawia kompleksowe ramy prawne zapewniające możliwość skutecznego zwalczania wszelkich form wyzysku ze strony osób fizycznych</w:t>
      </w:r>
      <w:r w:rsidR="006A22D3" w:rsidRPr="006A22D3">
        <w:rPr>
          <w:noProof/>
        </w:rPr>
        <w:t xml:space="preserve"> i pra</w:t>
      </w:r>
      <w:r w:rsidRPr="006A22D3">
        <w:rPr>
          <w:noProof/>
        </w:rPr>
        <w:t>wnych</w:t>
      </w:r>
      <w:r w:rsidR="006A22D3" w:rsidRPr="006A22D3">
        <w:rPr>
          <w:noProof/>
        </w:rPr>
        <w:t xml:space="preserve"> w Uni</w:t>
      </w:r>
      <w:r w:rsidRPr="006A22D3">
        <w:rPr>
          <w:noProof/>
        </w:rPr>
        <w:t>i,</w:t>
      </w:r>
      <w:r w:rsidR="006A22D3" w:rsidRPr="006A22D3">
        <w:rPr>
          <w:noProof/>
        </w:rPr>
        <w:t xml:space="preserve"> w szc</w:t>
      </w:r>
      <w:r w:rsidRPr="006A22D3">
        <w:rPr>
          <w:noProof/>
        </w:rPr>
        <w:t>zególności</w:t>
      </w:r>
      <w:r w:rsidR="006A22D3" w:rsidRPr="006A22D3">
        <w:rPr>
          <w:noProof/>
        </w:rPr>
        <w:t xml:space="preserve"> w for</w:t>
      </w:r>
      <w:r w:rsidRPr="006A22D3">
        <w:rPr>
          <w:noProof/>
        </w:rPr>
        <w:t>mie pracy przymusowej, wykorzystywania seksualnego,</w:t>
      </w:r>
      <w:r w:rsidR="006A22D3" w:rsidRPr="006A22D3">
        <w:rPr>
          <w:noProof/>
        </w:rPr>
        <w:t xml:space="preserve"> a tak</w:t>
      </w:r>
      <w:r w:rsidRPr="006A22D3">
        <w:rPr>
          <w:noProof/>
        </w:rPr>
        <w:t>że żebractwa, niewolnictwa lub praktyk podobnych do niewolnictwa, zniewolenia, wyzyskiwania do działalności przestępczej lub nielegalnego pobierania narządów</w:t>
      </w:r>
      <w:r w:rsidR="006A22D3" w:rsidRPr="006A22D3">
        <w:rPr>
          <w:noProof/>
        </w:rPr>
        <w:t>. W dyr</w:t>
      </w:r>
      <w:r w:rsidRPr="006A22D3">
        <w:rPr>
          <w:noProof/>
        </w:rPr>
        <w:t>ektywie</w:t>
      </w:r>
      <w:r w:rsidR="006A22D3" w:rsidRPr="006A22D3">
        <w:rPr>
          <w:noProof/>
        </w:rPr>
        <w:t xml:space="preserve"> w spr</w:t>
      </w:r>
      <w:r w:rsidRPr="006A22D3">
        <w:rPr>
          <w:noProof/>
        </w:rPr>
        <w:t>awie zapobiegania handlowi ludźmi przewidziano również odpowiedzialność osób prawnych za przestępstwa,</w:t>
      </w:r>
      <w:r w:rsidR="006A22D3" w:rsidRPr="006A22D3">
        <w:rPr>
          <w:noProof/>
        </w:rPr>
        <w:t xml:space="preserve"> o któ</w:t>
      </w:r>
      <w:r w:rsidRPr="006A22D3">
        <w:rPr>
          <w:noProof/>
        </w:rPr>
        <w:t>rych mowa</w:t>
      </w:r>
      <w:r w:rsidR="006A22D3" w:rsidRPr="006A22D3">
        <w:rPr>
          <w:noProof/>
        </w:rPr>
        <w:t xml:space="preserve"> w tej</w:t>
      </w:r>
      <w:r w:rsidRPr="006A22D3">
        <w:rPr>
          <w:noProof/>
        </w:rPr>
        <w:t xml:space="preserve"> dyrektywie, popełnione na ich korzyść przez osobę pełniącą rolę kierowniczą</w:t>
      </w:r>
      <w:r w:rsidR="006A22D3" w:rsidRPr="006A22D3">
        <w:rPr>
          <w:noProof/>
        </w:rPr>
        <w:t xml:space="preserve"> w dan</w:t>
      </w:r>
      <w:r w:rsidRPr="006A22D3">
        <w:rPr>
          <w:noProof/>
        </w:rPr>
        <w:t>ej osobie prawnej lub za umożliwienie popełnienia przestępstwa</w:t>
      </w:r>
      <w:r w:rsidR="006A22D3" w:rsidRPr="006A22D3">
        <w:rPr>
          <w:noProof/>
        </w:rPr>
        <w:t xml:space="preserve"> z uwa</w:t>
      </w:r>
      <w:r w:rsidRPr="006A22D3">
        <w:rPr>
          <w:noProof/>
        </w:rPr>
        <w:t>gi na brak nadzoru lub kontroli</w:t>
      </w:r>
      <w:r w:rsidR="006A22D3" w:rsidRPr="006A22D3">
        <w:rPr>
          <w:noProof/>
        </w:rPr>
        <w:t>. W dyr</w:t>
      </w:r>
      <w:r w:rsidRPr="006A22D3">
        <w:rPr>
          <w:noProof/>
        </w:rPr>
        <w:t>ektywie 2011/36/UE wyszczególniono również kary, jakim można poddać odpowiedzialną osobę prawną.</w:t>
      </w:r>
    </w:p>
    <w:p w:rsidR="004B7B2F" w:rsidRPr="006A22D3" w:rsidRDefault="004B7B2F" w:rsidP="001C43C7">
      <w:pPr>
        <w:rPr>
          <w:rFonts w:eastAsia="Times New Roman"/>
          <w:noProof/>
        </w:rPr>
      </w:pPr>
      <w:r w:rsidRPr="006A22D3">
        <w:rPr>
          <w:noProof/>
        </w:rPr>
        <w:t xml:space="preserve">Ponadto niniejsza dyrektywa będzie uzupełniała </w:t>
      </w:r>
      <w:hyperlink r:id="rId17" w:history="1">
        <w:r w:rsidRPr="006A22D3">
          <w:rPr>
            <w:rStyle w:val="Hyperlink"/>
            <w:noProof/>
          </w:rPr>
          <w:t>dyrektywę</w:t>
        </w:r>
        <w:r w:rsidR="006A22D3" w:rsidRPr="006A22D3">
          <w:rPr>
            <w:rStyle w:val="Hyperlink"/>
            <w:noProof/>
          </w:rPr>
          <w:t xml:space="preserve"> w spr</w:t>
        </w:r>
        <w:r w:rsidRPr="006A22D3">
          <w:rPr>
            <w:rStyle w:val="Hyperlink"/>
            <w:noProof/>
          </w:rPr>
          <w:t>awie kar wobec pracodawców</w:t>
        </w:r>
      </w:hyperlink>
      <w:r w:rsidRPr="006A22D3">
        <w:rPr>
          <w:rStyle w:val="FootnoteReference"/>
          <w:noProof/>
        </w:rPr>
        <w:footnoteReference w:id="23"/>
      </w:r>
      <w:r w:rsidRPr="006A22D3">
        <w:rPr>
          <w:noProof/>
        </w:rPr>
        <w:t>,</w:t>
      </w:r>
      <w:r w:rsidR="006A22D3" w:rsidRPr="006A22D3">
        <w:rPr>
          <w:noProof/>
        </w:rPr>
        <w:t xml:space="preserve"> w któ</w:t>
      </w:r>
      <w:r w:rsidRPr="006A22D3">
        <w:rPr>
          <w:noProof/>
        </w:rPr>
        <w:t>rej ustanowiono zakaz zatrudniania obywateli państw trzecich przebywających na terytorium danego państwa nielegalnie, uwzględniając ofiary handlu ludźmi</w:t>
      </w:r>
      <w:r w:rsidR="006A22D3" w:rsidRPr="006A22D3">
        <w:rPr>
          <w:noProof/>
        </w:rPr>
        <w:t>. W dyr</w:t>
      </w:r>
      <w:r w:rsidRPr="006A22D3">
        <w:rPr>
          <w:noProof/>
        </w:rPr>
        <w:t>ektywie</w:t>
      </w:r>
      <w:r w:rsidR="006A22D3" w:rsidRPr="006A22D3">
        <w:rPr>
          <w:noProof/>
        </w:rPr>
        <w:t xml:space="preserve"> w spr</w:t>
      </w:r>
      <w:r w:rsidRPr="006A22D3">
        <w:rPr>
          <w:noProof/>
        </w:rPr>
        <w:t>awie kar wobec pracodawców przewidziano minimalne normy</w:t>
      </w:r>
      <w:r w:rsidR="006A22D3" w:rsidRPr="006A22D3">
        <w:rPr>
          <w:noProof/>
        </w:rPr>
        <w:t xml:space="preserve"> w odn</w:t>
      </w:r>
      <w:r w:rsidRPr="006A22D3">
        <w:rPr>
          <w:noProof/>
        </w:rPr>
        <w:t>iesieniu do kar</w:t>
      </w:r>
      <w:r w:rsidR="006A22D3" w:rsidRPr="006A22D3">
        <w:rPr>
          <w:noProof/>
        </w:rPr>
        <w:t xml:space="preserve"> i inn</w:t>
      </w:r>
      <w:r w:rsidRPr="006A22D3">
        <w:rPr>
          <w:noProof/>
        </w:rPr>
        <w:t>e środki, które mają być stosowane</w:t>
      </w:r>
      <w:r w:rsidR="006A22D3" w:rsidRPr="006A22D3">
        <w:rPr>
          <w:noProof/>
        </w:rPr>
        <w:t xml:space="preserve"> w pań</w:t>
      </w:r>
      <w:r w:rsidRPr="006A22D3">
        <w:rPr>
          <w:noProof/>
        </w:rPr>
        <w:t>stwach członkowskich wobec pracodawców naruszających przepisy tej dyrektywy.</w:t>
      </w:r>
    </w:p>
    <w:p w:rsidR="001859C1" w:rsidRPr="006A22D3" w:rsidRDefault="001859C1" w:rsidP="00CB3D33">
      <w:pPr>
        <w:rPr>
          <w:noProof/>
        </w:rPr>
      </w:pPr>
      <w:r w:rsidRPr="006A22D3">
        <w:rPr>
          <w:noProof/>
        </w:rPr>
        <w:t>Niniejsza dyrektywa będzie również uzupełniała już istniejące lub planowane sektorowe</w:t>
      </w:r>
      <w:r w:rsidR="006A22D3" w:rsidRPr="006A22D3">
        <w:rPr>
          <w:noProof/>
        </w:rPr>
        <w:t xml:space="preserve"> i pow</w:t>
      </w:r>
      <w:r w:rsidRPr="006A22D3">
        <w:rPr>
          <w:noProof/>
        </w:rPr>
        <w:t>iązane</w:t>
      </w:r>
      <w:r w:rsidR="006A22D3" w:rsidRPr="006A22D3">
        <w:rPr>
          <w:noProof/>
        </w:rPr>
        <w:t xml:space="preserve"> z kon</w:t>
      </w:r>
      <w:r w:rsidRPr="006A22D3">
        <w:rPr>
          <w:noProof/>
        </w:rPr>
        <w:t>kretnymi produktami instrumenty</w:t>
      </w:r>
      <w:r w:rsidR="006A22D3" w:rsidRPr="006A22D3">
        <w:rPr>
          <w:noProof/>
        </w:rPr>
        <w:t xml:space="preserve"> w zak</w:t>
      </w:r>
      <w:r w:rsidRPr="006A22D3">
        <w:rPr>
          <w:noProof/>
        </w:rPr>
        <w:t>resie należytej staranności stosowane</w:t>
      </w:r>
      <w:r w:rsidR="006A22D3" w:rsidRPr="006A22D3">
        <w:rPr>
          <w:noProof/>
        </w:rPr>
        <w:t xml:space="preserve"> w odn</w:t>
      </w:r>
      <w:r w:rsidRPr="006A22D3">
        <w:rPr>
          <w:noProof/>
        </w:rPr>
        <w:t>iesieniu do łańcucha wartości na szczeblu UE dzięki swojemu międzysektorowemu zakresowi</w:t>
      </w:r>
      <w:r w:rsidR="006A22D3" w:rsidRPr="006A22D3">
        <w:rPr>
          <w:noProof/>
        </w:rPr>
        <w:t xml:space="preserve"> i sze</w:t>
      </w:r>
      <w:r w:rsidRPr="006A22D3">
        <w:rPr>
          <w:noProof/>
        </w:rPr>
        <w:t>rokiej gamie skutków dla zrównoważonego rozwoju, które zostały</w:t>
      </w:r>
      <w:r w:rsidR="006A22D3" w:rsidRPr="006A22D3">
        <w:rPr>
          <w:noProof/>
        </w:rPr>
        <w:t xml:space="preserve"> w nie</w:t>
      </w:r>
      <w:r w:rsidRPr="006A22D3">
        <w:rPr>
          <w:noProof/>
        </w:rPr>
        <w:t>j uwzględnione:</w:t>
      </w:r>
    </w:p>
    <w:p w:rsidR="001859C1" w:rsidRPr="006A22D3" w:rsidRDefault="001859C1" w:rsidP="00FD7324">
      <w:pPr>
        <w:rPr>
          <w:noProof/>
        </w:rPr>
      </w:pPr>
      <w:r w:rsidRPr="006A22D3">
        <w:rPr>
          <w:noProof/>
        </w:rPr>
        <w:t xml:space="preserve">Tak zwane </w:t>
      </w:r>
      <w:hyperlink r:id="rId18" w:history="1">
        <w:r w:rsidRPr="006A22D3">
          <w:rPr>
            <w:noProof/>
            <w:color w:val="0000FF" w:themeColor="hyperlink"/>
            <w:u w:val="single"/>
          </w:rPr>
          <w:t>rozporządzenie</w:t>
        </w:r>
        <w:r w:rsidR="006A22D3" w:rsidRPr="006A22D3">
          <w:rPr>
            <w:noProof/>
            <w:color w:val="0000FF" w:themeColor="hyperlink"/>
            <w:u w:val="single"/>
          </w:rPr>
          <w:t xml:space="preserve"> w spr</w:t>
        </w:r>
        <w:r w:rsidRPr="006A22D3">
          <w:rPr>
            <w:noProof/>
            <w:color w:val="0000FF" w:themeColor="hyperlink"/>
            <w:u w:val="single"/>
          </w:rPr>
          <w:t>awie minerałów</w:t>
        </w:r>
        <w:r w:rsidR="006A22D3" w:rsidRPr="006A22D3">
          <w:rPr>
            <w:noProof/>
            <w:color w:val="0000FF" w:themeColor="hyperlink"/>
            <w:u w:val="single"/>
          </w:rPr>
          <w:t xml:space="preserve"> z reg</w:t>
        </w:r>
        <w:r w:rsidRPr="006A22D3">
          <w:rPr>
            <w:noProof/>
            <w:color w:val="0000FF" w:themeColor="hyperlink"/>
            <w:u w:val="single"/>
          </w:rPr>
          <w:t>ionów ogarniętych konfliktami</w:t>
        </w:r>
      </w:hyperlink>
      <w:r w:rsidRPr="006A22D3">
        <w:rPr>
          <w:rStyle w:val="FootnoteReference"/>
          <w:noProof/>
        </w:rPr>
        <w:footnoteReference w:id="24"/>
      </w:r>
      <w:r w:rsidRPr="006A22D3">
        <w:rPr>
          <w:noProof/>
        </w:rPr>
        <w:t xml:space="preserve"> ma zastosowanie do czterech konkretnych minerałów</w:t>
      </w:r>
      <w:r w:rsidR="006A22D3" w:rsidRPr="006A22D3">
        <w:rPr>
          <w:noProof/>
        </w:rPr>
        <w:t xml:space="preserve"> i met</w:t>
      </w:r>
      <w:r w:rsidRPr="006A22D3">
        <w:rPr>
          <w:noProof/>
        </w:rPr>
        <w:t>ali</w:t>
      </w:r>
      <w:r w:rsidR="006A22D3" w:rsidRPr="006A22D3">
        <w:rPr>
          <w:noProof/>
        </w:rPr>
        <w:t>. W roz</w:t>
      </w:r>
      <w:r w:rsidRPr="006A22D3">
        <w:rPr>
          <w:noProof/>
        </w:rPr>
        <w:t>porządzeniu tym na przedsiębiorstwa unijne</w:t>
      </w:r>
      <w:r w:rsidR="006A22D3" w:rsidRPr="006A22D3">
        <w:rPr>
          <w:noProof/>
        </w:rPr>
        <w:t xml:space="preserve"> w łań</w:t>
      </w:r>
      <w:r w:rsidRPr="006A22D3">
        <w:rPr>
          <w:noProof/>
        </w:rPr>
        <w:t>cuchu dostaw nałożono wymóg zapewnienia, aby przywożone cyna, wolfram, tantal</w:t>
      </w:r>
      <w:r w:rsidR="006A22D3" w:rsidRPr="006A22D3">
        <w:rPr>
          <w:noProof/>
        </w:rPr>
        <w:t xml:space="preserve"> i zło</w:t>
      </w:r>
      <w:r w:rsidRPr="006A22D3">
        <w:rPr>
          <w:noProof/>
        </w:rPr>
        <w:t>to pochodziły wyłącznie</w:t>
      </w:r>
      <w:r w:rsidR="006A22D3" w:rsidRPr="006A22D3">
        <w:rPr>
          <w:noProof/>
        </w:rPr>
        <w:t xml:space="preserve"> z odp</w:t>
      </w:r>
      <w:r w:rsidRPr="006A22D3">
        <w:rPr>
          <w:noProof/>
        </w:rPr>
        <w:t>owiedzialnych</w:t>
      </w:r>
      <w:r w:rsidR="006A22D3" w:rsidRPr="006A22D3">
        <w:rPr>
          <w:noProof/>
        </w:rPr>
        <w:t xml:space="preserve"> i wol</w:t>
      </w:r>
      <w:r w:rsidRPr="006A22D3">
        <w:rPr>
          <w:noProof/>
        </w:rPr>
        <w:t>nych od konfliktu źródeł oraz aby przedsiębiorstwa te wprowadziły bardziej szczegółowe mechanizmy dokonywania analizy należytej staranności np.</w:t>
      </w:r>
      <w:r w:rsidR="006A22D3" w:rsidRPr="006A22D3">
        <w:rPr>
          <w:noProof/>
        </w:rPr>
        <w:t xml:space="preserve"> w for</w:t>
      </w:r>
      <w:r w:rsidRPr="006A22D3">
        <w:rPr>
          <w:noProof/>
        </w:rPr>
        <w:t>mie przeprowadzanego przez niezależną osobę trzecią audytu dotyczącego dochowania należytej staranności</w:t>
      </w:r>
      <w:r w:rsidR="006A22D3" w:rsidRPr="006A22D3">
        <w:rPr>
          <w:noProof/>
        </w:rPr>
        <w:t xml:space="preserve"> w ram</w:t>
      </w:r>
      <w:r w:rsidRPr="006A22D3">
        <w:rPr>
          <w:noProof/>
        </w:rPr>
        <w:t>ach łańcucha dostaw. Przepisy dotyczące należytej staranności zawarte</w:t>
      </w:r>
      <w:r w:rsidR="006A22D3" w:rsidRPr="006A22D3">
        <w:rPr>
          <w:noProof/>
        </w:rPr>
        <w:t xml:space="preserve"> w nin</w:t>
      </w:r>
      <w:r w:rsidRPr="006A22D3">
        <w:rPr>
          <w:noProof/>
        </w:rPr>
        <w:t>iejszej dyrektywie odnoszą się również do niekorzystnych skutków dla środowiska</w:t>
      </w:r>
      <w:r w:rsidR="006A22D3" w:rsidRPr="006A22D3">
        <w:rPr>
          <w:noProof/>
        </w:rPr>
        <w:t xml:space="preserve"> i będ</w:t>
      </w:r>
      <w:r w:rsidRPr="006A22D3">
        <w:rPr>
          <w:noProof/>
        </w:rPr>
        <w:t>ą miały zastosowanie do łańcuchów wartości innych minerałów, które nie są objęte przepisami rozporządzenia</w:t>
      </w:r>
      <w:r w:rsidR="006A22D3" w:rsidRPr="006A22D3">
        <w:rPr>
          <w:noProof/>
        </w:rPr>
        <w:t xml:space="preserve"> w spr</w:t>
      </w:r>
      <w:r w:rsidRPr="006A22D3">
        <w:rPr>
          <w:noProof/>
        </w:rPr>
        <w:t>awie minerałów</w:t>
      </w:r>
      <w:r w:rsidR="006A22D3" w:rsidRPr="006A22D3">
        <w:rPr>
          <w:noProof/>
        </w:rPr>
        <w:t xml:space="preserve"> z reg</w:t>
      </w:r>
      <w:r w:rsidRPr="006A22D3">
        <w:rPr>
          <w:noProof/>
        </w:rPr>
        <w:t>ionów ogarniętych konfliktami, ale które wywierają niekorzystny wpływ na prawa człowieka, klimat</w:t>
      </w:r>
      <w:r w:rsidR="006A22D3" w:rsidRPr="006A22D3">
        <w:rPr>
          <w:noProof/>
        </w:rPr>
        <w:t xml:space="preserve"> i śro</w:t>
      </w:r>
      <w:r w:rsidRPr="006A22D3">
        <w:rPr>
          <w:noProof/>
        </w:rPr>
        <w:t>dowisko.</w:t>
      </w:r>
    </w:p>
    <w:p w:rsidR="001859C1" w:rsidRPr="006A22D3" w:rsidRDefault="001859C1" w:rsidP="005A221B">
      <w:pPr>
        <w:rPr>
          <w:noProof/>
        </w:rPr>
      </w:pPr>
      <w:r w:rsidRPr="006A22D3">
        <w:rPr>
          <w:noProof/>
        </w:rPr>
        <w:t xml:space="preserve">W przygotowanym przez Komisję </w:t>
      </w:r>
      <w:hyperlink r:id="rId19" w:history="1">
        <w:r w:rsidRPr="006A22D3">
          <w:rPr>
            <w:rStyle w:val="Hyperlink"/>
            <w:noProof/>
          </w:rPr>
          <w:t>wniosku dotyczącym rozporządzenia</w:t>
        </w:r>
        <w:r w:rsidR="006A22D3" w:rsidRPr="006A22D3">
          <w:rPr>
            <w:rStyle w:val="Hyperlink"/>
            <w:noProof/>
          </w:rPr>
          <w:t xml:space="preserve"> w spr</w:t>
        </w:r>
        <w:r w:rsidRPr="006A22D3">
          <w:rPr>
            <w:rStyle w:val="Hyperlink"/>
            <w:noProof/>
          </w:rPr>
          <w:t>awie łańcuchów dostaw niepowodujących wylesiania</w:t>
        </w:r>
      </w:hyperlink>
      <w:r w:rsidRPr="006A22D3">
        <w:rPr>
          <w:rStyle w:val="FootnoteReference"/>
          <w:rFonts w:eastAsia="Times New Roman"/>
          <w:noProof/>
        </w:rPr>
        <w:footnoteReference w:id="25"/>
      </w:r>
      <w:r w:rsidRPr="006A22D3">
        <w:rPr>
          <w:noProof/>
        </w:rPr>
        <w:t xml:space="preserve"> skoncentrowano się na konkretnych towarach</w:t>
      </w:r>
      <w:r w:rsidR="006A22D3" w:rsidRPr="006A22D3">
        <w:rPr>
          <w:noProof/>
        </w:rPr>
        <w:t xml:space="preserve"> i łań</w:t>
      </w:r>
      <w:r w:rsidRPr="006A22D3">
        <w:rPr>
          <w:noProof/>
        </w:rPr>
        <w:t>cuchach dostaw produktów. Cel tego rozporządzenia jest bardzo ściśle określony – ograniczenie wpływu konsumpcji</w:t>
      </w:r>
      <w:r w:rsidR="006A22D3" w:rsidRPr="006A22D3">
        <w:rPr>
          <w:noProof/>
        </w:rPr>
        <w:t xml:space="preserve"> i pro</w:t>
      </w:r>
      <w:r w:rsidRPr="006A22D3">
        <w:rPr>
          <w:noProof/>
        </w:rPr>
        <w:t>dukcji w UE na procesy wylesiania</w:t>
      </w:r>
      <w:r w:rsidR="006A22D3" w:rsidRPr="006A22D3">
        <w:rPr>
          <w:noProof/>
        </w:rPr>
        <w:t xml:space="preserve"> i deg</w:t>
      </w:r>
      <w:r w:rsidRPr="006A22D3">
        <w:rPr>
          <w:noProof/>
        </w:rPr>
        <w:t>radacji lasów na całym świecie. Ustanowione</w:t>
      </w:r>
      <w:r w:rsidR="006A22D3" w:rsidRPr="006A22D3">
        <w:rPr>
          <w:noProof/>
        </w:rPr>
        <w:t xml:space="preserve"> w nim</w:t>
      </w:r>
      <w:r w:rsidRPr="006A22D3">
        <w:rPr>
          <w:noProof/>
        </w:rPr>
        <w:t xml:space="preserve"> wymogi będą miały – przynajmniej</w:t>
      </w:r>
      <w:r w:rsidR="006A22D3" w:rsidRPr="006A22D3">
        <w:rPr>
          <w:noProof/>
        </w:rPr>
        <w:t xml:space="preserve"> w nie</w:t>
      </w:r>
      <w:r w:rsidRPr="006A22D3">
        <w:rPr>
          <w:noProof/>
        </w:rPr>
        <w:t>których obszarach – bardziej nakazowy charakter</w:t>
      </w:r>
      <w:r w:rsidR="006A22D3" w:rsidRPr="006A22D3">
        <w:rPr>
          <w:noProof/>
        </w:rPr>
        <w:t xml:space="preserve"> w por</w:t>
      </w:r>
      <w:r w:rsidRPr="006A22D3">
        <w:rPr>
          <w:noProof/>
        </w:rPr>
        <w:t>ównaniu</w:t>
      </w:r>
      <w:r w:rsidR="006A22D3" w:rsidRPr="006A22D3">
        <w:rPr>
          <w:noProof/>
        </w:rPr>
        <w:t xml:space="preserve"> z obo</w:t>
      </w:r>
      <w:r w:rsidRPr="006A22D3">
        <w:rPr>
          <w:noProof/>
        </w:rPr>
        <w:t>wiązkami</w:t>
      </w:r>
      <w:r w:rsidR="006A22D3" w:rsidRPr="006A22D3">
        <w:rPr>
          <w:noProof/>
        </w:rPr>
        <w:t xml:space="preserve"> w zak</w:t>
      </w:r>
      <w:r w:rsidRPr="006A22D3">
        <w:rPr>
          <w:noProof/>
        </w:rPr>
        <w:t>resie należytej staranności przewidzianymi</w:t>
      </w:r>
      <w:r w:rsidR="006A22D3" w:rsidRPr="006A22D3">
        <w:rPr>
          <w:noProof/>
        </w:rPr>
        <w:t xml:space="preserve"> w nin</w:t>
      </w:r>
      <w:r w:rsidRPr="006A22D3">
        <w:rPr>
          <w:noProof/>
        </w:rPr>
        <w:t>iejszej dyrektywie</w:t>
      </w:r>
      <w:r w:rsidR="006A22D3" w:rsidRPr="006A22D3">
        <w:rPr>
          <w:noProof/>
        </w:rPr>
        <w:t>. W roz</w:t>
      </w:r>
      <w:r w:rsidRPr="006A22D3">
        <w:rPr>
          <w:noProof/>
        </w:rPr>
        <w:t>porządzeniu wprowadzono również zakaz wprowadzania do obrotu niektórych towarów</w:t>
      </w:r>
      <w:r w:rsidR="006A22D3" w:rsidRPr="006A22D3">
        <w:rPr>
          <w:noProof/>
        </w:rPr>
        <w:t xml:space="preserve"> i pro</w:t>
      </w:r>
      <w:r w:rsidRPr="006A22D3">
        <w:rPr>
          <w:noProof/>
        </w:rPr>
        <w:t>duktów pochodnych</w:t>
      </w:r>
      <w:r w:rsidR="006A22D3" w:rsidRPr="006A22D3">
        <w:rPr>
          <w:noProof/>
        </w:rPr>
        <w:t xml:space="preserve"> w prz</w:t>
      </w:r>
      <w:r w:rsidRPr="006A22D3">
        <w:rPr>
          <w:noProof/>
        </w:rPr>
        <w:t>ypadku braku możliwości potwierdzenia wywiązania się</w:t>
      </w:r>
      <w:r w:rsidR="006A22D3" w:rsidRPr="006A22D3">
        <w:rPr>
          <w:noProof/>
        </w:rPr>
        <w:t xml:space="preserve"> z wym</w:t>
      </w:r>
      <w:r w:rsidRPr="006A22D3">
        <w:rPr>
          <w:noProof/>
        </w:rPr>
        <w:t>ogu „legalności” i „niepowodowania wylesiania”</w:t>
      </w:r>
      <w:r w:rsidR="006A22D3" w:rsidRPr="006A22D3">
        <w:rPr>
          <w:noProof/>
        </w:rPr>
        <w:t xml:space="preserve"> w ram</w:t>
      </w:r>
      <w:r w:rsidRPr="006A22D3">
        <w:rPr>
          <w:noProof/>
        </w:rPr>
        <w:t>ach analizy należytej staranności. Wspomniany zakaz będzie miał zastosowanie do wszystkich podmiotów wprowadzających odnoście produkty do obrotu na rynku Unii, uwzględniając przedsiębiorstwa unijne</w:t>
      </w:r>
      <w:r w:rsidR="006A22D3" w:rsidRPr="006A22D3">
        <w:rPr>
          <w:noProof/>
        </w:rPr>
        <w:t xml:space="preserve"> i prz</w:t>
      </w:r>
      <w:r w:rsidRPr="006A22D3">
        <w:rPr>
          <w:noProof/>
        </w:rPr>
        <w:t>edsiębiorstwa spoza UE, niezależnie od ich formy prawnej</w:t>
      </w:r>
      <w:r w:rsidR="006A22D3" w:rsidRPr="006A22D3">
        <w:rPr>
          <w:noProof/>
        </w:rPr>
        <w:t xml:space="preserve"> i wie</w:t>
      </w:r>
      <w:r w:rsidRPr="006A22D3">
        <w:rPr>
          <w:noProof/>
        </w:rPr>
        <w:t>lkości</w:t>
      </w:r>
      <w:r w:rsidR="006A22D3" w:rsidRPr="006A22D3">
        <w:rPr>
          <w:noProof/>
        </w:rPr>
        <w:t>. W zwi</w:t>
      </w:r>
      <w:r w:rsidRPr="006A22D3">
        <w:rPr>
          <w:noProof/>
        </w:rPr>
        <w:t>ązku</w:t>
      </w:r>
      <w:r w:rsidR="006A22D3" w:rsidRPr="006A22D3">
        <w:rPr>
          <w:noProof/>
        </w:rPr>
        <w:t xml:space="preserve"> z tym</w:t>
      </w:r>
      <w:r w:rsidRPr="006A22D3">
        <w:rPr>
          <w:noProof/>
        </w:rPr>
        <w:t>, chociaż cele szczegółowe są różne, ogólne cele obu inicjatyw wzajemnie się uzupełniają. Niniejsza dyrektywa będzie uzupełniała rozporządzenie</w:t>
      </w:r>
      <w:r w:rsidR="006A22D3" w:rsidRPr="006A22D3">
        <w:rPr>
          <w:noProof/>
        </w:rPr>
        <w:t xml:space="preserve"> w spr</w:t>
      </w:r>
      <w:r w:rsidRPr="006A22D3">
        <w:rPr>
          <w:noProof/>
        </w:rPr>
        <w:t>awie produktów niepowodujących wylesiania poprzez wprowadzenie mechanizmów analizowania należytej staranności</w:t>
      </w:r>
      <w:r w:rsidR="006A22D3" w:rsidRPr="006A22D3">
        <w:rPr>
          <w:noProof/>
        </w:rPr>
        <w:t xml:space="preserve"> w ram</w:t>
      </w:r>
      <w:r w:rsidRPr="006A22D3">
        <w:rPr>
          <w:noProof/>
        </w:rPr>
        <w:t>ach łańcucha wartości</w:t>
      </w:r>
      <w:r w:rsidR="006A22D3" w:rsidRPr="006A22D3">
        <w:rPr>
          <w:noProof/>
        </w:rPr>
        <w:t xml:space="preserve"> w odn</w:t>
      </w:r>
      <w:r w:rsidRPr="006A22D3">
        <w:rPr>
          <w:noProof/>
        </w:rPr>
        <w:t>iesieniu do działań, które nie są objęte zakresem rozporządzenia</w:t>
      </w:r>
      <w:r w:rsidR="006A22D3" w:rsidRPr="006A22D3">
        <w:rPr>
          <w:noProof/>
        </w:rPr>
        <w:t xml:space="preserve"> w spr</w:t>
      </w:r>
      <w:r w:rsidRPr="006A22D3">
        <w:rPr>
          <w:noProof/>
        </w:rPr>
        <w:t>awie produktów niepowodujących wylesiania, ale które mogą bezpośrednio lub pośrednio prowadzić do wylesiania.</w:t>
      </w:r>
      <w:r w:rsidR="00192E90" w:rsidRPr="006A22D3">
        <w:rPr>
          <w:noProof/>
        </w:rPr>
        <w:t xml:space="preserve"> </w:t>
      </w:r>
    </w:p>
    <w:p w:rsidR="000A34D6" w:rsidRPr="006A22D3" w:rsidRDefault="001859C1" w:rsidP="00740BB9">
      <w:pPr>
        <w:rPr>
          <w:noProof/>
        </w:rPr>
      </w:pPr>
      <w:r w:rsidRPr="006A22D3">
        <w:rPr>
          <w:noProof/>
        </w:rPr>
        <w:t>W przygotowanym przez Komisję</w:t>
      </w:r>
      <w:hyperlink r:id="rId20" w:history="1">
        <w:r w:rsidRPr="006A22D3">
          <w:rPr>
            <w:noProof/>
            <w:color w:val="0000FF" w:themeColor="hyperlink"/>
            <w:u w:val="single"/>
          </w:rPr>
          <w:t xml:space="preserve"> wniosku dotyczącym nowego rozporządzenia</w:t>
        </w:r>
        <w:r w:rsidR="006A22D3" w:rsidRPr="006A22D3">
          <w:rPr>
            <w:noProof/>
            <w:color w:val="0000FF" w:themeColor="hyperlink"/>
            <w:u w:val="single"/>
          </w:rPr>
          <w:t xml:space="preserve"> w spr</w:t>
        </w:r>
        <w:r w:rsidRPr="006A22D3">
          <w:rPr>
            <w:noProof/>
            <w:color w:val="0000FF" w:themeColor="hyperlink"/>
            <w:u w:val="single"/>
          </w:rPr>
          <w:t>awie baterii</w:t>
        </w:r>
      </w:hyperlink>
      <w:r w:rsidRPr="006A22D3">
        <w:rPr>
          <w:rStyle w:val="FootnoteReference"/>
          <w:noProof/>
        </w:rPr>
        <w:footnoteReference w:id="26"/>
      </w:r>
      <w:r w:rsidRPr="006A22D3">
        <w:rPr>
          <w:noProof/>
        </w:rPr>
        <w:t xml:space="preserve"> wyznaczono konkretne cele zakładające zmniejszenie wpływu na środowisko, klimat</w:t>
      </w:r>
      <w:r w:rsidR="006A22D3" w:rsidRPr="006A22D3">
        <w:rPr>
          <w:noProof/>
        </w:rPr>
        <w:t xml:space="preserve"> i spo</w:t>
      </w:r>
      <w:r w:rsidRPr="006A22D3">
        <w:rPr>
          <w:noProof/>
        </w:rPr>
        <w:t>łeczeństwo na wszystkich etapach cyklu życia baterii, wzmocnienie funkcjonowania rynku wewnętrznego oraz zapewnienie równych warunków działania dzięki wspólnemu zestawowi zasad</w:t>
      </w:r>
      <w:r w:rsidR="006A22D3" w:rsidRPr="006A22D3">
        <w:rPr>
          <w:noProof/>
        </w:rPr>
        <w:t>. W now</w:t>
      </w:r>
      <w:r w:rsidRPr="006A22D3">
        <w:rPr>
          <w:noProof/>
        </w:rPr>
        <w:t>ym rozporządzeniu</w:t>
      </w:r>
      <w:r w:rsidR="006A22D3" w:rsidRPr="006A22D3">
        <w:rPr>
          <w:noProof/>
        </w:rPr>
        <w:t xml:space="preserve"> w spr</w:t>
      </w:r>
      <w:r w:rsidRPr="006A22D3">
        <w:rPr>
          <w:noProof/>
        </w:rPr>
        <w:t>awie baterii na podmioty gospodarcze wprowadzające do obrotu na rynku Unii baterie przemysłowe lub akumulatory pojazdów elektrycznych (uwzględniając baterie wmontowane do pojazdów)</w:t>
      </w:r>
      <w:r w:rsidR="006A22D3" w:rsidRPr="006A22D3">
        <w:rPr>
          <w:noProof/>
        </w:rPr>
        <w:t xml:space="preserve"> o poj</w:t>
      </w:r>
      <w:r w:rsidRPr="006A22D3">
        <w:rPr>
          <w:noProof/>
        </w:rPr>
        <w:t>emności przekraczającej 2 kWh nałożono obowiązek opracowania strategii</w:t>
      </w:r>
      <w:r w:rsidR="006A22D3" w:rsidRPr="006A22D3">
        <w:rPr>
          <w:noProof/>
        </w:rPr>
        <w:t xml:space="preserve"> w zak</w:t>
      </w:r>
      <w:r w:rsidRPr="006A22D3">
        <w:rPr>
          <w:noProof/>
        </w:rPr>
        <w:t>resie należytej staranności</w:t>
      </w:r>
      <w:r w:rsidR="006A22D3" w:rsidRPr="006A22D3">
        <w:rPr>
          <w:noProof/>
        </w:rPr>
        <w:t xml:space="preserve"> w łań</w:t>
      </w:r>
      <w:r w:rsidRPr="006A22D3">
        <w:rPr>
          <w:noProof/>
        </w:rPr>
        <w:t>cuchu dostaw</w:t>
      </w:r>
      <w:r w:rsidR="006A22D3" w:rsidRPr="006A22D3">
        <w:rPr>
          <w:noProof/>
        </w:rPr>
        <w:t>. W roz</w:t>
      </w:r>
      <w:r w:rsidRPr="006A22D3">
        <w:rPr>
          <w:noProof/>
        </w:rPr>
        <w:t>porządzeniu skoncentrowano się na tych surowcach,</w:t>
      </w:r>
      <w:r w:rsidR="006A22D3" w:rsidRPr="006A22D3">
        <w:rPr>
          <w:noProof/>
        </w:rPr>
        <w:t xml:space="preserve"> w prz</w:t>
      </w:r>
      <w:r w:rsidRPr="006A22D3">
        <w:rPr>
          <w:noProof/>
        </w:rPr>
        <w:t>ypadku których znaczną część ich globalnego wydobycia przeznacza się na produkcję baterii</w:t>
      </w:r>
      <w:r w:rsidR="006A22D3" w:rsidRPr="006A22D3">
        <w:rPr>
          <w:noProof/>
        </w:rPr>
        <w:t xml:space="preserve"> i któ</w:t>
      </w:r>
      <w:r w:rsidRPr="006A22D3">
        <w:rPr>
          <w:noProof/>
        </w:rPr>
        <w:t>re mogą wiązać się</w:t>
      </w:r>
      <w:r w:rsidR="006A22D3" w:rsidRPr="006A22D3">
        <w:rPr>
          <w:noProof/>
        </w:rPr>
        <w:t xml:space="preserve"> z nie</w:t>
      </w:r>
      <w:r w:rsidRPr="006A22D3">
        <w:rPr>
          <w:noProof/>
        </w:rPr>
        <w:t>korzystnymi skutkami dla społeczeństwa lub klimatu (kobalt, grafit naturalny, lit</w:t>
      </w:r>
      <w:r w:rsidR="006A22D3" w:rsidRPr="006A22D3">
        <w:rPr>
          <w:noProof/>
        </w:rPr>
        <w:t xml:space="preserve"> i nik</w:t>
      </w:r>
      <w:r w:rsidRPr="006A22D3">
        <w:rPr>
          <w:noProof/>
        </w:rPr>
        <w:t>iel). Zgodnie</w:t>
      </w:r>
      <w:r w:rsidR="006A22D3" w:rsidRPr="006A22D3">
        <w:rPr>
          <w:noProof/>
        </w:rPr>
        <w:t xml:space="preserve"> z prz</w:t>
      </w:r>
      <w:r w:rsidRPr="006A22D3">
        <w:rPr>
          <w:noProof/>
        </w:rPr>
        <w:t>episami rozporządzenia podmioty gospodarcze są zobowiązane do przedkładania dokumentacji potwierdzającej spełnienie spoczywających na nich wymogów na potrzeby weryfikacji zewnętrznej przeprowadzanej przez jednostki notyfikowane</w:t>
      </w:r>
      <w:r w:rsidR="006A22D3" w:rsidRPr="006A22D3">
        <w:rPr>
          <w:noProof/>
        </w:rPr>
        <w:t xml:space="preserve"> i pod</w:t>
      </w:r>
      <w:r w:rsidRPr="006A22D3">
        <w:rPr>
          <w:noProof/>
        </w:rPr>
        <w:t>legają kontrolom przeprowadzanym przez krajowe organy nadzoru rynku. Niniejsza dyrektywa będzie uzupełniała rozporządzenie</w:t>
      </w:r>
      <w:r w:rsidR="006A22D3" w:rsidRPr="006A22D3">
        <w:rPr>
          <w:noProof/>
        </w:rPr>
        <w:t xml:space="preserve"> w spr</w:t>
      </w:r>
      <w:r w:rsidRPr="006A22D3">
        <w:rPr>
          <w:noProof/>
        </w:rPr>
        <w:t>awie baterii dzięki ustanowieniu mechanizmów należytej staranności</w:t>
      </w:r>
      <w:r w:rsidR="006A22D3" w:rsidRPr="006A22D3">
        <w:rPr>
          <w:noProof/>
        </w:rPr>
        <w:t xml:space="preserve"> w ram</w:t>
      </w:r>
      <w:r w:rsidRPr="006A22D3">
        <w:rPr>
          <w:noProof/>
        </w:rPr>
        <w:t>ach łańcucha wartości</w:t>
      </w:r>
      <w:r w:rsidR="006A22D3" w:rsidRPr="006A22D3">
        <w:rPr>
          <w:noProof/>
        </w:rPr>
        <w:t xml:space="preserve"> w odn</w:t>
      </w:r>
      <w:r w:rsidRPr="006A22D3">
        <w:rPr>
          <w:noProof/>
        </w:rPr>
        <w:t>iesieniu do surowców, które nie są objęte tym rozporządzeniem, jednak bez wprowadzania wymogu uzyskania certyfikatu na wprowadzanie produktów do obrotu na rynku UE.</w:t>
      </w:r>
    </w:p>
    <w:p w:rsidR="001859C1" w:rsidRPr="006A22D3" w:rsidRDefault="001859C1" w:rsidP="00740BB9">
      <w:pPr>
        <w:rPr>
          <w:rFonts w:eastAsia="Times New Roman"/>
          <w:noProof/>
        </w:rPr>
      </w:pPr>
      <w:r w:rsidRPr="006A22D3">
        <w:rPr>
          <w:noProof/>
        </w:rPr>
        <w:t xml:space="preserve">Celem planowanej </w:t>
      </w:r>
      <w:hyperlink r:id="rId21">
        <w:r w:rsidRPr="006A22D3">
          <w:rPr>
            <w:noProof/>
            <w:color w:val="0000FF"/>
            <w:u w:val="single"/>
          </w:rPr>
          <w:t>inicjatywy dotyczącej zrównoważonych produktów</w:t>
        </w:r>
      </w:hyperlink>
      <w:r w:rsidRPr="006A22D3">
        <w:rPr>
          <w:noProof/>
        </w:rPr>
        <w:t xml:space="preserve"> jest dokonanie przeglądu aktualnie obowiązującej </w:t>
      </w:r>
      <w:hyperlink r:id="rId22" w:history="1">
        <w:r w:rsidRPr="006A22D3">
          <w:rPr>
            <w:rStyle w:val="Hyperlink"/>
            <w:noProof/>
          </w:rPr>
          <w:t>dyrektywy</w:t>
        </w:r>
        <w:r w:rsidR="006A22D3" w:rsidRPr="006A22D3">
          <w:rPr>
            <w:rStyle w:val="Hyperlink"/>
            <w:noProof/>
          </w:rPr>
          <w:t xml:space="preserve"> w spr</w:t>
        </w:r>
        <w:r w:rsidRPr="006A22D3">
          <w:rPr>
            <w:rStyle w:val="Hyperlink"/>
            <w:noProof/>
          </w:rPr>
          <w:t>awie ekoprojektu</w:t>
        </w:r>
      </w:hyperlink>
      <w:r w:rsidRPr="006A22D3">
        <w:rPr>
          <w:rStyle w:val="FootnoteReference"/>
          <w:rFonts w:eastAsia="Times New Roman"/>
          <w:noProof/>
        </w:rPr>
        <w:footnoteReference w:id="27"/>
      </w:r>
      <w:r w:rsidRPr="006A22D3">
        <w:rPr>
          <w:noProof/>
        </w:rPr>
        <w:t xml:space="preserve"> – inicjatywa ta odnosi się szerzej do kwestii zrównoważonego charakteru produktów wprowadzanych do obrotu na rynku UE oraz do przejrzystości informacji powiązanych</w:t>
      </w:r>
      <w:r w:rsidR="006A22D3" w:rsidRPr="006A22D3">
        <w:rPr>
          <w:noProof/>
        </w:rPr>
        <w:t xml:space="preserve"> z tym</w:t>
      </w:r>
      <w:r w:rsidRPr="006A22D3">
        <w:rPr>
          <w:noProof/>
        </w:rPr>
        <w:t xml:space="preserve">i produktami. </w:t>
      </w:r>
    </w:p>
    <w:p w:rsidR="00261433" w:rsidRPr="006A22D3" w:rsidRDefault="00261433" w:rsidP="00740BB9">
      <w:pPr>
        <w:rPr>
          <w:noProof/>
          <w:highlight w:val="yellow"/>
        </w:rPr>
      </w:pPr>
      <w:r w:rsidRPr="006A22D3">
        <w:rPr>
          <w:noProof/>
        </w:rPr>
        <w:t>Niniejszy wniosek odegra kluczową rolę</w:t>
      </w:r>
      <w:r w:rsidR="006A22D3" w:rsidRPr="006A22D3">
        <w:rPr>
          <w:noProof/>
        </w:rPr>
        <w:t xml:space="preserve"> w prz</w:t>
      </w:r>
      <w:r w:rsidRPr="006A22D3">
        <w:rPr>
          <w:noProof/>
        </w:rPr>
        <w:t>eciwdziałaniu wykorzystywaniu pracy przymusowej</w:t>
      </w:r>
      <w:r w:rsidR="006A22D3" w:rsidRPr="006A22D3">
        <w:rPr>
          <w:noProof/>
        </w:rPr>
        <w:t xml:space="preserve"> w glo</w:t>
      </w:r>
      <w:r w:rsidRPr="006A22D3">
        <w:rPr>
          <w:noProof/>
        </w:rPr>
        <w:t>balnych łańcuchach wartości. Jak ogłoszono</w:t>
      </w:r>
      <w:r w:rsidR="006A22D3" w:rsidRPr="006A22D3">
        <w:rPr>
          <w:noProof/>
        </w:rPr>
        <w:t xml:space="preserve"> w kom</w:t>
      </w:r>
      <w:r w:rsidRPr="006A22D3">
        <w:rPr>
          <w:noProof/>
        </w:rPr>
        <w:t>unikacie</w:t>
      </w:r>
      <w:r w:rsidR="006A22D3" w:rsidRPr="006A22D3">
        <w:rPr>
          <w:noProof/>
        </w:rPr>
        <w:t xml:space="preserve"> w spr</w:t>
      </w:r>
      <w:r w:rsidRPr="006A22D3">
        <w:rPr>
          <w:noProof/>
        </w:rPr>
        <w:t>awie godnej pracy na całym świecie</w:t>
      </w:r>
      <w:r w:rsidR="00E16B80" w:rsidRPr="006A22D3">
        <w:rPr>
          <w:rStyle w:val="FootnoteReference"/>
          <w:noProof/>
        </w:rPr>
        <w:footnoteReference w:id="28"/>
      </w:r>
      <w:r w:rsidRPr="006A22D3">
        <w:rPr>
          <w:noProof/>
        </w:rPr>
        <w:t>, Komisja przygotowuje nowy wniosek ustawodawczy, który skutecznie zabroni wprowadzania do obrotu na rynku Unii produktów wytworzonych</w:t>
      </w:r>
      <w:r w:rsidR="006A22D3" w:rsidRPr="006A22D3">
        <w:rPr>
          <w:noProof/>
        </w:rPr>
        <w:t xml:space="preserve"> w wyn</w:t>
      </w:r>
      <w:r w:rsidRPr="006A22D3">
        <w:rPr>
          <w:noProof/>
        </w:rPr>
        <w:t>iku pracy przymusowej,</w:t>
      </w:r>
      <w:r w:rsidR="006A22D3" w:rsidRPr="006A22D3">
        <w:rPr>
          <w:noProof/>
        </w:rPr>
        <w:t xml:space="preserve"> w tym</w:t>
      </w:r>
      <w:r w:rsidRPr="006A22D3">
        <w:rPr>
          <w:noProof/>
        </w:rPr>
        <w:t xml:space="preserve"> przymusowej pracy dzieci. Ta nowa inicjatywa będzie obejmowała zarówno produkty krajowe, jak</w:t>
      </w:r>
      <w:r w:rsidR="006A22D3" w:rsidRPr="006A22D3">
        <w:rPr>
          <w:noProof/>
        </w:rPr>
        <w:t xml:space="preserve"> i pro</w:t>
      </w:r>
      <w:r w:rsidRPr="006A22D3">
        <w:rPr>
          <w:noProof/>
        </w:rPr>
        <w:t>dukty przywożone, oraz połączy zakaz</w:t>
      </w:r>
      <w:r w:rsidR="006A22D3" w:rsidRPr="006A22D3">
        <w:rPr>
          <w:noProof/>
        </w:rPr>
        <w:t xml:space="preserve"> z sol</w:t>
      </w:r>
      <w:r w:rsidRPr="006A22D3">
        <w:rPr>
          <w:noProof/>
        </w:rPr>
        <w:t>idnymi, opartymi na analizie ryzyka ramami egzekwowania prawa. Nowy instrument będzie opierać się na normach międzynarodowych</w:t>
      </w:r>
      <w:r w:rsidR="006A22D3" w:rsidRPr="006A22D3">
        <w:rPr>
          <w:noProof/>
        </w:rPr>
        <w:t xml:space="preserve"> i sta</w:t>
      </w:r>
      <w:r w:rsidRPr="006A22D3">
        <w:rPr>
          <w:noProof/>
        </w:rPr>
        <w:t>nowić uzupełnienie inicjatyw horyzontalnych</w:t>
      </w:r>
      <w:r w:rsidR="006A22D3" w:rsidRPr="006A22D3">
        <w:rPr>
          <w:noProof/>
        </w:rPr>
        <w:t xml:space="preserve"> i sek</w:t>
      </w:r>
      <w:r w:rsidRPr="006A22D3">
        <w:rPr>
          <w:noProof/>
        </w:rPr>
        <w:t>torowych,</w:t>
      </w:r>
      <w:r w:rsidR="006A22D3" w:rsidRPr="006A22D3">
        <w:rPr>
          <w:noProof/>
        </w:rPr>
        <w:t xml:space="preserve"> w szc</w:t>
      </w:r>
      <w:r w:rsidRPr="006A22D3">
        <w:rPr>
          <w:noProof/>
        </w:rPr>
        <w:t>zególności obowiązków</w:t>
      </w:r>
      <w:r w:rsidR="006A22D3" w:rsidRPr="006A22D3">
        <w:rPr>
          <w:noProof/>
        </w:rPr>
        <w:t xml:space="preserve"> w zak</w:t>
      </w:r>
      <w:r w:rsidRPr="006A22D3">
        <w:rPr>
          <w:noProof/>
        </w:rPr>
        <w:t>resie należytej staranności ustanowionych</w:t>
      </w:r>
      <w:r w:rsidR="006A22D3" w:rsidRPr="006A22D3">
        <w:rPr>
          <w:noProof/>
        </w:rPr>
        <w:t xml:space="preserve"> w nin</w:t>
      </w:r>
      <w:r w:rsidRPr="006A22D3">
        <w:rPr>
          <w:noProof/>
        </w:rPr>
        <w:t>iejszym wniosku.</w:t>
      </w:r>
    </w:p>
    <w:p w:rsidR="00095593" w:rsidRPr="006A22D3" w:rsidRDefault="00095593" w:rsidP="00CB3D33">
      <w:pPr>
        <w:rPr>
          <w:noProof/>
        </w:rPr>
      </w:pPr>
      <w:r w:rsidRPr="006A22D3">
        <w:rPr>
          <w:noProof/>
        </w:rPr>
        <w:t>Przepisy niniejszej dyrektywy pozostają bez uszczerbku dla możliwości stosowania innych wymogów</w:t>
      </w:r>
      <w:r w:rsidR="006A22D3" w:rsidRPr="006A22D3">
        <w:rPr>
          <w:noProof/>
        </w:rPr>
        <w:t xml:space="preserve"> w dzi</w:t>
      </w:r>
      <w:r w:rsidRPr="006A22D3">
        <w:rPr>
          <w:noProof/>
        </w:rPr>
        <w:t>edzinie praw człowieka, ochrony środowiska</w:t>
      </w:r>
      <w:r w:rsidR="006A22D3" w:rsidRPr="006A22D3">
        <w:rPr>
          <w:noProof/>
        </w:rPr>
        <w:t xml:space="preserve"> i zmi</w:t>
      </w:r>
      <w:r w:rsidRPr="006A22D3">
        <w:rPr>
          <w:noProof/>
        </w:rPr>
        <w:t>any klimatu ustanowionych</w:t>
      </w:r>
      <w:r w:rsidR="006A22D3" w:rsidRPr="006A22D3">
        <w:rPr>
          <w:noProof/>
        </w:rPr>
        <w:t xml:space="preserve"> w inn</w:t>
      </w:r>
      <w:r w:rsidRPr="006A22D3">
        <w:rPr>
          <w:noProof/>
        </w:rPr>
        <w:t>ych aktach ustawodawczych Unii. Jeżeli przepisy niniejszej dyrektywy okazałyby się sprzeczne</w:t>
      </w:r>
      <w:r w:rsidR="006A22D3" w:rsidRPr="006A22D3">
        <w:rPr>
          <w:noProof/>
        </w:rPr>
        <w:t xml:space="preserve"> z prz</w:t>
      </w:r>
      <w:r w:rsidRPr="006A22D3">
        <w:rPr>
          <w:noProof/>
        </w:rPr>
        <w:t>episami innego aktu ustawodawczego Unii służącego realizacji tych samych celów</w:t>
      </w:r>
      <w:r w:rsidR="006A22D3" w:rsidRPr="006A22D3">
        <w:rPr>
          <w:noProof/>
        </w:rPr>
        <w:t xml:space="preserve"> i prz</w:t>
      </w:r>
      <w:r w:rsidRPr="006A22D3">
        <w:rPr>
          <w:noProof/>
        </w:rPr>
        <w:t>ewidującego szerzej zakrojone lub precyzyjniej określone obowiązki, za obowiązujące należy uznać przepisy takiego innego aktu ustawodawczego Unii</w:t>
      </w:r>
      <w:r w:rsidR="006A22D3" w:rsidRPr="006A22D3">
        <w:rPr>
          <w:noProof/>
        </w:rPr>
        <w:t xml:space="preserve"> w zak</w:t>
      </w:r>
      <w:r w:rsidRPr="006A22D3">
        <w:rPr>
          <w:noProof/>
        </w:rPr>
        <w:t>resie,</w:t>
      </w:r>
      <w:r w:rsidR="006A22D3" w:rsidRPr="006A22D3">
        <w:rPr>
          <w:noProof/>
        </w:rPr>
        <w:t xml:space="preserve"> w jak</w:t>
      </w:r>
      <w:r w:rsidRPr="006A22D3">
        <w:rPr>
          <w:noProof/>
        </w:rPr>
        <w:t>im są one sprzeczne</w:t>
      </w:r>
      <w:r w:rsidR="006A22D3" w:rsidRPr="006A22D3">
        <w:rPr>
          <w:noProof/>
        </w:rPr>
        <w:t xml:space="preserve"> z prz</w:t>
      </w:r>
      <w:r w:rsidRPr="006A22D3">
        <w:rPr>
          <w:noProof/>
        </w:rPr>
        <w:t>episami niniejszej dyrektywy, przy czym konkretne obowiązki przewidziane</w:t>
      </w:r>
      <w:r w:rsidR="006A22D3" w:rsidRPr="006A22D3">
        <w:rPr>
          <w:noProof/>
        </w:rPr>
        <w:t xml:space="preserve"> w tym</w:t>
      </w:r>
      <w:r w:rsidRPr="006A22D3">
        <w:rPr>
          <w:noProof/>
        </w:rPr>
        <w:t xml:space="preserve"> innym akcie powinny zastąpić odpowiednie obowiązki przewidziane</w:t>
      </w:r>
      <w:r w:rsidR="006A22D3" w:rsidRPr="006A22D3">
        <w:rPr>
          <w:noProof/>
        </w:rPr>
        <w:t xml:space="preserve"> w nin</w:t>
      </w:r>
      <w:r w:rsidRPr="006A22D3">
        <w:rPr>
          <w:noProof/>
        </w:rPr>
        <w:t>iejszej dyrektywie.</w:t>
      </w:r>
      <w:r w:rsidR="00192E90" w:rsidRPr="006A22D3">
        <w:rPr>
          <w:noProof/>
        </w:rPr>
        <w:t xml:space="preserve"> </w:t>
      </w:r>
    </w:p>
    <w:p w:rsidR="001859C1" w:rsidRPr="006A22D3" w:rsidRDefault="001859C1" w:rsidP="000B2095">
      <w:pPr>
        <w:pStyle w:val="ManualHeading2"/>
        <w:rPr>
          <w:noProof/>
        </w:rPr>
      </w:pPr>
      <w:r w:rsidRPr="006A22D3">
        <w:rPr>
          <w:noProof/>
        </w:rPr>
        <w:t>Spójność</w:t>
      </w:r>
      <w:r w:rsidR="006A22D3" w:rsidRPr="006A22D3">
        <w:rPr>
          <w:noProof/>
        </w:rPr>
        <w:t xml:space="preserve"> z inn</w:t>
      </w:r>
      <w:r w:rsidRPr="006A22D3">
        <w:rPr>
          <w:noProof/>
        </w:rPr>
        <w:t>ymi politykami Unii</w:t>
      </w:r>
    </w:p>
    <w:p w:rsidR="001859C1" w:rsidRPr="006A22D3" w:rsidRDefault="001859C1" w:rsidP="00CB3D33">
      <w:pPr>
        <w:rPr>
          <w:noProof/>
        </w:rPr>
      </w:pPr>
      <w:r w:rsidRPr="006A22D3">
        <w:rPr>
          <w:noProof/>
        </w:rPr>
        <w:t>Niniejsza dyrektywa jest istotna</w:t>
      </w:r>
      <w:r w:rsidR="006A22D3" w:rsidRPr="006A22D3">
        <w:rPr>
          <w:noProof/>
        </w:rPr>
        <w:t xml:space="preserve"> z pun</w:t>
      </w:r>
      <w:r w:rsidRPr="006A22D3">
        <w:rPr>
          <w:noProof/>
        </w:rPr>
        <w:t>ktu widzenia możliwości zrealizowania celów wyznaczonych</w:t>
      </w:r>
      <w:r w:rsidR="006A22D3" w:rsidRPr="006A22D3">
        <w:rPr>
          <w:noProof/>
        </w:rPr>
        <w:t xml:space="preserve"> w róż</w:t>
      </w:r>
      <w:r w:rsidRPr="006A22D3">
        <w:rPr>
          <w:noProof/>
        </w:rPr>
        <w:t>nych już istniejących</w:t>
      </w:r>
      <w:r w:rsidR="006A22D3" w:rsidRPr="006A22D3">
        <w:rPr>
          <w:noProof/>
        </w:rPr>
        <w:t xml:space="preserve"> i pla</w:t>
      </w:r>
      <w:r w:rsidRPr="006A22D3">
        <w:rPr>
          <w:noProof/>
        </w:rPr>
        <w:t>nowanych instrumentach Unii</w:t>
      </w:r>
      <w:r w:rsidR="006A22D3" w:rsidRPr="006A22D3">
        <w:rPr>
          <w:noProof/>
        </w:rPr>
        <w:t xml:space="preserve"> w dzi</w:t>
      </w:r>
      <w:r w:rsidRPr="006A22D3">
        <w:rPr>
          <w:noProof/>
        </w:rPr>
        <w:t>edzinie praw człowieka, uwzględniając prawa pracownicze,</w:t>
      </w:r>
      <w:r w:rsidR="006A22D3" w:rsidRPr="006A22D3">
        <w:rPr>
          <w:noProof/>
        </w:rPr>
        <w:t xml:space="preserve"> i w dzi</w:t>
      </w:r>
      <w:r w:rsidRPr="006A22D3">
        <w:rPr>
          <w:noProof/>
        </w:rPr>
        <w:t>edzinie środowiska.</w:t>
      </w:r>
    </w:p>
    <w:p w:rsidR="001859C1" w:rsidRPr="006A22D3" w:rsidRDefault="001859C1" w:rsidP="00CB3D33">
      <w:pPr>
        <w:rPr>
          <w:noProof/>
        </w:rPr>
      </w:pPr>
      <w:r w:rsidRPr="006A22D3">
        <w:rPr>
          <w:noProof/>
        </w:rPr>
        <w:t xml:space="preserve">W ramach Europejskiego Zielonego Ładu Komisja wymieniła inicjatywę na rzecz zrównoważonego ładu korporacyjnego wśród wyników </w:t>
      </w:r>
      <w:hyperlink r:id="rId23">
        <w:r w:rsidRPr="006A22D3">
          <w:rPr>
            <w:noProof/>
            <w:color w:val="0000FF"/>
            <w:u w:val="single"/>
          </w:rPr>
          <w:t>Planu działania dotyczącego gospodarki</w:t>
        </w:r>
        <w:r w:rsidR="006A22D3" w:rsidRPr="006A22D3">
          <w:rPr>
            <w:noProof/>
            <w:color w:val="0000FF"/>
            <w:u w:val="single"/>
          </w:rPr>
          <w:t xml:space="preserve"> o obi</w:t>
        </w:r>
        <w:r w:rsidRPr="006A22D3">
          <w:rPr>
            <w:noProof/>
            <w:color w:val="0000FF"/>
            <w:u w:val="single"/>
          </w:rPr>
          <w:t>egu zamkniętym</w:t>
        </w:r>
      </w:hyperlink>
      <w:r w:rsidRPr="006A22D3">
        <w:rPr>
          <w:noProof/>
        </w:rPr>
        <w:t xml:space="preserve">, </w:t>
      </w:r>
      <w:hyperlink r:id="rId24">
        <w:r w:rsidRPr="006A22D3">
          <w:rPr>
            <w:noProof/>
            <w:color w:val="0000FF"/>
            <w:u w:val="single"/>
          </w:rPr>
          <w:t>unijnej strategii na rzecz bioróżnorodności</w:t>
        </w:r>
      </w:hyperlink>
      <w:r w:rsidRPr="006A22D3">
        <w:rPr>
          <w:noProof/>
          <w:color w:val="0000FF"/>
          <w:u w:val="single"/>
        </w:rPr>
        <w:t xml:space="preserve"> 2030</w:t>
      </w:r>
      <w:r w:rsidRPr="006A22D3">
        <w:rPr>
          <w:noProof/>
        </w:rPr>
        <w:t xml:space="preserve">, </w:t>
      </w:r>
      <w:hyperlink r:id="rId25">
        <w:r w:rsidRPr="006A22D3">
          <w:rPr>
            <w:noProof/>
            <w:color w:val="0000FF"/>
            <w:u w:val="single"/>
          </w:rPr>
          <w:t>strategii</w:t>
        </w:r>
      </w:hyperlink>
      <w:r w:rsidRPr="006A22D3">
        <w:rPr>
          <w:noProof/>
          <w:color w:val="0000FF"/>
          <w:u w:val="single"/>
        </w:rPr>
        <w:t xml:space="preserve"> „Od pola do stołu”</w:t>
      </w:r>
      <w:r w:rsidRPr="006A22D3">
        <w:rPr>
          <w:noProof/>
        </w:rPr>
        <w:t xml:space="preserve">, </w:t>
      </w:r>
      <w:hyperlink r:id="rId26">
        <w:r w:rsidRPr="006A22D3">
          <w:rPr>
            <w:noProof/>
            <w:color w:val="0000FF"/>
            <w:u w:val="single"/>
          </w:rPr>
          <w:t>strategii</w:t>
        </w:r>
        <w:r w:rsidR="006A22D3" w:rsidRPr="006A22D3">
          <w:rPr>
            <w:noProof/>
            <w:color w:val="0000FF"/>
            <w:u w:val="single"/>
          </w:rPr>
          <w:t xml:space="preserve"> w zak</w:t>
        </w:r>
        <w:r w:rsidRPr="006A22D3">
          <w:rPr>
            <w:noProof/>
            <w:color w:val="0000FF"/>
            <w:u w:val="single"/>
          </w:rPr>
          <w:t>resie chemikaliów na rzecz zrównoważoności</w:t>
        </w:r>
      </w:hyperlink>
      <w:r w:rsidRPr="006A22D3">
        <w:rPr>
          <w:noProof/>
          <w:color w:val="0000FF"/>
          <w:u w:val="single"/>
        </w:rPr>
        <w:t>, aktualizacji nowej strategii przemysłowej</w:t>
      </w:r>
      <w:r w:rsidR="006A22D3" w:rsidRPr="006A22D3">
        <w:rPr>
          <w:noProof/>
          <w:color w:val="0000FF"/>
          <w:u w:val="single"/>
        </w:rPr>
        <w:t xml:space="preserve"> z 2</w:t>
      </w:r>
      <w:r w:rsidRPr="006A22D3">
        <w:rPr>
          <w:noProof/>
          <w:color w:val="0000FF"/>
          <w:u w:val="single"/>
        </w:rPr>
        <w:t>020</w:t>
      </w:r>
      <w:r w:rsidR="00192E90" w:rsidRPr="006A22D3">
        <w:rPr>
          <w:noProof/>
          <w:color w:val="0000FF"/>
          <w:u w:val="single"/>
        </w:rPr>
        <w:t> </w:t>
      </w:r>
      <w:r w:rsidRPr="006A22D3">
        <w:rPr>
          <w:noProof/>
          <w:color w:val="0000FF"/>
          <w:u w:val="single"/>
        </w:rPr>
        <w:t>r. – tworzenie silniejszego jednolitego rynku sprzyjającego odbudowie Europy</w:t>
      </w:r>
      <w:r w:rsidRPr="006A22D3">
        <w:rPr>
          <w:noProof/>
        </w:rPr>
        <w:t xml:space="preserve"> oraz </w:t>
      </w:r>
      <w:hyperlink r:id="rId27" w:history="1">
        <w:r w:rsidRPr="006A22D3">
          <w:rPr>
            <w:rStyle w:val="Hyperlink"/>
            <w:noProof/>
          </w:rPr>
          <w:t>strategii finansowania transformacji</w:t>
        </w:r>
        <w:r w:rsidR="006A22D3" w:rsidRPr="006A22D3">
          <w:rPr>
            <w:rStyle w:val="Hyperlink"/>
            <w:noProof/>
          </w:rPr>
          <w:t xml:space="preserve"> w str</w:t>
        </w:r>
        <w:r w:rsidRPr="006A22D3">
          <w:rPr>
            <w:rStyle w:val="Hyperlink"/>
            <w:noProof/>
          </w:rPr>
          <w:t>onę gospodarki zrównoważonej</w:t>
        </w:r>
      </w:hyperlink>
      <w:r w:rsidRPr="006A22D3">
        <w:rPr>
          <w:noProof/>
        </w:rPr>
        <w:t>.</w:t>
      </w:r>
    </w:p>
    <w:p w:rsidR="001859C1" w:rsidRPr="006A22D3" w:rsidRDefault="001859C1" w:rsidP="00CB3D33">
      <w:pPr>
        <w:rPr>
          <w:noProof/>
        </w:rPr>
      </w:pPr>
      <w:r w:rsidRPr="006A22D3">
        <w:rPr>
          <w:noProof/>
        </w:rPr>
        <w:t>W unijnym prawie ochrony środowiska na przedsiębiorstwa</w:t>
      </w:r>
      <w:r w:rsidR="006A22D3" w:rsidRPr="006A22D3">
        <w:rPr>
          <w:noProof/>
        </w:rPr>
        <w:t xml:space="preserve"> i pań</w:t>
      </w:r>
      <w:r w:rsidRPr="006A22D3">
        <w:rPr>
          <w:noProof/>
        </w:rPr>
        <w:t>stwa członkowskie nałożono różne wymogi środowiskowe lub wyznaczono cele, do których realizacji ma dążyć Unia</w:t>
      </w:r>
      <w:r w:rsidRPr="006A22D3">
        <w:rPr>
          <w:rStyle w:val="FootnoteReference"/>
          <w:noProof/>
        </w:rPr>
        <w:footnoteReference w:id="29"/>
      </w:r>
      <w:r w:rsidRPr="006A22D3">
        <w:rPr>
          <w:noProof/>
        </w:rPr>
        <w:t>. Przepisy tego prawa nie mają jednak zasadniczo zastosowania do łańcuchów wartości poza Unią, gdzie może dochodzić do</w:t>
      </w:r>
      <w:r w:rsidR="00192E90" w:rsidRPr="006A22D3">
        <w:rPr>
          <w:noProof/>
        </w:rPr>
        <w:t> </w:t>
      </w:r>
      <w:r w:rsidRPr="006A22D3">
        <w:rPr>
          <w:noProof/>
        </w:rPr>
        <w:t>80–90</w:t>
      </w:r>
      <w:r w:rsidR="00192E90" w:rsidRPr="006A22D3">
        <w:rPr>
          <w:noProof/>
        </w:rPr>
        <w:t> </w:t>
      </w:r>
      <w:r w:rsidRPr="006A22D3">
        <w:rPr>
          <w:noProof/>
        </w:rPr>
        <w:t>% szkód wyrządzanych przez produkcję unijną</w:t>
      </w:r>
      <w:r w:rsidR="00DD497A" w:rsidRPr="006A22D3">
        <w:rPr>
          <w:rStyle w:val="FootnoteReference"/>
          <w:noProof/>
        </w:rPr>
        <w:footnoteReference w:id="30"/>
      </w:r>
      <w:r w:rsidRPr="006A22D3">
        <w:rPr>
          <w:noProof/>
        </w:rPr>
        <w:t xml:space="preserve">. W </w:t>
      </w:r>
      <w:bookmarkStart w:id="3" w:name="_Hlk74641924"/>
      <w:r w:rsidRPr="006A22D3">
        <w:rPr>
          <w:noProof/>
        </w:rPr>
        <w:fldChar w:fldCharType="begin" w:fldLock="1"/>
      </w:r>
      <w:r w:rsidRPr="006A22D3">
        <w:rPr>
          <w:noProof/>
          <w:szCs w:val="24"/>
        </w:rPr>
        <w:instrText xml:space="preserve"> HYPERLINK "https://ec.europa.eu/environment/legal/liability/index.htm" \l "https://ec.europa.eu/environment/legal/liability/index.htm" </w:instrText>
      </w:r>
      <w:r w:rsidRPr="006A22D3">
        <w:rPr>
          <w:noProof/>
          <w:szCs w:val="24"/>
        </w:rPr>
        <w:fldChar w:fldCharType="separate"/>
      </w:r>
      <w:r w:rsidRPr="006A22D3">
        <w:rPr>
          <w:noProof/>
          <w:color w:val="0000FF" w:themeColor="hyperlink"/>
          <w:u w:val="single"/>
        </w:rPr>
        <w:t>dyrektywie</w:t>
      </w:r>
      <w:r w:rsidR="006A22D3" w:rsidRPr="006A22D3">
        <w:rPr>
          <w:noProof/>
          <w:color w:val="0000FF" w:themeColor="hyperlink"/>
          <w:u w:val="single"/>
        </w:rPr>
        <w:t xml:space="preserve"> w spr</w:t>
      </w:r>
      <w:r w:rsidRPr="006A22D3">
        <w:rPr>
          <w:noProof/>
          <w:color w:val="0000FF" w:themeColor="hyperlink"/>
          <w:u w:val="single"/>
        </w:rPr>
        <w:t>awie odpowiedzialności za środowisko</w:t>
      </w:r>
      <w:r w:rsidRPr="006A22D3">
        <w:rPr>
          <w:noProof/>
        </w:rPr>
        <w:fldChar w:fldCharType="end"/>
      </w:r>
      <w:r w:rsidR="00BE1A5C" w:rsidRPr="006A22D3">
        <w:rPr>
          <w:rStyle w:val="FootnoteReference"/>
          <w:noProof/>
        </w:rPr>
        <w:footnoteReference w:id="31"/>
      </w:r>
      <w:r w:rsidRPr="006A22D3">
        <w:rPr>
          <w:noProof/>
        </w:rPr>
        <w:t xml:space="preserve"> </w:t>
      </w:r>
      <w:bookmarkEnd w:id="3"/>
      <w:r w:rsidRPr="006A22D3">
        <w:rPr>
          <w:noProof/>
        </w:rPr>
        <w:t>ustanowiono ramy odpowiedzialności za środowisko</w:t>
      </w:r>
      <w:r w:rsidR="006A22D3" w:rsidRPr="006A22D3">
        <w:rPr>
          <w:noProof/>
        </w:rPr>
        <w:t xml:space="preserve"> w odn</w:t>
      </w:r>
      <w:r w:rsidRPr="006A22D3">
        <w:rPr>
          <w:noProof/>
        </w:rPr>
        <w:t>iesieniu do zapobiegania</w:t>
      </w:r>
      <w:r w:rsidR="006A22D3" w:rsidRPr="006A22D3">
        <w:rPr>
          <w:noProof/>
        </w:rPr>
        <w:t xml:space="preserve"> i zar</w:t>
      </w:r>
      <w:r w:rsidRPr="006A22D3">
        <w:rPr>
          <w:noProof/>
        </w:rPr>
        <w:t>adzania szkodom wyrządzonym środowisku naturalnemu</w:t>
      </w:r>
      <w:r w:rsidR="006A22D3" w:rsidRPr="006A22D3">
        <w:rPr>
          <w:noProof/>
        </w:rPr>
        <w:t xml:space="preserve"> w rez</w:t>
      </w:r>
      <w:r w:rsidRPr="006A22D3">
        <w:rPr>
          <w:noProof/>
        </w:rPr>
        <w:t>ultacie działalności prowadzonej bezpośrednio przez przedsiębiorstwa</w:t>
      </w:r>
      <w:r w:rsidR="006A22D3" w:rsidRPr="006A22D3">
        <w:rPr>
          <w:noProof/>
        </w:rPr>
        <w:t xml:space="preserve"> w opa</w:t>
      </w:r>
      <w:r w:rsidRPr="006A22D3">
        <w:rPr>
          <w:noProof/>
        </w:rPr>
        <w:t>rciu</w:t>
      </w:r>
      <w:r w:rsidR="006A22D3" w:rsidRPr="006A22D3">
        <w:rPr>
          <w:noProof/>
        </w:rPr>
        <w:t xml:space="preserve"> o zas</w:t>
      </w:r>
      <w:r w:rsidRPr="006A22D3">
        <w:rPr>
          <w:noProof/>
        </w:rPr>
        <w:t>adę „zanieczyszczający płaci”. Ramy te nie obejmują łańcuchów wartości przedsiębiorstw.</w:t>
      </w:r>
      <w:r w:rsidRPr="006A22D3">
        <w:rPr>
          <w:noProof/>
        </w:rPr>
        <w:tab/>
        <w:t>Przepisy dotyczące odpowiedzialności cywilnej</w:t>
      </w:r>
      <w:r w:rsidR="006A22D3" w:rsidRPr="006A22D3">
        <w:rPr>
          <w:noProof/>
        </w:rPr>
        <w:t xml:space="preserve"> z tyt</w:t>
      </w:r>
      <w:r w:rsidRPr="006A22D3">
        <w:rPr>
          <w:noProof/>
        </w:rPr>
        <w:t>ułu niekorzystnych skutków dla środowiska przewidziane</w:t>
      </w:r>
      <w:r w:rsidR="006A22D3" w:rsidRPr="006A22D3">
        <w:rPr>
          <w:noProof/>
        </w:rPr>
        <w:t xml:space="preserve"> w nin</w:t>
      </w:r>
      <w:r w:rsidRPr="006A22D3">
        <w:rPr>
          <w:noProof/>
        </w:rPr>
        <w:t>iejszej dyrektywie będzie uzupełniały przepisy dyrektywy</w:t>
      </w:r>
      <w:r w:rsidR="006A22D3" w:rsidRPr="006A22D3">
        <w:rPr>
          <w:noProof/>
        </w:rPr>
        <w:t xml:space="preserve"> w spr</w:t>
      </w:r>
      <w:r w:rsidRPr="006A22D3">
        <w:rPr>
          <w:noProof/>
        </w:rPr>
        <w:t>awie odpowiedzialności za środowisko.</w:t>
      </w:r>
    </w:p>
    <w:p w:rsidR="001859C1" w:rsidRPr="006A22D3" w:rsidRDefault="001859C1" w:rsidP="00CB3D33">
      <w:pPr>
        <w:rPr>
          <w:noProof/>
        </w:rPr>
      </w:pPr>
      <w:r w:rsidRPr="006A22D3">
        <w:rPr>
          <w:noProof/>
        </w:rPr>
        <w:t>Niniejsza dyrektywa będzie uzupełniała unijne</w:t>
      </w:r>
      <w:r w:rsidRPr="006A22D3">
        <w:rPr>
          <w:b/>
          <w:noProof/>
        </w:rPr>
        <w:t xml:space="preserve"> </w:t>
      </w:r>
      <w:r w:rsidRPr="006A22D3">
        <w:rPr>
          <w:noProof/>
        </w:rPr>
        <w:t>przepisy</w:t>
      </w:r>
      <w:r w:rsidR="006A22D3" w:rsidRPr="006A22D3">
        <w:rPr>
          <w:noProof/>
        </w:rPr>
        <w:t xml:space="preserve"> w dzi</w:t>
      </w:r>
      <w:r w:rsidRPr="006A22D3">
        <w:rPr>
          <w:noProof/>
        </w:rPr>
        <w:t>edzinie klimatu,</w:t>
      </w:r>
      <w:r w:rsidR="006A22D3" w:rsidRPr="006A22D3">
        <w:rPr>
          <w:noProof/>
        </w:rPr>
        <w:t xml:space="preserve"> w tym</w:t>
      </w:r>
      <w:r w:rsidRPr="006A22D3">
        <w:rPr>
          <w:noProof/>
        </w:rPr>
        <w:t xml:space="preserve"> Europejskie prawo</w:t>
      </w:r>
      <w:r w:rsidR="006A22D3" w:rsidRPr="006A22D3">
        <w:rPr>
          <w:noProof/>
        </w:rPr>
        <w:t xml:space="preserve"> o kli</w:t>
      </w:r>
      <w:r w:rsidRPr="006A22D3">
        <w:rPr>
          <w:noProof/>
        </w:rPr>
        <w:t>macie, utrwalając ambitne cele klimatyczne Unii,</w:t>
      </w:r>
      <w:r w:rsidR="006A22D3" w:rsidRPr="006A22D3">
        <w:rPr>
          <w:noProof/>
        </w:rPr>
        <w:t xml:space="preserve"> w tym</w:t>
      </w:r>
      <w:r w:rsidRPr="006A22D3">
        <w:rPr>
          <w:noProof/>
        </w:rPr>
        <w:t xml:space="preserve"> również pośredni cel polegający na ograniczeniu emisji netto gazów cieplarnianych o co najmniej 55</w:t>
      </w:r>
      <w:r w:rsidR="00192E90" w:rsidRPr="006A22D3">
        <w:rPr>
          <w:noProof/>
        </w:rPr>
        <w:t> </w:t>
      </w:r>
      <w:r w:rsidRPr="006A22D3">
        <w:rPr>
          <w:noProof/>
        </w:rPr>
        <w:t>% do</w:t>
      </w:r>
      <w:r w:rsidR="00192E90" w:rsidRPr="006A22D3">
        <w:rPr>
          <w:noProof/>
        </w:rPr>
        <w:t> </w:t>
      </w:r>
      <w:r w:rsidRPr="006A22D3">
        <w:rPr>
          <w:noProof/>
        </w:rPr>
        <w:t>2030</w:t>
      </w:r>
      <w:r w:rsidR="00192E90" w:rsidRPr="006A22D3">
        <w:rPr>
          <w:noProof/>
        </w:rPr>
        <w:t> </w:t>
      </w:r>
      <w:r w:rsidRPr="006A22D3">
        <w:rPr>
          <w:noProof/>
        </w:rPr>
        <w:t>r., aby skierować Europę na odpowiedzialną ścieżkę zapewniającą osiągnięcie neutralności klimatycznej do</w:t>
      </w:r>
      <w:r w:rsidR="00192E90" w:rsidRPr="006A22D3">
        <w:rPr>
          <w:noProof/>
        </w:rPr>
        <w:t> </w:t>
      </w:r>
      <w:r w:rsidRPr="006A22D3">
        <w:rPr>
          <w:noProof/>
        </w:rPr>
        <w:t>2050</w:t>
      </w:r>
      <w:r w:rsidR="00192E90" w:rsidRPr="006A22D3">
        <w:rPr>
          <w:noProof/>
        </w:rPr>
        <w:t> </w:t>
      </w:r>
      <w:r w:rsidRPr="006A22D3">
        <w:rPr>
          <w:noProof/>
        </w:rPr>
        <w:t xml:space="preserve">r. Ściślej rzecz biorąc, niniejsza dyrektywa będzie uzupełniała </w:t>
      </w:r>
      <w:hyperlink r:id="rId28" w:history="1">
        <w:r w:rsidRPr="006A22D3">
          <w:rPr>
            <w:noProof/>
            <w:color w:val="0000FF" w:themeColor="hyperlink"/>
            <w:u w:val="single"/>
          </w:rPr>
          <w:t>pakiet „Gotowi na</w:t>
        </w:r>
        <w:r w:rsidR="00192E90" w:rsidRPr="006A22D3">
          <w:rPr>
            <w:noProof/>
            <w:color w:val="0000FF" w:themeColor="hyperlink"/>
            <w:u w:val="single"/>
          </w:rPr>
          <w:t> </w:t>
        </w:r>
        <w:r w:rsidRPr="006A22D3">
          <w:rPr>
            <w:noProof/>
            <w:color w:val="0000FF" w:themeColor="hyperlink"/>
            <w:u w:val="single"/>
          </w:rPr>
          <w:t>55”</w:t>
        </w:r>
      </w:hyperlink>
      <w:r w:rsidR="0054342D" w:rsidRPr="006A22D3">
        <w:rPr>
          <w:rStyle w:val="FootnoteReference"/>
          <w:rFonts w:eastAsia="Times New Roman"/>
          <w:noProof/>
        </w:rPr>
        <w:footnoteReference w:id="32"/>
      </w:r>
      <w:r w:rsidR="006A22D3" w:rsidRPr="006A22D3">
        <w:rPr>
          <w:noProof/>
        </w:rPr>
        <w:t xml:space="preserve"> i róż</w:t>
      </w:r>
      <w:r w:rsidRPr="006A22D3">
        <w:rPr>
          <w:noProof/>
        </w:rPr>
        <w:t>ne przewidziane</w:t>
      </w:r>
      <w:r w:rsidR="006A22D3" w:rsidRPr="006A22D3">
        <w:rPr>
          <w:noProof/>
        </w:rPr>
        <w:t xml:space="preserve"> w nim</w:t>
      </w:r>
      <w:r w:rsidRPr="006A22D3">
        <w:rPr>
          <w:noProof/>
        </w:rPr>
        <w:t xml:space="preserve"> kluczowe działania takie jak wyznaczenie ambitniejszych celów</w:t>
      </w:r>
      <w:r w:rsidR="006A22D3" w:rsidRPr="006A22D3">
        <w:rPr>
          <w:noProof/>
        </w:rPr>
        <w:t xml:space="preserve"> w zak</w:t>
      </w:r>
      <w:r w:rsidRPr="006A22D3">
        <w:rPr>
          <w:noProof/>
        </w:rPr>
        <w:t>resie efektywności energetycznej</w:t>
      </w:r>
      <w:r w:rsidR="006A22D3" w:rsidRPr="006A22D3">
        <w:rPr>
          <w:noProof/>
        </w:rPr>
        <w:t xml:space="preserve"> i ene</w:t>
      </w:r>
      <w:r w:rsidRPr="006A22D3">
        <w:rPr>
          <w:noProof/>
        </w:rPr>
        <w:t>rgii odnawialnej dla państw członkowskich do</w:t>
      </w:r>
      <w:r w:rsidR="00192E90" w:rsidRPr="006A22D3">
        <w:rPr>
          <w:noProof/>
        </w:rPr>
        <w:t> </w:t>
      </w:r>
      <w:r w:rsidRPr="006A22D3">
        <w:rPr>
          <w:noProof/>
        </w:rPr>
        <w:t>2030</w:t>
      </w:r>
      <w:r w:rsidR="00192E90" w:rsidRPr="006A22D3">
        <w:rPr>
          <w:noProof/>
        </w:rPr>
        <w:t> </w:t>
      </w:r>
      <w:r w:rsidRPr="006A22D3">
        <w:rPr>
          <w:noProof/>
        </w:rPr>
        <w:t xml:space="preserve">r. lub udoskonalenie </w:t>
      </w:r>
      <w:hyperlink r:id="rId29" w:history="1">
        <w:r w:rsidRPr="006A22D3">
          <w:rPr>
            <w:rStyle w:val="Hyperlink"/>
            <w:noProof/>
          </w:rPr>
          <w:t>unijnego systemu handlu uprawnieniami do emisji</w:t>
        </w:r>
      </w:hyperlink>
      <w:r w:rsidR="007F5D1D" w:rsidRPr="006A22D3">
        <w:rPr>
          <w:rStyle w:val="FootnoteReference"/>
          <w:rFonts w:eastAsia="Times New Roman"/>
          <w:noProof/>
        </w:rPr>
        <w:footnoteReference w:id="33"/>
      </w:r>
      <w:r w:rsidRPr="006A22D3">
        <w:rPr>
          <w:noProof/>
        </w:rPr>
        <w:t>; działaniom</w:t>
      </w:r>
      <w:r w:rsidR="006A22D3" w:rsidRPr="006A22D3">
        <w:rPr>
          <w:noProof/>
        </w:rPr>
        <w:t xml:space="preserve"> w tym</w:t>
      </w:r>
      <w:r w:rsidRPr="006A22D3">
        <w:rPr>
          <w:noProof/>
        </w:rPr>
        <w:t xml:space="preserve"> obszarze musi towarzyszyć szerzej zakrojona transformacja procesów produkcji, aby zapewnić osiągnięcie neutralności klimatycznej do</w:t>
      </w:r>
      <w:r w:rsidR="00192E90" w:rsidRPr="006A22D3">
        <w:rPr>
          <w:noProof/>
        </w:rPr>
        <w:t> </w:t>
      </w:r>
      <w:r w:rsidRPr="006A22D3">
        <w:rPr>
          <w:noProof/>
        </w:rPr>
        <w:t>2050</w:t>
      </w:r>
      <w:r w:rsidR="00192E90" w:rsidRPr="006A22D3">
        <w:rPr>
          <w:noProof/>
        </w:rPr>
        <w:t> </w:t>
      </w:r>
      <w:r w:rsidRPr="006A22D3">
        <w:rPr>
          <w:noProof/>
        </w:rPr>
        <w:t>r.</w:t>
      </w:r>
      <w:r w:rsidR="006A22D3" w:rsidRPr="006A22D3">
        <w:rPr>
          <w:noProof/>
        </w:rPr>
        <w:t xml:space="preserve"> w cał</w:t>
      </w:r>
      <w:r w:rsidRPr="006A22D3">
        <w:rPr>
          <w:noProof/>
        </w:rPr>
        <w:t>ej gospodarce</w:t>
      </w:r>
      <w:r w:rsidR="006A22D3" w:rsidRPr="006A22D3">
        <w:rPr>
          <w:noProof/>
        </w:rPr>
        <w:t xml:space="preserve"> i w ram</w:t>
      </w:r>
      <w:r w:rsidRPr="006A22D3">
        <w:rPr>
          <w:noProof/>
        </w:rPr>
        <w:t>ach wszystkich łańcuchów wartości. Pakiet „Gotowi na</w:t>
      </w:r>
      <w:r w:rsidR="00192E90" w:rsidRPr="006A22D3">
        <w:rPr>
          <w:noProof/>
        </w:rPr>
        <w:t> </w:t>
      </w:r>
      <w:r w:rsidRPr="006A22D3">
        <w:rPr>
          <w:noProof/>
        </w:rPr>
        <w:t xml:space="preserve">55” będzie wywierał jedynie pośredni wpływ na niektóre pozaunijne łańcuchy wartości przedsiębiorstw unijnych za pośrednictwem </w:t>
      </w:r>
      <w:hyperlink r:id="rId30" w:history="1">
        <w:r w:rsidRPr="006A22D3">
          <w:rPr>
            <w:noProof/>
            <w:color w:val="0000FF" w:themeColor="hyperlink"/>
            <w:u w:val="single"/>
          </w:rPr>
          <w:t>mechanizmu dostosowywania cen na granicach</w:t>
        </w:r>
        <w:r w:rsidR="006A22D3" w:rsidRPr="006A22D3">
          <w:rPr>
            <w:noProof/>
            <w:color w:val="0000FF" w:themeColor="hyperlink"/>
            <w:u w:val="single"/>
          </w:rPr>
          <w:t xml:space="preserve"> z uwz</w:t>
        </w:r>
        <w:r w:rsidRPr="006A22D3">
          <w:rPr>
            <w:noProof/>
            <w:color w:val="0000FF" w:themeColor="hyperlink"/>
            <w:u w:val="single"/>
          </w:rPr>
          <w:t>ględnieniem emisji CO2</w:t>
        </w:r>
      </w:hyperlink>
      <w:r w:rsidR="00B56151" w:rsidRPr="006A22D3">
        <w:rPr>
          <w:rStyle w:val="FootnoteReference"/>
          <w:noProof/>
        </w:rPr>
        <w:footnoteReference w:id="34"/>
      </w:r>
      <w:r w:rsidRPr="006A22D3">
        <w:rPr>
          <w:noProof/>
        </w:rPr>
        <w:t>, którego celem jest przeciwdziałanie zjawisku „ucieczki emisji”</w:t>
      </w:r>
      <w:r w:rsidRPr="006A22D3">
        <w:rPr>
          <w:rStyle w:val="FootnoteReference"/>
          <w:noProof/>
        </w:rPr>
        <w:footnoteReference w:id="35"/>
      </w:r>
      <w:r w:rsidRPr="006A22D3">
        <w:rPr>
          <w:noProof/>
        </w:rPr>
        <w:t xml:space="preserve"> poprzez nakładanie cen uwzględniających emisje CO2 na wybrane produkty przywożone, które nie podlegają opłacie za emisję gazów cieplarnianych przewidzianej</w:t>
      </w:r>
      <w:r w:rsidR="006A22D3" w:rsidRPr="006A22D3">
        <w:rPr>
          <w:noProof/>
        </w:rPr>
        <w:t xml:space="preserve"> w uni</w:t>
      </w:r>
      <w:r w:rsidRPr="006A22D3">
        <w:rPr>
          <w:noProof/>
        </w:rPr>
        <w:t xml:space="preserve">jnym systemie handlu uprawnieniami do emisji. </w:t>
      </w:r>
    </w:p>
    <w:p w:rsidR="004D797B" w:rsidRPr="006A22D3" w:rsidRDefault="001859C1" w:rsidP="00CB3D33">
      <w:pPr>
        <w:rPr>
          <w:noProof/>
        </w:rPr>
      </w:pPr>
      <w:r w:rsidRPr="006A22D3">
        <w:rPr>
          <w:noProof/>
        </w:rPr>
        <w:t xml:space="preserve">Obowiązujące obecnie </w:t>
      </w:r>
      <w:hyperlink r:id="rId31" w:history="1">
        <w:r w:rsidRPr="006A22D3">
          <w:rPr>
            <w:rStyle w:val="Hyperlink"/>
            <w:noProof/>
          </w:rPr>
          <w:t>unijne przepisy dotyczące zdrowia</w:t>
        </w:r>
        <w:r w:rsidR="006A22D3" w:rsidRPr="006A22D3">
          <w:rPr>
            <w:rStyle w:val="Hyperlink"/>
            <w:noProof/>
          </w:rPr>
          <w:t xml:space="preserve"> i bez</w:t>
        </w:r>
        <w:r w:rsidRPr="006A22D3">
          <w:rPr>
            <w:rStyle w:val="Hyperlink"/>
            <w:noProof/>
          </w:rPr>
          <w:t>pieczeństwa oraz praw podstawowych</w:t>
        </w:r>
      </w:hyperlink>
      <w:r w:rsidRPr="006A22D3">
        <w:rPr>
          <w:noProof/>
        </w:rPr>
        <w:t xml:space="preserve"> koncentrują się na bardzo konkretnych niekorzystnych skutkach (takich jak przypadki naruszenia prawa do prywatności</w:t>
      </w:r>
      <w:r w:rsidR="006A22D3" w:rsidRPr="006A22D3">
        <w:rPr>
          <w:noProof/>
        </w:rPr>
        <w:t xml:space="preserve"> i pra</w:t>
      </w:r>
      <w:r w:rsidRPr="006A22D3">
        <w:rPr>
          <w:noProof/>
        </w:rPr>
        <w:t>wa do ochrony danych osobowych, dyskryminacja, konkretne kwestie zdrowotne związane</w:t>
      </w:r>
      <w:r w:rsidR="006A22D3" w:rsidRPr="006A22D3">
        <w:rPr>
          <w:noProof/>
        </w:rPr>
        <w:t xml:space="preserve"> z sub</w:t>
      </w:r>
      <w:r w:rsidRPr="006A22D3">
        <w:rPr>
          <w:noProof/>
        </w:rPr>
        <w:t>stancjami niebezpiecznymi, zagrożenia dla zdrowia</w:t>
      </w:r>
      <w:r w:rsidR="006A22D3" w:rsidRPr="006A22D3">
        <w:rPr>
          <w:noProof/>
        </w:rPr>
        <w:t xml:space="preserve"> i bez</w:t>
      </w:r>
      <w:r w:rsidRPr="006A22D3">
        <w:rPr>
          <w:noProof/>
        </w:rPr>
        <w:t>pieczeństwa pracowników, przypadki naruszenia praw dzieci itp.) na terytorium Unii</w:t>
      </w:r>
      <w:r w:rsidRPr="006A22D3">
        <w:rPr>
          <w:rStyle w:val="FootnoteReference"/>
          <w:noProof/>
        </w:rPr>
        <w:footnoteReference w:id="36"/>
      </w:r>
      <w:r w:rsidRPr="006A22D3">
        <w:rPr>
          <w:noProof/>
        </w:rPr>
        <w:t xml:space="preserve">, ale nie zawsze mają one zastosowanie do łańcuchów wartości przedsiębiorstw poza Unią. </w:t>
      </w:r>
    </w:p>
    <w:p w:rsidR="004D797B" w:rsidRPr="006A22D3" w:rsidRDefault="004D797B" w:rsidP="00CB3D33">
      <w:pPr>
        <w:rPr>
          <w:noProof/>
        </w:rPr>
      </w:pPr>
      <w:r w:rsidRPr="006A22D3">
        <w:rPr>
          <w:noProof/>
        </w:rPr>
        <w:t xml:space="preserve">Przedmiotowa inicjatywa jest zgodna z </w:t>
      </w:r>
      <w:hyperlink r:id="rId32" w:history="1">
        <w:r w:rsidRPr="006A22D3">
          <w:rPr>
            <w:rStyle w:val="Hyperlink"/>
            <w:noProof/>
          </w:rPr>
          <w:t>Planem działania UE dotyczącym praw człowieka</w:t>
        </w:r>
        <w:r w:rsidR="006A22D3" w:rsidRPr="006A22D3">
          <w:rPr>
            <w:rStyle w:val="Hyperlink"/>
            <w:noProof/>
          </w:rPr>
          <w:t xml:space="preserve"> i dem</w:t>
        </w:r>
        <w:r w:rsidRPr="006A22D3">
          <w:rPr>
            <w:rStyle w:val="Hyperlink"/>
            <w:noProof/>
          </w:rPr>
          <w:t>okracji na lata 2020–2024</w:t>
        </w:r>
      </w:hyperlink>
      <w:r w:rsidR="00D373BA" w:rsidRPr="006A22D3">
        <w:rPr>
          <w:rStyle w:val="FootnoteReference"/>
          <w:rFonts w:eastAsia="Calibri"/>
          <w:noProof/>
        </w:rPr>
        <w:footnoteReference w:id="37"/>
      </w:r>
      <w:r w:rsidRPr="006A22D3">
        <w:rPr>
          <w:noProof/>
        </w:rPr>
        <w:t>,</w:t>
      </w:r>
      <w:r w:rsidR="006A22D3" w:rsidRPr="006A22D3">
        <w:rPr>
          <w:noProof/>
        </w:rPr>
        <w:t xml:space="preserve"> w któ</w:t>
      </w:r>
      <w:r w:rsidRPr="006A22D3">
        <w:rPr>
          <w:noProof/>
        </w:rPr>
        <w:t>rym Unię</w:t>
      </w:r>
      <w:r w:rsidR="006A22D3" w:rsidRPr="006A22D3">
        <w:rPr>
          <w:noProof/>
        </w:rPr>
        <w:t xml:space="preserve"> i pań</w:t>
      </w:r>
      <w:r w:rsidRPr="006A22D3">
        <w:rPr>
          <w:noProof/>
        </w:rPr>
        <w:t>stwa członkowskie zobowiązano do zwiększenia ich zaangażowania na rzecz aktywnego wspierania wdrażania norm międzynarodowych dotyczących odpowiedzialnego prowadzenia działalności gospodarczej takich jak Wytyczne ONZ dotyczące biznesu</w:t>
      </w:r>
      <w:r w:rsidR="006A22D3" w:rsidRPr="006A22D3">
        <w:rPr>
          <w:noProof/>
        </w:rPr>
        <w:t xml:space="preserve"> i pra</w:t>
      </w:r>
      <w:r w:rsidRPr="006A22D3">
        <w:rPr>
          <w:noProof/>
        </w:rPr>
        <w:t xml:space="preserve">w człowieka, Wytyczne OECD dla przedsiębiorstw wielonarodowych oraz Wytyczne OECD dotyczące należytej staranności. Jest ona również spójna ze </w:t>
      </w:r>
      <w:hyperlink r:id="rId33" w:history="1">
        <w:r w:rsidRPr="006A22D3">
          <w:rPr>
            <w:rStyle w:val="Hyperlink"/>
            <w:noProof/>
          </w:rPr>
          <w:t>strategią UE na rzecz praw dziecka</w:t>
        </w:r>
      </w:hyperlink>
      <w:r w:rsidR="00FB5F1A" w:rsidRPr="006A22D3">
        <w:rPr>
          <w:rStyle w:val="FootnoteReference"/>
          <w:rFonts w:eastAsia="Calibri"/>
          <w:noProof/>
        </w:rPr>
        <w:footnoteReference w:id="38"/>
      </w:r>
      <w:r w:rsidRPr="006A22D3">
        <w:rPr>
          <w:noProof/>
        </w:rPr>
        <w:t>,</w:t>
      </w:r>
      <w:r w:rsidR="006A22D3" w:rsidRPr="006A22D3">
        <w:rPr>
          <w:noProof/>
        </w:rPr>
        <w:t xml:space="preserve"> w któ</w:t>
      </w:r>
      <w:r w:rsidRPr="006A22D3">
        <w:rPr>
          <w:noProof/>
        </w:rPr>
        <w:t>rej Unia zobowiązała się do wdrażania podejścia bazującego na zerowej tolerancji wobec pracy dzieci,</w:t>
      </w:r>
      <w:r w:rsidR="006A22D3" w:rsidRPr="006A22D3">
        <w:rPr>
          <w:noProof/>
        </w:rPr>
        <w:t xml:space="preserve"> a tak</w:t>
      </w:r>
      <w:r w:rsidRPr="006A22D3">
        <w:rPr>
          <w:noProof/>
        </w:rPr>
        <w:t xml:space="preserve">że do zagwarantowania, aby łańcuchy dostaw przedsiębiorstw unijnych były wolne od pracy dzieci. W </w:t>
      </w:r>
      <w:hyperlink r:id="rId34" w:history="1">
        <w:r w:rsidRPr="006A22D3">
          <w:rPr>
            <w:rStyle w:val="Hyperlink"/>
            <w:noProof/>
          </w:rPr>
          <w:t>strategii UE</w:t>
        </w:r>
        <w:r w:rsidR="006A22D3" w:rsidRPr="006A22D3">
          <w:rPr>
            <w:rStyle w:val="Hyperlink"/>
            <w:noProof/>
          </w:rPr>
          <w:t xml:space="preserve"> w zak</w:t>
        </w:r>
        <w:r w:rsidRPr="006A22D3">
          <w:rPr>
            <w:rStyle w:val="Hyperlink"/>
            <w:noProof/>
          </w:rPr>
          <w:t>resie zwalczania handlu ludźmi na lata 2021–2025</w:t>
        </w:r>
      </w:hyperlink>
      <w:r w:rsidR="00DE36B0" w:rsidRPr="006A22D3">
        <w:rPr>
          <w:rStyle w:val="FootnoteReference"/>
          <w:noProof/>
        </w:rPr>
        <w:footnoteReference w:id="39"/>
      </w:r>
      <w:r w:rsidRPr="006A22D3">
        <w:rPr>
          <w:noProof/>
        </w:rPr>
        <w:t xml:space="preserve"> Komisja zobowiązała się przedstawić wniosek ustawodawczy dotyczący zrównoważonego ładu korporacyjnego</w:t>
      </w:r>
      <w:r w:rsidR="006A22D3" w:rsidRPr="006A22D3">
        <w:rPr>
          <w:noProof/>
        </w:rPr>
        <w:t xml:space="preserve"> w cel</w:t>
      </w:r>
      <w:r w:rsidRPr="006A22D3">
        <w:rPr>
          <w:noProof/>
        </w:rPr>
        <w:t>u wspierania zrównoważonej</w:t>
      </w:r>
      <w:r w:rsidR="006A22D3" w:rsidRPr="006A22D3">
        <w:rPr>
          <w:noProof/>
        </w:rPr>
        <w:t xml:space="preserve"> i odp</w:t>
      </w:r>
      <w:r w:rsidRPr="006A22D3">
        <w:rPr>
          <w:noProof/>
        </w:rPr>
        <w:t>owiedzialnej filozofii zarządzania przedsiębiorstwem</w:t>
      </w:r>
      <w:r w:rsidR="006A22D3" w:rsidRPr="006A22D3">
        <w:rPr>
          <w:noProof/>
        </w:rPr>
        <w:t xml:space="preserve"> w per</w:t>
      </w:r>
      <w:r w:rsidRPr="006A22D3">
        <w:rPr>
          <w:noProof/>
        </w:rPr>
        <w:t>spektywie długoterminowej. Przedmiotowa inicjatywa wnosi również wkład</w:t>
      </w:r>
      <w:r w:rsidR="006A22D3" w:rsidRPr="006A22D3">
        <w:rPr>
          <w:noProof/>
        </w:rPr>
        <w:t xml:space="preserve"> w rea</w:t>
      </w:r>
      <w:r w:rsidRPr="006A22D3">
        <w:rPr>
          <w:noProof/>
        </w:rPr>
        <w:t>lizację celów wyznaczonych</w:t>
      </w:r>
      <w:r w:rsidR="006A22D3" w:rsidRPr="006A22D3">
        <w:rPr>
          <w:noProof/>
        </w:rPr>
        <w:t xml:space="preserve"> w kom</w:t>
      </w:r>
      <w:r w:rsidRPr="006A22D3">
        <w:rPr>
          <w:noProof/>
        </w:rPr>
        <w:t>unikacie Komisji</w:t>
      </w:r>
      <w:r w:rsidR="006A22D3" w:rsidRPr="006A22D3">
        <w:rPr>
          <w:noProof/>
        </w:rPr>
        <w:t xml:space="preserve"> w spr</w:t>
      </w:r>
      <w:r w:rsidRPr="006A22D3">
        <w:rPr>
          <w:noProof/>
        </w:rPr>
        <w:t>awie godnej pracy na całym świecie</w:t>
      </w:r>
      <w:r w:rsidR="00030FCA" w:rsidRPr="006A22D3">
        <w:rPr>
          <w:rStyle w:val="FootnoteReference"/>
          <w:noProof/>
        </w:rPr>
        <w:footnoteReference w:id="40"/>
      </w:r>
      <w:r w:rsidRPr="006A22D3">
        <w:rPr>
          <w:noProof/>
        </w:rPr>
        <w:t>, który ma zostać przyjęty razem</w:t>
      </w:r>
      <w:r w:rsidR="006A22D3" w:rsidRPr="006A22D3">
        <w:rPr>
          <w:noProof/>
        </w:rPr>
        <w:t xml:space="preserve"> z nin</w:t>
      </w:r>
      <w:r w:rsidRPr="006A22D3">
        <w:rPr>
          <w:noProof/>
        </w:rPr>
        <w:t>iejszym wnioskiem.</w:t>
      </w:r>
    </w:p>
    <w:p w:rsidR="00111230" w:rsidRPr="006A22D3" w:rsidRDefault="00111230" w:rsidP="001C43C7">
      <w:pPr>
        <w:rPr>
          <w:rFonts w:eastAsia="Times New Roman"/>
          <w:noProof/>
        </w:rPr>
      </w:pPr>
      <w:r w:rsidRPr="006A22D3">
        <w:rPr>
          <w:noProof/>
        </w:rPr>
        <w:t>Niniejsza dyrektywa wniesie wkład we wdrażanie Europejskiego filaru praw socjalnych, ponieważ obydwa te instrumenty wspierają działania służące zapewnieniu poszanowania praw takich jak prawo do uczciwych warunków pracy</w:t>
      </w:r>
      <w:r w:rsidRPr="006A22D3">
        <w:rPr>
          <w:rStyle w:val="FootnoteReference"/>
          <w:noProof/>
        </w:rPr>
        <w:footnoteReference w:id="41"/>
      </w:r>
      <w:r w:rsidRPr="006A22D3">
        <w:rPr>
          <w:noProof/>
        </w:rPr>
        <w:t>. Będzie ona – niezależnie od jej wymiaru zewnętrznego – odnosiła się do naruszeń międzynarodowych norm pracy, do których doszło na terytorium Unii (np. przypadki pracy przymusowej</w:t>
      </w:r>
      <w:r w:rsidR="006A22D3" w:rsidRPr="006A22D3">
        <w:rPr>
          <w:noProof/>
        </w:rPr>
        <w:t xml:space="preserve"> w rol</w:t>
      </w:r>
      <w:r w:rsidRPr="006A22D3">
        <w:rPr>
          <w:noProof/>
        </w:rPr>
        <w:t>nictwie)</w:t>
      </w:r>
      <w:r w:rsidR="006A22D3" w:rsidRPr="006A22D3">
        <w:rPr>
          <w:noProof/>
        </w:rPr>
        <w:t>. W zwi</w:t>
      </w:r>
      <w:r w:rsidRPr="006A22D3">
        <w:rPr>
          <w:noProof/>
        </w:rPr>
        <w:t>ązku</w:t>
      </w:r>
      <w:r w:rsidR="006A22D3" w:rsidRPr="006A22D3">
        <w:rPr>
          <w:noProof/>
        </w:rPr>
        <w:t xml:space="preserve"> z pow</w:t>
      </w:r>
      <w:r w:rsidRPr="006A22D3">
        <w:rPr>
          <w:noProof/>
        </w:rPr>
        <w:t>yższym</w:t>
      </w:r>
      <w:r w:rsidR="006A22D3" w:rsidRPr="006A22D3">
        <w:rPr>
          <w:noProof/>
        </w:rPr>
        <w:t xml:space="preserve"> w kon</w:t>
      </w:r>
      <w:r w:rsidRPr="006A22D3">
        <w:rPr>
          <w:noProof/>
        </w:rPr>
        <w:t>tekście wewnętrznym dyrektywa przyczyniłaby się również do wzmocnienia ochrony pracowników</w:t>
      </w:r>
      <w:r w:rsidR="006A22D3" w:rsidRPr="006A22D3">
        <w:rPr>
          <w:noProof/>
        </w:rPr>
        <w:t xml:space="preserve"> w Uni</w:t>
      </w:r>
      <w:r w:rsidRPr="006A22D3">
        <w:rPr>
          <w:noProof/>
        </w:rPr>
        <w:t>i, wspierając istniejący dorobek prawny UE</w:t>
      </w:r>
      <w:r w:rsidR="006A22D3" w:rsidRPr="006A22D3">
        <w:rPr>
          <w:noProof/>
        </w:rPr>
        <w:t xml:space="preserve"> w obs</w:t>
      </w:r>
      <w:r w:rsidRPr="006A22D3">
        <w:rPr>
          <w:noProof/>
        </w:rPr>
        <w:t>zarze socjalnym, oraz</w:t>
      </w:r>
      <w:r w:rsidRPr="006A22D3">
        <w:rPr>
          <w:i/>
          <w:noProof/>
        </w:rPr>
        <w:t xml:space="preserve"> </w:t>
      </w:r>
      <w:r w:rsidRPr="006A22D3">
        <w:rPr>
          <w:noProof/>
        </w:rPr>
        <w:t>wniosłaby wkład</w:t>
      </w:r>
      <w:r w:rsidR="006A22D3" w:rsidRPr="006A22D3">
        <w:rPr>
          <w:noProof/>
        </w:rPr>
        <w:t xml:space="preserve"> w dzi</w:t>
      </w:r>
      <w:r w:rsidRPr="006A22D3">
        <w:rPr>
          <w:noProof/>
        </w:rPr>
        <w:t>ałania służące przeciwdziałaniu</w:t>
      </w:r>
      <w:r w:rsidR="006A22D3" w:rsidRPr="006A22D3">
        <w:rPr>
          <w:noProof/>
        </w:rPr>
        <w:t xml:space="preserve"> i eli</w:t>
      </w:r>
      <w:r w:rsidRPr="006A22D3">
        <w:rPr>
          <w:noProof/>
        </w:rPr>
        <w:t>minowaniu nadużyć, do jakich dochodzi</w:t>
      </w:r>
      <w:r w:rsidR="006A22D3" w:rsidRPr="006A22D3">
        <w:rPr>
          <w:noProof/>
        </w:rPr>
        <w:t xml:space="preserve"> w pań</w:t>
      </w:r>
      <w:r w:rsidRPr="006A22D3">
        <w:rPr>
          <w:noProof/>
        </w:rPr>
        <w:t>stwach członkowskich</w:t>
      </w:r>
      <w:r w:rsidR="006A22D3" w:rsidRPr="006A22D3">
        <w:rPr>
          <w:noProof/>
        </w:rPr>
        <w:t xml:space="preserve"> i mię</w:t>
      </w:r>
      <w:r w:rsidRPr="006A22D3">
        <w:rPr>
          <w:noProof/>
        </w:rPr>
        <w:t>dzy państwami członkowskimi.</w:t>
      </w:r>
    </w:p>
    <w:p w:rsidR="00F3479D" w:rsidRPr="006A22D3" w:rsidRDefault="00F3479D" w:rsidP="005B7CEF">
      <w:pPr>
        <w:rPr>
          <w:noProof/>
        </w:rPr>
      </w:pPr>
      <w:r w:rsidRPr="006A22D3">
        <w:rPr>
          <w:noProof/>
        </w:rPr>
        <w:t>Tym samym niniejsza dyrektywa będzie uzupełniała otoczenie regulacyjne UE, które aktualnie nie obejmuje ogólnounijnych, przejrzystych</w:t>
      </w:r>
      <w:r w:rsidR="006A22D3" w:rsidRPr="006A22D3">
        <w:rPr>
          <w:noProof/>
        </w:rPr>
        <w:t xml:space="preserve"> i prz</w:t>
      </w:r>
      <w:r w:rsidRPr="006A22D3">
        <w:rPr>
          <w:noProof/>
        </w:rPr>
        <w:t>ewidywalnych ram ułatwiających przedsiębiorstwom unijnym we wszystkich sektorach gospodarki ocenianie ryzyka</w:t>
      </w:r>
      <w:r w:rsidR="006A22D3" w:rsidRPr="006A22D3">
        <w:rPr>
          <w:noProof/>
        </w:rPr>
        <w:t xml:space="preserve"> i sku</w:t>
      </w:r>
      <w:r w:rsidRPr="006A22D3">
        <w:rPr>
          <w:noProof/>
        </w:rPr>
        <w:t>tków dla zrównoważonego rozwoju</w:t>
      </w:r>
      <w:r w:rsidR="006A22D3" w:rsidRPr="006A22D3">
        <w:rPr>
          <w:noProof/>
        </w:rPr>
        <w:t xml:space="preserve"> i zar</w:t>
      </w:r>
      <w:r w:rsidRPr="006A22D3">
        <w:rPr>
          <w:noProof/>
        </w:rPr>
        <w:t>ządzanie takim ryzykiem</w:t>
      </w:r>
      <w:r w:rsidR="006A22D3" w:rsidRPr="006A22D3">
        <w:rPr>
          <w:noProof/>
        </w:rPr>
        <w:t xml:space="preserve"> i tak</w:t>
      </w:r>
      <w:r w:rsidRPr="006A22D3">
        <w:rPr>
          <w:noProof/>
        </w:rPr>
        <w:t>imi skutkami</w:t>
      </w:r>
      <w:r w:rsidR="006A22D3" w:rsidRPr="006A22D3">
        <w:rPr>
          <w:noProof/>
        </w:rPr>
        <w:t xml:space="preserve"> w odn</w:t>
      </w:r>
      <w:r w:rsidRPr="006A22D3">
        <w:rPr>
          <w:noProof/>
        </w:rPr>
        <w:t>iesieniu do kwestii związanych</w:t>
      </w:r>
      <w:r w:rsidR="006A22D3" w:rsidRPr="006A22D3">
        <w:rPr>
          <w:noProof/>
        </w:rPr>
        <w:t xml:space="preserve"> z pos</w:t>
      </w:r>
      <w:r w:rsidRPr="006A22D3">
        <w:rPr>
          <w:noProof/>
        </w:rPr>
        <w:t>zanowaniem podstawowych praw człowieka</w:t>
      </w:r>
      <w:r w:rsidR="006A22D3" w:rsidRPr="006A22D3">
        <w:rPr>
          <w:noProof/>
        </w:rPr>
        <w:t xml:space="preserve"> i w odn</w:t>
      </w:r>
      <w:r w:rsidRPr="006A22D3">
        <w:rPr>
          <w:noProof/>
        </w:rPr>
        <w:t>iesieniu do zagrożeń środowiskowych,</w:t>
      </w:r>
      <w:r w:rsidR="006A22D3" w:rsidRPr="006A22D3">
        <w:rPr>
          <w:noProof/>
        </w:rPr>
        <w:t xml:space="preserve"> w tym</w:t>
      </w:r>
      <w:r w:rsidRPr="006A22D3">
        <w:rPr>
          <w:noProof/>
        </w:rPr>
        <w:t xml:space="preserve"> również</w:t>
      </w:r>
      <w:r w:rsidR="006A22D3" w:rsidRPr="006A22D3">
        <w:rPr>
          <w:noProof/>
        </w:rPr>
        <w:t xml:space="preserve"> w ram</w:t>
      </w:r>
      <w:r w:rsidRPr="006A22D3">
        <w:rPr>
          <w:noProof/>
        </w:rPr>
        <w:t xml:space="preserve">ach ich łańcuchów wartości. </w:t>
      </w:r>
    </w:p>
    <w:p w:rsidR="001859C1" w:rsidRPr="006A22D3" w:rsidRDefault="001859C1">
      <w:pPr>
        <w:pStyle w:val="ManualHeading1"/>
        <w:rPr>
          <w:noProof/>
        </w:rPr>
      </w:pPr>
      <w:r w:rsidRPr="006A22D3">
        <w:rPr>
          <w:noProof/>
        </w:rPr>
        <w:t>2.</w:t>
      </w:r>
      <w:r w:rsidRPr="006A22D3">
        <w:rPr>
          <w:noProof/>
        </w:rPr>
        <w:tab/>
        <w:t>PODSTAWA PRAWNA, POMOCNICZOŚĆ I PROPORCJONALNOŚĆ</w:t>
      </w:r>
    </w:p>
    <w:p w:rsidR="001859C1" w:rsidRPr="006A22D3" w:rsidRDefault="001859C1" w:rsidP="000B2095">
      <w:pPr>
        <w:pStyle w:val="ManualHeading2"/>
        <w:rPr>
          <w:noProof/>
        </w:rPr>
      </w:pPr>
      <w:r w:rsidRPr="006A22D3">
        <w:rPr>
          <w:noProof/>
        </w:rPr>
        <w:t>Podstawa prawna</w:t>
      </w:r>
    </w:p>
    <w:p w:rsidR="001859C1" w:rsidRPr="006A22D3" w:rsidRDefault="001859C1" w:rsidP="00CB3D33">
      <w:pPr>
        <w:rPr>
          <w:noProof/>
        </w:rPr>
      </w:pPr>
      <w:r w:rsidRPr="006A22D3">
        <w:rPr>
          <w:noProof/>
        </w:rPr>
        <w:t>Podstawą wniosku jest art.</w:t>
      </w:r>
      <w:r w:rsidR="00192E90" w:rsidRPr="006A22D3">
        <w:rPr>
          <w:noProof/>
        </w:rPr>
        <w:t> </w:t>
      </w:r>
      <w:r w:rsidRPr="006A22D3">
        <w:rPr>
          <w:noProof/>
        </w:rPr>
        <w:t>50</w:t>
      </w:r>
      <w:r w:rsidR="006A22D3" w:rsidRPr="006A22D3">
        <w:rPr>
          <w:noProof/>
        </w:rPr>
        <w:t xml:space="preserve"> i art</w:t>
      </w:r>
      <w:r w:rsidRPr="006A22D3">
        <w:rPr>
          <w:noProof/>
        </w:rPr>
        <w:t>.</w:t>
      </w:r>
      <w:r w:rsidR="00192E90" w:rsidRPr="006A22D3">
        <w:rPr>
          <w:noProof/>
        </w:rPr>
        <w:t> </w:t>
      </w:r>
      <w:r w:rsidRPr="006A22D3">
        <w:rPr>
          <w:noProof/>
        </w:rPr>
        <w:t>114 Traktatu</w:t>
      </w:r>
      <w:r w:rsidR="006A22D3" w:rsidRPr="006A22D3">
        <w:rPr>
          <w:noProof/>
        </w:rPr>
        <w:t xml:space="preserve"> o fun</w:t>
      </w:r>
      <w:r w:rsidRPr="006A22D3">
        <w:rPr>
          <w:noProof/>
        </w:rPr>
        <w:t>kcjonowaniu Unii Europejskiej (TFUE).</w:t>
      </w:r>
    </w:p>
    <w:p w:rsidR="00A72440" w:rsidRPr="006A22D3" w:rsidRDefault="00D013CA" w:rsidP="00CB3D33">
      <w:pPr>
        <w:rPr>
          <w:noProof/>
        </w:rPr>
      </w:pPr>
      <w:r w:rsidRPr="006A22D3">
        <w:rPr>
          <w:noProof/>
        </w:rPr>
        <w:t>W art.</w:t>
      </w:r>
      <w:r w:rsidR="00192E90" w:rsidRPr="006A22D3">
        <w:rPr>
          <w:noProof/>
        </w:rPr>
        <w:t> </w:t>
      </w:r>
      <w:r w:rsidRPr="006A22D3">
        <w:rPr>
          <w:noProof/>
        </w:rPr>
        <w:t>50 ust.</w:t>
      </w:r>
      <w:r w:rsidR="00192E90" w:rsidRPr="006A22D3">
        <w:rPr>
          <w:noProof/>
        </w:rPr>
        <w:t> </w:t>
      </w:r>
      <w:r w:rsidRPr="006A22D3">
        <w:rPr>
          <w:noProof/>
        </w:rPr>
        <w:t>1 TFUE,</w:t>
      </w:r>
      <w:r w:rsidR="006A22D3" w:rsidRPr="006A22D3">
        <w:rPr>
          <w:noProof/>
        </w:rPr>
        <w:t xml:space="preserve"> a zwł</w:t>
      </w:r>
      <w:r w:rsidRPr="006A22D3">
        <w:rPr>
          <w:noProof/>
        </w:rPr>
        <w:t>aszcza</w:t>
      </w:r>
      <w:r w:rsidR="006A22D3" w:rsidRPr="006A22D3">
        <w:rPr>
          <w:noProof/>
        </w:rPr>
        <w:t xml:space="preserve"> w art</w:t>
      </w:r>
      <w:r w:rsidRPr="006A22D3">
        <w:rPr>
          <w:noProof/>
        </w:rPr>
        <w:t>.</w:t>
      </w:r>
      <w:r w:rsidR="00192E90" w:rsidRPr="006A22D3">
        <w:rPr>
          <w:noProof/>
        </w:rPr>
        <w:t> </w:t>
      </w:r>
      <w:r w:rsidRPr="006A22D3">
        <w:rPr>
          <w:noProof/>
        </w:rPr>
        <w:t>50 ust.</w:t>
      </w:r>
      <w:r w:rsidR="00192E90" w:rsidRPr="006A22D3">
        <w:rPr>
          <w:noProof/>
        </w:rPr>
        <w:t> </w:t>
      </w:r>
      <w:r w:rsidRPr="006A22D3">
        <w:rPr>
          <w:noProof/>
        </w:rPr>
        <w:t>2 lit.</w:t>
      </w:r>
      <w:r w:rsidR="00192E90" w:rsidRPr="006A22D3">
        <w:rPr>
          <w:noProof/>
        </w:rPr>
        <w:t> </w:t>
      </w:r>
      <w:r w:rsidRPr="006A22D3">
        <w:rPr>
          <w:noProof/>
        </w:rPr>
        <w:t>g) TFUE, UE przyznano uprawnienie do podejmowania działań mających na celu urzeczywistnienie swobody przedsiębiorczości</w:t>
      </w:r>
      <w:r w:rsidR="006A22D3" w:rsidRPr="006A22D3">
        <w:rPr>
          <w:noProof/>
        </w:rPr>
        <w:t xml:space="preserve"> w odn</w:t>
      </w:r>
      <w:r w:rsidRPr="006A22D3">
        <w:rPr>
          <w:noProof/>
        </w:rPr>
        <w:t>iesieniu do określonego rodzaju działalności,</w:t>
      </w:r>
      <w:r w:rsidR="006A22D3" w:rsidRPr="006A22D3">
        <w:rPr>
          <w:noProof/>
        </w:rPr>
        <w:t xml:space="preserve"> w szc</w:t>
      </w:r>
      <w:r w:rsidRPr="006A22D3">
        <w:rPr>
          <w:noProof/>
        </w:rPr>
        <w:t>zególności „koordynując</w:t>
      </w:r>
      <w:r w:rsidR="006A22D3" w:rsidRPr="006A22D3">
        <w:rPr>
          <w:noProof/>
        </w:rPr>
        <w:t xml:space="preserve"> w nie</w:t>
      </w:r>
      <w:r w:rsidRPr="006A22D3">
        <w:rPr>
          <w:noProof/>
        </w:rPr>
        <w:t>zbędnym zakresie,</w:t>
      </w:r>
      <w:r w:rsidR="006A22D3" w:rsidRPr="006A22D3">
        <w:rPr>
          <w:noProof/>
        </w:rPr>
        <w:t xml:space="preserve"> w cel</w:t>
      </w:r>
      <w:r w:rsidRPr="006A22D3">
        <w:rPr>
          <w:noProof/>
        </w:rPr>
        <w:t>u zapewnienia ich równoważności, zabezpieczenia wymagane</w:t>
      </w:r>
      <w:r w:rsidR="006A22D3" w:rsidRPr="006A22D3">
        <w:rPr>
          <w:noProof/>
        </w:rPr>
        <w:t xml:space="preserve"> w Pań</w:t>
      </w:r>
      <w:r w:rsidRPr="006A22D3">
        <w:rPr>
          <w:noProof/>
        </w:rPr>
        <w:t>stwach Członkowskich od spółek</w:t>
      </w:r>
      <w:r w:rsidR="006A22D3" w:rsidRPr="006A22D3">
        <w:rPr>
          <w:noProof/>
        </w:rPr>
        <w:t xml:space="preserve"> w roz</w:t>
      </w:r>
      <w:r w:rsidRPr="006A22D3">
        <w:rPr>
          <w:noProof/>
        </w:rPr>
        <w:t>umieniu art.</w:t>
      </w:r>
      <w:r w:rsidR="00192E90" w:rsidRPr="006A22D3">
        <w:rPr>
          <w:noProof/>
        </w:rPr>
        <w:t> </w:t>
      </w:r>
      <w:r w:rsidRPr="006A22D3">
        <w:rPr>
          <w:noProof/>
        </w:rPr>
        <w:t>54 akapit drugi TFUE dla ochrony interesów wspólników</w:t>
      </w:r>
      <w:r w:rsidR="006A22D3" w:rsidRPr="006A22D3">
        <w:rPr>
          <w:noProof/>
        </w:rPr>
        <w:t xml:space="preserve"> i osó</w:t>
      </w:r>
      <w:r w:rsidRPr="006A22D3">
        <w:rPr>
          <w:noProof/>
        </w:rPr>
        <w:t>b trzecich”. Przykładem tego rodzaju działań mogą być środki koordynacyjne dotyczące ochrony interesów udziałowców/akcjonariuszy przedsiębiorstw</w:t>
      </w:r>
      <w:r w:rsidR="006A22D3" w:rsidRPr="006A22D3">
        <w:rPr>
          <w:noProof/>
        </w:rPr>
        <w:t xml:space="preserve"> i inn</w:t>
      </w:r>
      <w:r w:rsidRPr="006A22D3">
        <w:rPr>
          <w:noProof/>
        </w:rPr>
        <w:t>ych zainteresowanych stron związanych</w:t>
      </w:r>
      <w:r w:rsidR="006A22D3" w:rsidRPr="006A22D3">
        <w:rPr>
          <w:noProof/>
        </w:rPr>
        <w:t xml:space="preserve"> z prz</w:t>
      </w:r>
      <w:r w:rsidRPr="006A22D3">
        <w:rPr>
          <w:noProof/>
        </w:rPr>
        <w:t>edsiębiorstwami służące zapewnieniu równoważności tego rodzaju ochrony</w:t>
      </w:r>
      <w:r w:rsidR="006A22D3" w:rsidRPr="006A22D3">
        <w:rPr>
          <w:noProof/>
        </w:rPr>
        <w:t xml:space="preserve"> w cał</w:t>
      </w:r>
      <w:r w:rsidRPr="006A22D3">
        <w:rPr>
          <w:noProof/>
        </w:rPr>
        <w:t>ej Unii</w:t>
      </w:r>
      <w:r w:rsidR="006A22D3" w:rsidRPr="006A22D3">
        <w:rPr>
          <w:noProof/>
        </w:rPr>
        <w:t xml:space="preserve"> w syt</w:t>
      </w:r>
      <w:r w:rsidRPr="006A22D3">
        <w:rPr>
          <w:noProof/>
        </w:rPr>
        <w:t>uacji,</w:t>
      </w:r>
      <w:r w:rsidR="006A22D3" w:rsidRPr="006A22D3">
        <w:rPr>
          <w:noProof/>
        </w:rPr>
        <w:t xml:space="preserve"> w któ</w:t>
      </w:r>
      <w:r w:rsidRPr="006A22D3">
        <w:rPr>
          <w:noProof/>
        </w:rPr>
        <w:t>rej rozbieżności między przepisami krajowymi są na tyle duże, że prowadzą do ograniczenia swobody przedsiębiorczości</w:t>
      </w:r>
      <w:r w:rsidR="00A72440" w:rsidRPr="006A22D3">
        <w:rPr>
          <w:rStyle w:val="FootnoteReference"/>
          <w:noProof/>
        </w:rPr>
        <w:footnoteReference w:id="42"/>
      </w:r>
      <w:r w:rsidRPr="006A22D3">
        <w:rPr>
          <w:noProof/>
        </w:rPr>
        <w:t>. Powołanie się na ten przepis jest możliwe, jeżeli podejmowane działania mają na celu zapobieżenie pojawieniu się – obecnie lub</w:t>
      </w:r>
      <w:r w:rsidR="006A22D3" w:rsidRPr="006A22D3">
        <w:rPr>
          <w:noProof/>
        </w:rPr>
        <w:t xml:space="preserve"> w prz</w:t>
      </w:r>
      <w:r w:rsidRPr="006A22D3">
        <w:rPr>
          <w:noProof/>
        </w:rPr>
        <w:t>yszłości – przeszkód dla swobody przedsiębiorczości wynikających</w:t>
      </w:r>
      <w:r w:rsidR="006A22D3" w:rsidRPr="006A22D3">
        <w:rPr>
          <w:noProof/>
        </w:rPr>
        <w:t xml:space="preserve"> z roz</w:t>
      </w:r>
      <w:r w:rsidRPr="006A22D3">
        <w:rPr>
          <w:noProof/>
        </w:rPr>
        <w:t>bieżności między przepisami prawa krajowego różnych państw. Pojawienie się tego rodzaju przeszkód musi być prawdopodobne,</w:t>
      </w:r>
      <w:r w:rsidR="006A22D3" w:rsidRPr="006A22D3">
        <w:rPr>
          <w:noProof/>
        </w:rPr>
        <w:t xml:space="preserve"> a dan</w:t>
      </w:r>
      <w:r w:rsidRPr="006A22D3">
        <w:rPr>
          <w:noProof/>
        </w:rPr>
        <w:t>y środek musi zostać opracowany</w:t>
      </w:r>
      <w:r w:rsidR="006A22D3" w:rsidRPr="006A22D3">
        <w:rPr>
          <w:noProof/>
        </w:rPr>
        <w:t xml:space="preserve"> z myś</w:t>
      </w:r>
      <w:r w:rsidRPr="006A22D3">
        <w:rPr>
          <w:noProof/>
        </w:rPr>
        <w:t>lą</w:t>
      </w:r>
      <w:r w:rsidR="006A22D3" w:rsidRPr="006A22D3">
        <w:rPr>
          <w:noProof/>
        </w:rPr>
        <w:t xml:space="preserve"> o zap</w:t>
      </w:r>
      <w:r w:rsidRPr="006A22D3">
        <w:rPr>
          <w:noProof/>
        </w:rPr>
        <w:t>obieżeniu ich wystąpieniu</w:t>
      </w:r>
      <w:r w:rsidR="00A72440" w:rsidRPr="006A22D3">
        <w:rPr>
          <w:rStyle w:val="FootnoteReference"/>
          <w:noProof/>
        </w:rPr>
        <w:footnoteReference w:id="43"/>
      </w:r>
      <w:r w:rsidRPr="006A22D3">
        <w:rPr>
          <w:noProof/>
        </w:rPr>
        <w:t>.</w:t>
      </w:r>
    </w:p>
    <w:p w:rsidR="00A72440" w:rsidRPr="006A22D3" w:rsidRDefault="00A72440" w:rsidP="001C43C7">
      <w:pPr>
        <w:rPr>
          <w:noProof/>
        </w:rPr>
      </w:pPr>
      <w:r w:rsidRPr="006A22D3">
        <w:rPr>
          <w:noProof/>
        </w:rPr>
        <w:t>W niniejszym wniosku uregulowano kwestie związane</w:t>
      </w:r>
      <w:r w:rsidR="006A22D3" w:rsidRPr="006A22D3">
        <w:rPr>
          <w:noProof/>
        </w:rPr>
        <w:t xml:space="preserve"> z obo</w:t>
      </w:r>
      <w:r w:rsidRPr="006A22D3">
        <w:rPr>
          <w:noProof/>
        </w:rPr>
        <w:t>wiązkami dotyczącymi należytej staranności przedsiębiorstw</w:t>
      </w:r>
      <w:r w:rsidR="006A22D3" w:rsidRPr="006A22D3">
        <w:rPr>
          <w:noProof/>
        </w:rPr>
        <w:t xml:space="preserve"> w zak</w:t>
      </w:r>
      <w:r w:rsidRPr="006A22D3">
        <w:rPr>
          <w:noProof/>
        </w:rPr>
        <w:t>resie zrównoważonego rozwoju; wniosek ten odnosi się również do obowiązków dyrektorów przedsiębiorstw –</w:t>
      </w:r>
      <w:r w:rsidR="006A22D3" w:rsidRPr="006A22D3">
        <w:rPr>
          <w:noProof/>
        </w:rPr>
        <w:t xml:space="preserve"> w zak</w:t>
      </w:r>
      <w:r w:rsidRPr="006A22D3">
        <w:rPr>
          <w:noProof/>
        </w:rPr>
        <w:t>resie,</w:t>
      </w:r>
      <w:r w:rsidR="006A22D3" w:rsidRPr="006A22D3">
        <w:rPr>
          <w:noProof/>
        </w:rPr>
        <w:t xml:space="preserve"> w jak</w:t>
      </w:r>
      <w:r w:rsidRPr="006A22D3">
        <w:rPr>
          <w:noProof/>
        </w:rPr>
        <w:t>im są one powiązane</w:t>
      </w:r>
      <w:r w:rsidR="006A22D3" w:rsidRPr="006A22D3">
        <w:rPr>
          <w:noProof/>
        </w:rPr>
        <w:t xml:space="preserve"> z nal</w:t>
      </w:r>
      <w:r w:rsidRPr="006A22D3">
        <w:rPr>
          <w:noProof/>
        </w:rPr>
        <w:t>eżytą starannością – oraz do systemów zarządzania przedsiębiorstwem stosowanych</w:t>
      </w:r>
      <w:r w:rsidR="006A22D3" w:rsidRPr="006A22D3">
        <w:rPr>
          <w:noProof/>
        </w:rPr>
        <w:t xml:space="preserve"> w cel</w:t>
      </w:r>
      <w:r w:rsidRPr="006A22D3">
        <w:rPr>
          <w:noProof/>
        </w:rPr>
        <w:t>u wdrożenia mechanizmów należytej staranności. Wniosek dotyczy zatem procesów</w:t>
      </w:r>
      <w:r w:rsidR="006A22D3" w:rsidRPr="006A22D3">
        <w:rPr>
          <w:noProof/>
        </w:rPr>
        <w:t xml:space="preserve"> i dzi</w:t>
      </w:r>
      <w:r w:rsidRPr="006A22D3">
        <w:rPr>
          <w:noProof/>
        </w:rPr>
        <w:t>ałań</w:t>
      </w:r>
      <w:r w:rsidRPr="006A22D3">
        <w:rPr>
          <w:i/>
          <w:noProof/>
        </w:rPr>
        <w:t xml:space="preserve"> </w:t>
      </w:r>
      <w:r w:rsidRPr="006A22D3">
        <w:rPr>
          <w:noProof/>
        </w:rPr>
        <w:t>służących ochronie interesów wspólników przedsiębiorstw</w:t>
      </w:r>
      <w:r w:rsidR="006A22D3" w:rsidRPr="006A22D3">
        <w:rPr>
          <w:noProof/>
        </w:rPr>
        <w:t xml:space="preserve"> i zai</w:t>
      </w:r>
      <w:r w:rsidRPr="006A22D3">
        <w:rPr>
          <w:noProof/>
        </w:rPr>
        <w:t>nteresowanych stron związanych</w:t>
      </w:r>
      <w:r w:rsidR="006A22D3" w:rsidRPr="006A22D3">
        <w:rPr>
          <w:noProof/>
        </w:rPr>
        <w:t xml:space="preserve"> z prz</w:t>
      </w:r>
      <w:r w:rsidRPr="006A22D3">
        <w:rPr>
          <w:noProof/>
        </w:rPr>
        <w:t>edsiębiorstwami. Szereg państw członkowskich przyjęło niedawno przepisy dotyczące należytej staranności</w:t>
      </w:r>
      <w:r w:rsidR="006A22D3" w:rsidRPr="006A22D3">
        <w:rPr>
          <w:noProof/>
        </w:rPr>
        <w:t xml:space="preserve"> w zak</w:t>
      </w:r>
      <w:r w:rsidRPr="006A22D3">
        <w:rPr>
          <w:noProof/>
        </w:rPr>
        <w:t>resie zrównoważonego rozwoju</w:t>
      </w:r>
      <w:r w:rsidRPr="006A22D3">
        <w:rPr>
          <w:rStyle w:val="FootnoteReference"/>
          <w:noProof/>
        </w:rPr>
        <w:footnoteReference w:id="44"/>
      </w:r>
      <w:r w:rsidRPr="006A22D3">
        <w:rPr>
          <w:noProof/>
        </w:rPr>
        <w:t>, podczas gdy inne są</w:t>
      </w:r>
      <w:r w:rsidR="006A22D3" w:rsidRPr="006A22D3">
        <w:rPr>
          <w:noProof/>
        </w:rPr>
        <w:t xml:space="preserve"> w tra</w:t>
      </w:r>
      <w:r w:rsidRPr="006A22D3">
        <w:rPr>
          <w:noProof/>
        </w:rPr>
        <w:t>kcie procesu legislacyjnego lub rozważają podjęcie działań</w:t>
      </w:r>
      <w:r w:rsidR="006A22D3" w:rsidRPr="006A22D3">
        <w:rPr>
          <w:noProof/>
        </w:rPr>
        <w:t xml:space="preserve"> w tej</w:t>
      </w:r>
      <w:r w:rsidRPr="006A22D3">
        <w:rPr>
          <w:noProof/>
        </w:rPr>
        <w:t xml:space="preserve"> kwestii</w:t>
      </w:r>
      <w:bookmarkStart w:id="4" w:name="_Ref96009997"/>
      <w:r w:rsidRPr="006A22D3">
        <w:rPr>
          <w:rStyle w:val="FootnoteReference"/>
          <w:noProof/>
        </w:rPr>
        <w:footnoteReference w:id="45"/>
      </w:r>
      <w:bookmarkEnd w:id="4"/>
      <w:r w:rsidRPr="006A22D3">
        <w:rPr>
          <w:noProof/>
        </w:rPr>
        <w:t>. Ponadto coraz większa liczba państw członkowskich podejmuje</w:t>
      </w:r>
      <w:r w:rsidR="006A22D3" w:rsidRPr="006A22D3">
        <w:rPr>
          <w:noProof/>
        </w:rPr>
        <w:t xml:space="preserve"> w ost</w:t>
      </w:r>
      <w:r w:rsidRPr="006A22D3">
        <w:rPr>
          <w:noProof/>
        </w:rPr>
        <w:t>atnim czasie próby uregulowania tej kwestii poprzez nakładanie na dyrektorów obowiązku brania pod uwagę zewnętrznych skutków działalności przedsiębiorstwa</w:t>
      </w:r>
      <w:r w:rsidRPr="006A22D3">
        <w:rPr>
          <w:rStyle w:val="FootnoteReference"/>
          <w:noProof/>
        </w:rPr>
        <w:footnoteReference w:id="46"/>
      </w:r>
      <w:r w:rsidRPr="006A22D3">
        <w:rPr>
          <w:noProof/>
        </w:rPr>
        <w:t>, priorytetowego traktowania interesów zainteresowanych stron</w:t>
      </w:r>
      <w:r w:rsidR="006A22D3" w:rsidRPr="006A22D3">
        <w:rPr>
          <w:noProof/>
        </w:rPr>
        <w:t xml:space="preserve"> w pod</w:t>
      </w:r>
      <w:r w:rsidRPr="006A22D3">
        <w:rPr>
          <w:noProof/>
        </w:rPr>
        <w:t>ejmowanych przez nich decyzjach</w:t>
      </w:r>
      <w:r w:rsidRPr="006A22D3">
        <w:rPr>
          <w:rStyle w:val="FootnoteReference"/>
          <w:noProof/>
        </w:rPr>
        <w:footnoteReference w:id="47"/>
      </w:r>
      <w:r w:rsidRPr="006A22D3">
        <w:rPr>
          <w:noProof/>
        </w:rPr>
        <w:t xml:space="preserve"> lub wydania oświadczenia</w:t>
      </w:r>
      <w:r w:rsidR="006A22D3" w:rsidRPr="006A22D3">
        <w:rPr>
          <w:noProof/>
        </w:rPr>
        <w:t xml:space="preserve"> w prz</w:t>
      </w:r>
      <w:r w:rsidRPr="006A22D3">
        <w:rPr>
          <w:noProof/>
        </w:rPr>
        <w:t>edmiocie realizowanej przez przedsiębiorstwo strategii</w:t>
      </w:r>
      <w:r w:rsidR="006A22D3" w:rsidRPr="006A22D3">
        <w:rPr>
          <w:noProof/>
        </w:rPr>
        <w:t xml:space="preserve"> w zak</w:t>
      </w:r>
      <w:r w:rsidRPr="006A22D3">
        <w:rPr>
          <w:noProof/>
        </w:rPr>
        <w:t>resie praw człowieka</w:t>
      </w:r>
      <w:r w:rsidRPr="006A22D3">
        <w:rPr>
          <w:rStyle w:val="FootnoteReference"/>
          <w:noProof/>
        </w:rPr>
        <w:footnoteReference w:id="48"/>
      </w:r>
      <w:r w:rsidRPr="006A22D3">
        <w:rPr>
          <w:noProof/>
        </w:rPr>
        <w:t>. Nowe</w:t>
      </w:r>
      <w:r w:rsidR="006A22D3" w:rsidRPr="006A22D3">
        <w:rPr>
          <w:noProof/>
        </w:rPr>
        <w:t xml:space="preserve"> i pla</w:t>
      </w:r>
      <w:r w:rsidRPr="006A22D3">
        <w:rPr>
          <w:noProof/>
        </w:rPr>
        <w:t>nowane akty prawne dotyczące należytej staranności przyjmowane</w:t>
      </w:r>
      <w:r w:rsidR="006A22D3" w:rsidRPr="006A22D3">
        <w:rPr>
          <w:noProof/>
        </w:rPr>
        <w:t xml:space="preserve"> w Uni</w:t>
      </w:r>
      <w:r w:rsidRPr="006A22D3">
        <w:rPr>
          <w:noProof/>
        </w:rPr>
        <w:t>i istotnie różnią się od siebie, mimo że wszystkie państwa członkowskie</w:t>
      </w:r>
      <w:r w:rsidR="006A22D3" w:rsidRPr="006A22D3">
        <w:rPr>
          <w:noProof/>
        </w:rPr>
        <w:t xml:space="preserve"> w zał</w:t>
      </w:r>
      <w:r w:rsidRPr="006A22D3">
        <w:rPr>
          <w:noProof/>
        </w:rPr>
        <w:t>ożeniu dążą do tego, aby opierać się na obowiązujących normach międzynarodowych (Wytycznych ONZ dotyczących biznesu</w:t>
      </w:r>
      <w:r w:rsidR="006A22D3" w:rsidRPr="006A22D3">
        <w:rPr>
          <w:noProof/>
        </w:rPr>
        <w:t xml:space="preserve"> i pra</w:t>
      </w:r>
      <w:r w:rsidRPr="006A22D3">
        <w:rPr>
          <w:noProof/>
        </w:rPr>
        <w:t>w człowieka oraz standardach OECD</w:t>
      </w:r>
      <w:r w:rsidR="006A22D3" w:rsidRPr="006A22D3">
        <w:rPr>
          <w:noProof/>
        </w:rPr>
        <w:t xml:space="preserve"> w zak</w:t>
      </w:r>
      <w:r w:rsidRPr="006A22D3">
        <w:rPr>
          <w:noProof/>
        </w:rPr>
        <w:t>resie odpowiedzialnego prowadzenia działalności gospodarczej), co prowadzi do przyjmowania rozbieżnych wymogów. Niektóre państwa członkowskie przyjęły lub zamierzają przyjąć przepisy, których zakres ogranicza się do określonych kwestii związanych ze zrównoważonym rozwojem</w:t>
      </w:r>
      <w:r w:rsidR="006A22D3" w:rsidRPr="006A22D3">
        <w:rPr>
          <w:noProof/>
        </w:rPr>
        <w:t xml:space="preserve"> w ram</w:t>
      </w:r>
      <w:r w:rsidRPr="006A22D3">
        <w:rPr>
          <w:noProof/>
        </w:rPr>
        <w:t>ach łańcuchów wartości</w:t>
      </w:r>
      <w:r w:rsidRPr="006A22D3">
        <w:rPr>
          <w:rStyle w:val="FootnoteReference"/>
          <w:noProof/>
        </w:rPr>
        <w:footnoteReference w:id="49"/>
      </w:r>
      <w:r w:rsidRPr="006A22D3">
        <w:rPr>
          <w:noProof/>
        </w:rPr>
        <w:t>. We wspomnianych przepisach można zaobserwować rozbieżności, jeżeli chodzi</w:t>
      </w:r>
      <w:r w:rsidR="006A22D3" w:rsidRPr="006A22D3">
        <w:rPr>
          <w:noProof/>
        </w:rPr>
        <w:t xml:space="preserve"> o ich</w:t>
      </w:r>
      <w:r w:rsidRPr="006A22D3">
        <w:rPr>
          <w:noProof/>
        </w:rPr>
        <w:t xml:space="preserve"> zakres podmiotowy, istotne wymogi</w:t>
      </w:r>
      <w:r w:rsidR="006A22D3" w:rsidRPr="006A22D3">
        <w:rPr>
          <w:noProof/>
        </w:rPr>
        <w:t xml:space="preserve"> w zak</w:t>
      </w:r>
      <w:r w:rsidRPr="006A22D3">
        <w:rPr>
          <w:noProof/>
        </w:rPr>
        <w:t>resie należytej staranności, systemy egzekwowania prawa</w:t>
      </w:r>
      <w:r w:rsidR="006A22D3" w:rsidRPr="006A22D3">
        <w:rPr>
          <w:noProof/>
        </w:rPr>
        <w:t xml:space="preserve"> i pow</w:t>
      </w:r>
      <w:r w:rsidRPr="006A22D3">
        <w:rPr>
          <w:noProof/>
        </w:rPr>
        <w:t>iązane obowiązki dyrektorów, przy czym rozbieżności te mogą pogłębić się jeszcze bardziej</w:t>
      </w:r>
      <w:r w:rsidR="006A22D3" w:rsidRPr="006A22D3">
        <w:rPr>
          <w:noProof/>
        </w:rPr>
        <w:t xml:space="preserve"> w prz</w:t>
      </w:r>
      <w:r w:rsidRPr="006A22D3">
        <w:rPr>
          <w:noProof/>
        </w:rPr>
        <w:t>yszłości</w:t>
      </w:r>
      <w:r w:rsidRPr="006A22D3">
        <w:rPr>
          <w:rStyle w:val="FootnoteReference"/>
          <w:noProof/>
        </w:rPr>
        <w:footnoteReference w:id="50"/>
      </w:r>
      <w:r w:rsidRPr="006A22D3">
        <w:rPr>
          <w:noProof/>
        </w:rPr>
        <w:t>. Inne państwa członkowskie mogą nie zdecydować się na przyjęcie jakichkolwiek przepisów</w:t>
      </w:r>
      <w:r w:rsidR="006A22D3" w:rsidRPr="006A22D3">
        <w:rPr>
          <w:noProof/>
        </w:rPr>
        <w:t xml:space="preserve"> w tej</w:t>
      </w:r>
      <w:r w:rsidRPr="006A22D3">
        <w:rPr>
          <w:noProof/>
        </w:rPr>
        <w:t xml:space="preserve"> dziedzinie. Przyjmowanie przez poszczególne państwa członkowskie istotnie różniących się wymogów</w:t>
      </w:r>
      <w:r w:rsidR="006A22D3" w:rsidRPr="006A22D3">
        <w:rPr>
          <w:noProof/>
        </w:rPr>
        <w:t xml:space="preserve"> w tym</w:t>
      </w:r>
      <w:r w:rsidRPr="006A22D3">
        <w:rPr>
          <w:noProof/>
        </w:rPr>
        <w:t xml:space="preserve"> zakresie prowadzi tym samym do rozdrobnienia rynku wewnętrznego. Takie rozdrobnienie będzie prawdopodobnie postępować</w:t>
      </w:r>
      <w:r w:rsidR="006A22D3" w:rsidRPr="006A22D3">
        <w:rPr>
          <w:noProof/>
        </w:rPr>
        <w:t xml:space="preserve"> w mia</w:t>
      </w:r>
      <w:r w:rsidRPr="006A22D3">
        <w:rPr>
          <w:noProof/>
        </w:rPr>
        <w:t xml:space="preserve">rę upływu czasu. </w:t>
      </w:r>
    </w:p>
    <w:p w:rsidR="00A72440" w:rsidRPr="006A22D3" w:rsidRDefault="00A72440" w:rsidP="001C43C7">
      <w:pPr>
        <w:rPr>
          <w:rFonts w:eastAsia="Times New Roman"/>
          <w:noProof/>
        </w:rPr>
      </w:pPr>
      <w:r w:rsidRPr="006A22D3">
        <w:rPr>
          <w:noProof/>
        </w:rPr>
        <w:t>Wspomniane rozdrobnienie wiąże się również</w:t>
      </w:r>
      <w:r w:rsidR="006A22D3" w:rsidRPr="006A22D3">
        <w:rPr>
          <w:noProof/>
        </w:rPr>
        <w:t xml:space="preserve"> z ryz</w:t>
      </w:r>
      <w:r w:rsidRPr="006A22D3">
        <w:rPr>
          <w:noProof/>
        </w:rPr>
        <w:t>ykiem doprowadzenia do powstania nierównych warunków działania dla przedsiębiorstw na rynku wewnętrznym. Po pierwsze, przedsiębiorstwa</w:t>
      </w:r>
      <w:r w:rsidR="006A22D3" w:rsidRPr="006A22D3">
        <w:rPr>
          <w:noProof/>
        </w:rPr>
        <w:t xml:space="preserve"> i ich</w:t>
      </w:r>
      <w:r w:rsidRPr="006A22D3">
        <w:rPr>
          <w:noProof/>
        </w:rPr>
        <w:t xml:space="preserve"> dyrektorzy –</w:t>
      </w:r>
      <w:r w:rsidR="006A22D3" w:rsidRPr="006A22D3">
        <w:rPr>
          <w:noProof/>
        </w:rPr>
        <w:t xml:space="preserve"> w szc</w:t>
      </w:r>
      <w:r w:rsidRPr="006A22D3">
        <w:rPr>
          <w:noProof/>
        </w:rPr>
        <w:t>zególności dyrektorzy przedsiębiorstw dysponujących transgranicznymi łańcuchami wartości – podlegają już rozbieżnym wymogom</w:t>
      </w:r>
      <w:r w:rsidR="006A22D3" w:rsidRPr="006A22D3">
        <w:rPr>
          <w:noProof/>
        </w:rPr>
        <w:t xml:space="preserve"> i pra</w:t>
      </w:r>
      <w:r w:rsidRPr="006A22D3">
        <w:rPr>
          <w:noProof/>
        </w:rPr>
        <w:t>wdopodobnie będą podlegali jeszcze bardziej rozbieżnym wymogom</w:t>
      </w:r>
      <w:r w:rsidR="006A22D3" w:rsidRPr="006A22D3">
        <w:rPr>
          <w:noProof/>
        </w:rPr>
        <w:t xml:space="preserve"> w prz</w:t>
      </w:r>
      <w:r w:rsidRPr="006A22D3">
        <w:rPr>
          <w:noProof/>
        </w:rPr>
        <w:t>yszłości</w:t>
      </w:r>
      <w:r w:rsidR="006A22D3" w:rsidRPr="006A22D3">
        <w:rPr>
          <w:noProof/>
        </w:rPr>
        <w:t xml:space="preserve"> w zal</w:t>
      </w:r>
      <w:r w:rsidRPr="006A22D3">
        <w:rPr>
          <w:noProof/>
        </w:rPr>
        <w:t>eżności od tego, gdzie znajduje się ich siedziba statutowa. Taka sytuacja prowadzi do zakłóceń konkurencji. Ponadto,</w:t>
      </w:r>
      <w:r w:rsidR="006A22D3" w:rsidRPr="006A22D3">
        <w:rPr>
          <w:noProof/>
        </w:rPr>
        <w:t xml:space="preserve"> w zal</w:t>
      </w:r>
      <w:r w:rsidRPr="006A22D3">
        <w:rPr>
          <w:noProof/>
        </w:rPr>
        <w:t>eżności od sposobu organizacji ich działalności na rynku wewnętrznym, niektóre przedsiębiorstwa mogą podlegać jednocześnie dwóm lub większej liczbie krajowych ram prawnych</w:t>
      </w:r>
      <w:r w:rsidR="006A22D3" w:rsidRPr="006A22D3">
        <w:rPr>
          <w:noProof/>
        </w:rPr>
        <w:t xml:space="preserve"> w zak</w:t>
      </w:r>
      <w:r w:rsidRPr="006A22D3">
        <w:rPr>
          <w:noProof/>
        </w:rPr>
        <w:t>resie zrównoważonego ładu korporacyjnego</w:t>
      </w:r>
      <w:r w:rsidRPr="006A22D3">
        <w:rPr>
          <w:rStyle w:val="FootnoteReference"/>
          <w:noProof/>
        </w:rPr>
        <w:footnoteReference w:id="51"/>
      </w:r>
      <w:r w:rsidRPr="006A22D3">
        <w:rPr>
          <w:noProof/>
        </w:rPr>
        <w:t>. Może to skutkować dublowaniem wymogów, trudnościami</w:t>
      </w:r>
      <w:r w:rsidR="006A22D3" w:rsidRPr="006A22D3">
        <w:rPr>
          <w:noProof/>
        </w:rPr>
        <w:t xml:space="preserve"> w prz</w:t>
      </w:r>
      <w:r w:rsidRPr="006A22D3">
        <w:rPr>
          <w:noProof/>
        </w:rPr>
        <w:t>estrzeganiu przepisów, brakiem pewności prawa dla przedsiębiorstw,</w:t>
      </w:r>
      <w:r w:rsidR="006A22D3" w:rsidRPr="006A22D3">
        <w:rPr>
          <w:noProof/>
        </w:rPr>
        <w:t xml:space="preserve"> a naw</w:t>
      </w:r>
      <w:r w:rsidRPr="006A22D3">
        <w:rPr>
          <w:noProof/>
        </w:rPr>
        <w:t>et równoległym obowiązywaniem wzajemnie wykluczających się wymogów prawnych</w:t>
      </w:r>
      <w:r w:rsidR="006A22D3" w:rsidRPr="006A22D3">
        <w:rPr>
          <w:noProof/>
        </w:rPr>
        <w:t>. Z dru</w:t>
      </w:r>
      <w:r w:rsidRPr="006A22D3">
        <w:rPr>
          <w:noProof/>
        </w:rPr>
        <w:t>giej strony niektóre przedsiębiorstwa mogą nie podlegać żadnym ramom krajowym tylko dlatego, że nie dysponują powiązaniami uznawanymi za istotne na mocy przepisów krajowych</w:t>
      </w:r>
      <w:r w:rsidR="006A22D3" w:rsidRPr="006A22D3">
        <w:rPr>
          <w:noProof/>
        </w:rPr>
        <w:t xml:space="preserve"> z jur</w:t>
      </w:r>
      <w:r w:rsidRPr="006A22D3">
        <w:rPr>
          <w:noProof/>
        </w:rPr>
        <w:t>ysdykcją państwa członkowskiego, które wprowadziło przepisy</w:t>
      </w:r>
      <w:r w:rsidR="006A22D3" w:rsidRPr="006A22D3">
        <w:rPr>
          <w:noProof/>
        </w:rPr>
        <w:t xml:space="preserve"> w zak</w:t>
      </w:r>
      <w:r w:rsidRPr="006A22D3">
        <w:rPr>
          <w:noProof/>
        </w:rPr>
        <w:t>resie należytej staranności, co pozwala im uzyskać przewagę nad ich konkurentami.</w:t>
      </w:r>
    </w:p>
    <w:p w:rsidR="00EB460C" w:rsidRPr="006A22D3" w:rsidRDefault="00A72440" w:rsidP="001C43C7">
      <w:pPr>
        <w:rPr>
          <w:rFonts w:eastAsia="Times New Roman"/>
          <w:noProof/>
        </w:rPr>
      </w:pPr>
      <w:r w:rsidRPr="006A22D3">
        <w:rPr>
          <w:noProof/>
        </w:rPr>
        <w:t>Proponowany akt ma na celu zapobieganie powstawaniu tego rodzaju barier dla swobodnego przepływu</w:t>
      </w:r>
      <w:r w:rsidR="006A22D3" w:rsidRPr="006A22D3">
        <w:rPr>
          <w:noProof/>
        </w:rPr>
        <w:t xml:space="preserve"> i zak</w:t>
      </w:r>
      <w:r w:rsidRPr="006A22D3">
        <w:rPr>
          <w:noProof/>
        </w:rPr>
        <w:t>łóceń konkurencji oraz ich eliminowanie dzięki zapewnieniu harmonizacji wymogów zobowiązujących przedsiębiorstwa do przeprowadzania analizy należytej staranności</w:t>
      </w:r>
      <w:r w:rsidR="006A22D3" w:rsidRPr="006A22D3">
        <w:rPr>
          <w:noProof/>
        </w:rPr>
        <w:t xml:space="preserve"> w odn</w:t>
      </w:r>
      <w:r w:rsidRPr="006A22D3">
        <w:rPr>
          <w:noProof/>
        </w:rPr>
        <w:t>iesieniu do swojej własnej działalności, działalności swoich jednostek zależnych oraz swoich łańcuchów wartości</w:t>
      </w:r>
      <w:r w:rsidR="006A22D3" w:rsidRPr="006A22D3">
        <w:rPr>
          <w:noProof/>
        </w:rPr>
        <w:t xml:space="preserve"> i pow</w:t>
      </w:r>
      <w:r w:rsidRPr="006A22D3">
        <w:rPr>
          <w:noProof/>
        </w:rPr>
        <w:t>iązanych obowiązków dyrektorów. Wspomniana harmonizacja zapewni równe warunki działania,</w:t>
      </w:r>
      <w:r w:rsidR="006A22D3" w:rsidRPr="006A22D3">
        <w:rPr>
          <w:noProof/>
        </w:rPr>
        <w:t xml:space="preserve"> w ram</w:t>
      </w:r>
      <w:r w:rsidRPr="006A22D3">
        <w:rPr>
          <w:noProof/>
        </w:rPr>
        <w:t>ach których przedsiębiorstwa</w:t>
      </w:r>
      <w:r w:rsidR="006A22D3" w:rsidRPr="006A22D3">
        <w:rPr>
          <w:noProof/>
        </w:rPr>
        <w:t xml:space="preserve"> o pod</w:t>
      </w:r>
      <w:r w:rsidRPr="006A22D3">
        <w:rPr>
          <w:noProof/>
        </w:rPr>
        <w:t>obnej wielkości</w:t>
      </w:r>
      <w:r w:rsidR="006A22D3" w:rsidRPr="006A22D3">
        <w:rPr>
          <w:noProof/>
        </w:rPr>
        <w:t xml:space="preserve"> i ich</w:t>
      </w:r>
      <w:r w:rsidRPr="006A22D3">
        <w:rPr>
          <w:noProof/>
        </w:rPr>
        <w:t xml:space="preserve"> dyrektorzy będą podlegali takim samym wymogom dotyczącym uwzględniania działań</w:t>
      </w:r>
      <w:r w:rsidR="006A22D3" w:rsidRPr="006A22D3">
        <w:rPr>
          <w:noProof/>
        </w:rPr>
        <w:t xml:space="preserve"> w zak</w:t>
      </w:r>
      <w:r w:rsidRPr="006A22D3">
        <w:rPr>
          <w:noProof/>
        </w:rPr>
        <w:t>resie zrównoważonego ładu korporacyjnego</w:t>
      </w:r>
      <w:r w:rsidR="006A22D3" w:rsidRPr="006A22D3">
        <w:rPr>
          <w:noProof/>
        </w:rPr>
        <w:t xml:space="preserve"> i nal</w:t>
      </w:r>
      <w:r w:rsidRPr="006A22D3">
        <w:rPr>
          <w:noProof/>
        </w:rPr>
        <w:t>eżytej staranności przedsiębiorstw</w:t>
      </w:r>
      <w:r w:rsidR="006A22D3" w:rsidRPr="006A22D3">
        <w:rPr>
          <w:noProof/>
        </w:rPr>
        <w:t xml:space="preserve"> w swo</w:t>
      </w:r>
      <w:r w:rsidRPr="006A22D3">
        <w:rPr>
          <w:noProof/>
        </w:rPr>
        <w:t>ich wewnętrznych systemach zarządzania, przyczyniając się tym samym do zapewnienia zainteresowanym stronom związanym</w:t>
      </w:r>
      <w:r w:rsidR="006A22D3" w:rsidRPr="006A22D3">
        <w:rPr>
          <w:noProof/>
        </w:rPr>
        <w:t xml:space="preserve"> z prz</w:t>
      </w:r>
      <w:r w:rsidRPr="006A22D3">
        <w:rPr>
          <w:noProof/>
        </w:rPr>
        <w:t>edsiębiorstwem podobnego poziomu ochrony ich interesów. Przyjęcie takich zharmonizowanych warunków wiązałoby się</w:t>
      </w:r>
      <w:r w:rsidR="006A22D3" w:rsidRPr="006A22D3">
        <w:rPr>
          <w:noProof/>
        </w:rPr>
        <w:t xml:space="preserve"> z kor</w:t>
      </w:r>
      <w:r w:rsidRPr="006A22D3">
        <w:rPr>
          <w:noProof/>
        </w:rPr>
        <w:t>zyściami</w:t>
      </w:r>
      <w:r w:rsidR="006A22D3" w:rsidRPr="006A22D3">
        <w:rPr>
          <w:noProof/>
        </w:rPr>
        <w:t xml:space="preserve"> w zak</w:t>
      </w:r>
      <w:r w:rsidRPr="006A22D3">
        <w:rPr>
          <w:noProof/>
        </w:rPr>
        <w:t>resie transgranicznego prowadzenia przedsiębiorstw,</w:t>
      </w:r>
      <w:r w:rsidR="006A22D3" w:rsidRPr="006A22D3">
        <w:rPr>
          <w:noProof/>
        </w:rPr>
        <w:t xml:space="preserve"> w tym</w:t>
      </w:r>
      <w:r w:rsidRPr="006A22D3">
        <w:rPr>
          <w:noProof/>
        </w:rPr>
        <w:t xml:space="preserve"> działalności operacyjnej,</w:t>
      </w:r>
      <w:r w:rsidR="006A22D3" w:rsidRPr="006A22D3">
        <w:rPr>
          <w:noProof/>
        </w:rPr>
        <w:t xml:space="preserve"> a tak</w:t>
      </w:r>
      <w:r w:rsidRPr="006A22D3">
        <w:rPr>
          <w:noProof/>
        </w:rPr>
        <w:t>że inwestycyjnej,</w:t>
      </w:r>
      <w:r w:rsidR="006A22D3" w:rsidRPr="006A22D3">
        <w:rPr>
          <w:noProof/>
        </w:rPr>
        <w:t xml:space="preserve"> w kon</w:t>
      </w:r>
      <w:r w:rsidRPr="006A22D3">
        <w:rPr>
          <w:noProof/>
        </w:rPr>
        <w:t>tekście transgranicznym, ponieważ ułatwiłoby porównywanie wymogów dotyczących zrównoważonego rozwoju przedsiębiorstw</w:t>
      </w:r>
      <w:r w:rsidR="006A22D3" w:rsidRPr="006A22D3">
        <w:rPr>
          <w:noProof/>
        </w:rPr>
        <w:t xml:space="preserve"> i spr</w:t>
      </w:r>
      <w:r w:rsidRPr="006A22D3">
        <w:rPr>
          <w:noProof/>
        </w:rPr>
        <w:t>zyjałoby nawiązywaniu współpracy, obniżając tym samym jej koszty.</w:t>
      </w:r>
    </w:p>
    <w:p w:rsidR="001963AA" w:rsidRPr="006A22D3" w:rsidRDefault="00A72440" w:rsidP="001C43C7">
      <w:pPr>
        <w:rPr>
          <w:rFonts w:eastAsia="Times New Roman"/>
          <w:noProof/>
        </w:rPr>
      </w:pPr>
      <w:r w:rsidRPr="006A22D3">
        <w:rPr>
          <w:noProof/>
        </w:rPr>
        <w:t xml:space="preserve">Art. 50 TFUE to </w:t>
      </w:r>
      <w:r w:rsidRPr="006A22D3">
        <w:rPr>
          <w:i/>
          <w:noProof/>
        </w:rPr>
        <w:t>lex specialis</w:t>
      </w:r>
      <w:r w:rsidR="006A22D3" w:rsidRPr="006A22D3">
        <w:rPr>
          <w:noProof/>
        </w:rPr>
        <w:t xml:space="preserve"> w odn</w:t>
      </w:r>
      <w:r w:rsidRPr="006A22D3">
        <w:rPr>
          <w:noProof/>
        </w:rPr>
        <w:t>iesieniu do działań podejmowanych</w:t>
      </w:r>
      <w:r w:rsidR="006A22D3" w:rsidRPr="006A22D3">
        <w:rPr>
          <w:noProof/>
        </w:rPr>
        <w:t xml:space="preserve"> w cel</w:t>
      </w:r>
      <w:r w:rsidRPr="006A22D3">
        <w:rPr>
          <w:noProof/>
        </w:rPr>
        <w:t>u urzeczywistnienia swobody przedsiębiorczości. Wśród proponowanych działań</w:t>
      </w:r>
      <w:r w:rsidR="006A22D3" w:rsidRPr="006A22D3">
        <w:rPr>
          <w:noProof/>
        </w:rPr>
        <w:t xml:space="preserve"> w opa</w:t>
      </w:r>
      <w:r w:rsidRPr="006A22D3">
        <w:rPr>
          <w:noProof/>
        </w:rPr>
        <w:t>rciu o tę podstawę prawną podejmuje się działania dotyczące ładu korporacyjnego przedsiębiorstw,</w:t>
      </w:r>
      <w:r w:rsidR="006A22D3" w:rsidRPr="006A22D3">
        <w:rPr>
          <w:noProof/>
        </w:rPr>
        <w:t xml:space="preserve"> w szc</w:t>
      </w:r>
      <w:r w:rsidRPr="006A22D3">
        <w:rPr>
          <w:noProof/>
        </w:rPr>
        <w:t>zególności działania mające na celu włączenie problematyki należytej staranności do polityk przedsiębiorstw, działania związane</w:t>
      </w:r>
      <w:r w:rsidR="006A22D3" w:rsidRPr="006A22D3">
        <w:rPr>
          <w:noProof/>
        </w:rPr>
        <w:t xml:space="preserve"> z opr</w:t>
      </w:r>
      <w:r w:rsidRPr="006A22D3">
        <w:rPr>
          <w:noProof/>
        </w:rPr>
        <w:t>acowywaniem przez przedsiębiorstwa planu służącego zagwarantowaniu spójności ich modelu biznesowego</w:t>
      </w:r>
      <w:r w:rsidR="006A22D3" w:rsidRPr="006A22D3">
        <w:rPr>
          <w:noProof/>
        </w:rPr>
        <w:t xml:space="preserve"> i str</w:t>
      </w:r>
      <w:r w:rsidRPr="006A22D3">
        <w:rPr>
          <w:noProof/>
        </w:rPr>
        <w:t>ategii</w:t>
      </w:r>
      <w:r w:rsidR="006A22D3" w:rsidRPr="006A22D3">
        <w:rPr>
          <w:noProof/>
        </w:rPr>
        <w:t xml:space="preserve"> z zał</w:t>
      </w:r>
      <w:r w:rsidRPr="006A22D3">
        <w:rPr>
          <w:noProof/>
        </w:rPr>
        <w:t>ożeniami procesu przechodzenia na gospodarkę zrównoważoną oraz</w:t>
      </w:r>
      <w:r w:rsidR="006A22D3" w:rsidRPr="006A22D3">
        <w:rPr>
          <w:noProof/>
        </w:rPr>
        <w:t xml:space="preserve"> z cel</w:t>
      </w:r>
      <w:r w:rsidRPr="006A22D3">
        <w:rPr>
          <w:noProof/>
        </w:rPr>
        <w:t>em polegającym na ograniczeniu globalnego ocieplenia do</w:t>
      </w:r>
      <w:r w:rsidR="00192E90" w:rsidRPr="006A22D3">
        <w:rPr>
          <w:noProof/>
        </w:rPr>
        <w:t> </w:t>
      </w:r>
      <w:r w:rsidRPr="006A22D3">
        <w:rPr>
          <w:noProof/>
        </w:rPr>
        <w:t>1,5</w:t>
      </w:r>
      <w:r w:rsidR="00192E90" w:rsidRPr="006A22D3">
        <w:rPr>
          <w:noProof/>
        </w:rPr>
        <w:t> </w:t>
      </w:r>
      <w:r w:rsidRPr="006A22D3">
        <w:rPr>
          <w:noProof/>
        </w:rPr>
        <w:t>°C zgodnie</w:t>
      </w:r>
      <w:r w:rsidR="006A22D3" w:rsidRPr="006A22D3">
        <w:rPr>
          <w:noProof/>
        </w:rPr>
        <w:t xml:space="preserve"> z pos</w:t>
      </w:r>
      <w:r w:rsidRPr="006A22D3">
        <w:rPr>
          <w:noProof/>
        </w:rPr>
        <w:t>tanowieniami porozumienia paryskiego,</w:t>
      </w:r>
      <w:r w:rsidR="006A22D3" w:rsidRPr="006A22D3">
        <w:rPr>
          <w:noProof/>
        </w:rPr>
        <w:t xml:space="preserve"> a tak</w:t>
      </w:r>
      <w:r w:rsidRPr="006A22D3">
        <w:rPr>
          <w:noProof/>
        </w:rPr>
        <w:t>że powiązane działania związane</w:t>
      </w:r>
      <w:r w:rsidR="006A22D3" w:rsidRPr="006A22D3">
        <w:rPr>
          <w:noProof/>
        </w:rPr>
        <w:t xml:space="preserve"> z wyn</w:t>
      </w:r>
      <w:r w:rsidRPr="006A22D3">
        <w:rPr>
          <w:noProof/>
        </w:rPr>
        <w:t>agrodzeniami oraz przepisy dotyczące obowiązku dyrektorów</w:t>
      </w:r>
      <w:r w:rsidR="006A22D3" w:rsidRPr="006A22D3">
        <w:rPr>
          <w:noProof/>
        </w:rPr>
        <w:t xml:space="preserve"> w zak</w:t>
      </w:r>
      <w:r w:rsidRPr="006A22D3">
        <w:rPr>
          <w:noProof/>
        </w:rPr>
        <w:t>resie dbałości</w:t>
      </w:r>
      <w:r w:rsidR="006A22D3" w:rsidRPr="006A22D3">
        <w:rPr>
          <w:noProof/>
        </w:rPr>
        <w:t xml:space="preserve"> i obo</w:t>
      </w:r>
      <w:r w:rsidRPr="006A22D3">
        <w:rPr>
          <w:noProof/>
        </w:rPr>
        <w:t>wiązków dyrektorów</w:t>
      </w:r>
      <w:r w:rsidR="006A22D3" w:rsidRPr="006A22D3">
        <w:rPr>
          <w:noProof/>
        </w:rPr>
        <w:t xml:space="preserve"> w zak</w:t>
      </w:r>
      <w:r w:rsidRPr="006A22D3">
        <w:rPr>
          <w:noProof/>
        </w:rPr>
        <w:t>resie ustanawiania mechanizmów należytej staranności</w:t>
      </w:r>
      <w:r w:rsidR="006A22D3" w:rsidRPr="006A22D3">
        <w:rPr>
          <w:noProof/>
        </w:rPr>
        <w:t xml:space="preserve"> i spr</w:t>
      </w:r>
      <w:r w:rsidRPr="006A22D3">
        <w:rPr>
          <w:noProof/>
        </w:rPr>
        <w:t>awowania nad nimi nadzoru.</w:t>
      </w:r>
    </w:p>
    <w:p w:rsidR="00A72440" w:rsidRPr="006A22D3" w:rsidRDefault="00A72440" w:rsidP="001C43C7">
      <w:pPr>
        <w:rPr>
          <w:rFonts w:eastAsia="Times New Roman"/>
          <w:noProof/>
        </w:rPr>
      </w:pPr>
      <w:r w:rsidRPr="006A22D3">
        <w:rPr>
          <w:noProof/>
        </w:rPr>
        <w:t>Aby skutecznie wyeliminować opisane bariery dla rynku wewnętrznego,</w:t>
      </w:r>
      <w:r w:rsidR="006A22D3" w:rsidRPr="006A22D3">
        <w:rPr>
          <w:noProof/>
        </w:rPr>
        <w:t xml:space="preserve"> w nin</w:t>
      </w:r>
      <w:r w:rsidRPr="006A22D3">
        <w:rPr>
          <w:noProof/>
        </w:rPr>
        <w:t>iejszym dokumencie połączono art.</w:t>
      </w:r>
      <w:r w:rsidR="00192E90" w:rsidRPr="006A22D3">
        <w:rPr>
          <w:noProof/>
        </w:rPr>
        <w:t> </w:t>
      </w:r>
      <w:r w:rsidRPr="006A22D3">
        <w:rPr>
          <w:noProof/>
        </w:rPr>
        <w:t>50 TFUE</w:t>
      </w:r>
      <w:r w:rsidR="006A22D3" w:rsidRPr="006A22D3">
        <w:rPr>
          <w:noProof/>
        </w:rPr>
        <w:t xml:space="preserve"> z ogó</w:t>
      </w:r>
      <w:r w:rsidRPr="006A22D3">
        <w:rPr>
          <w:noProof/>
        </w:rPr>
        <w:t>lnym przepisem art.</w:t>
      </w:r>
      <w:r w:rsidR="00192E90" w:rsidRPr="006A22D3">
        <w:rPr>
          <w:noProof/>
        </w:rPr>
        <w:t> </w:t>
      </w:r>
      <w:r w:rsidRPr="006A22D3">
        <w:rPr>
          <w:noProof/>
        </w:rPr>
        <w:t>114 TFUE</w:t>
      </w:r>
      <w:r w:rsidR="006A22D3" w:rsidRPr="006A22D3">
        <w:rPr>
          <w:noProof/>
        </w:rPr>
        <w:t>. W art</w:t>
      </w:r>
      <w:r w:rsidRPr="006A22D3">
        <w:rPr>
          <w:noProof/>
        </w:rPr>
        <w:t>.</w:t>
      </w:r>
      <w:r w:rsidR="00192E90" w:rsidRPr="006A22D3">
        <w:rPr>
          <w:noProof/>
        </w:rPr>
        <w:t> </w:t>
      </w:r>
      <w:r w:rsidRPr="006A22D3">
        <w:rPr>
          <w:noProof/>
        </w:rPr>
        <w:t>114 TFUE przewiduje się przyjęcie środków dotyczących zbliżenia przepisów ustawowych, wykonawczych</w:t>
      </w:r>
      <w:r w:rsidR="006A22D3" w:rsidRPr="006A22D3">
        <w:rPr>
          <w:noProof/>
        </w:rPr>
        <w:t xml:space="preserve"> i adm</w:t>
      </w:r>
      <w:r w:rsidRPr="006A22D3">
        <w:rPr>
          <w:noProof/>
        </w:rPr>
        <w:t>inistracyjnych państw członkowskich, które mają na celu ustanowienie</w:t>
      </w:r>
      <w:r w:rsidR="006A22D3" w:rsidRPr="006A22D3">
        <w:rPr>
          <w:noProof/>
        </w:rPr>
        <w:t xml:space="preserve"> i fun</w:t>
      </w:r>
      <w:r w:rsidRPr="006A22D3">
        <w:rPr>
          <w:noProof/>
        </w:rPr>
        <w:t>kcjonowanie rynku wewnętrznego. Prawodawca Unii może stosować art.</w:t>
      </w:r>
      <w:r w:rsidR="00192E90" w:rsidRPr="006A22D3">
        <w:rPr>
          <w:noProof/>
        </w:rPr>
        <w:t> </w:t>
      </w:r>
      <w:r w:rsidRPr="006A22D3">
        <w:rPr>
          <w:noProof/>
        </w:rPr>
        <w:t>114 TFUE</w:t>
      </w:r>
      <w:r w:rsidR="006A22D3" w:rsidRPr="006A22D3">
        <w:rPr>
          <w:noProof/>
        </w:rPr>
        <w:t xml:space="preserve"> w szc</w:t>
      </w:r>
      <w:r w:rsidRPr="006A22D3">
        <w:rPr>
          <w:noProof/>
        </w:rPr>
        <w:t>zególności wówczas, gdy rozbieżności między przepisami krajowymi utrudniają korzystanie</w:t>
      </w:r>
      <w:r w:rsidR="006A22D3" w:rsidRPr="006A22D3">
        <w:rPr>
          <w:noProof/>
        </w:rPr>
        <w:t xml:space="preserve"> z pod</w:t>
      </w:r>
      <w:r w:rsidRPr="006A22D3">
        <w:rPr>
          <w:noProof/>
        </w:rPr>
        <w:t>stawowych wolności lub powodują zakłócenie konkurencji,</w:t>
      </w:r>
      <w:r w:rsidR="006A22D3" w:rsidRPr="006A22D3">
        <w:rPr>
          <w:noProof/>
        </w:rPr>
        <w:t xml:space="preserve"> a tym</w:t>
      </w:r>
      <w:r w:rsidRPr="006A22D3">
        <w:rPr>
          <w:noProof/>
        </w:rPr>
        <w:t xml:space="preserve"> samym wywierają bezpośredni wpływ na funkcjonowanie rynku wewnętrznego.</w:t>
      </w:r>
    </w:p>
    <w:p w:rsidR="00A72440" w:rsidRPr="006A22D3" w:rsidRDefault="00A72440" w:rsidP="001C43C7">
      <w:pPr>
        <w:rPr>
          <w:rFonts w:eastAsia="Times New Roman"/>
          <w:noProof/>
        </w:rPr>
      </w:pPr>
      <w:r w:rsidRPr="006A22D3">
        <w:rPr>
          <w:noProof/>
        </w:rPr>
        <w:t>Jak określono powyżej, różnice między przepisami krajowymi dotyczącymi zrównoważonego ładu korporacyjnego</w:t>
      </w:r>
      <w:r w:rsidR="006A22D3" w:rsidRPr="006A22D3">
        <w:rPr>
          <w:noProof/>
        </w:rPr>
        <w:t xml:space="preserve"> a obo</w:t>
      </w:r>
      <w:r w:rsidRPr="006A22D3">
        <w:rPr>
          <w:noProof/>
        </w:rPr>
        <w:t>wiązkami</w:t>
      </w:r>
      <w:r w:rsidR="006A22D3" w:rsidRPr="006A22D3">
        <w:rPr>
          <w:noProof/>
        </w:rPr>
        <w:t xml:space="preserve"> w zak</w:t>
      </w:r>
      <w:r w:rsidRPr="006A22D3">
        <w:rPr>
          <w:noProof/>
        </w:rPr>
        <w:t>resie należytej staranności wywierają bezpośredni wpływ na funkcjonowanie rynku wewnętrznego, przy czym wpływ ten prawdopodobnie zwiększy się</w:t>
      </w:r>
      <w:r w:rsidR="006A22D3" w:rsidRPr="006A22D3">
        <w:rPr>
          <w:noProof/>
        </w:rPr>
        <w:t xml:space="preserve"> w prz</w:t>
      </w:r>
      <w:r w:rsidRPr="006A22D3">
        <w:rPr>
          <w:noProof/>
        </w:rPr>
        <w:t>yszłości. Oprócz kwestii uregulowanych</w:t>
      </w:r>
      <w:r w:rsidR="006A22D3" w:rsidRPr="006A22D3">
        <w:rPr>
          <w:noProof/>
        </w:rPr>
        <w:t xml:space="preserve"> w art</w:t>
      </w:r>
      <w:r w:rsidRPr="006A22D3">
        <w:rPr>
          <w:noProof/>
        </w:rPr>
        <w:t>.</w:t>
      </w:r>
      <w:r w:rsidR="00192E90" w:rsidRPr="006A22D3">
        <w:rPr>
          <w:noProof/>
        </w:rPr>
        <w:t> </w:t>
      </w:r>
      <w:r w:rsidRPr="006A22D3">
        <w:rPr>
          <w:noProof/>
        </w:rPr>
        <w:t>50 TFUE niniejszy akt dotyczy innych obszarów ustanowienia</w:t>
      </w:r>
      <w:r w:rsidR="006A22D3" w:rsidRPr="006A22D3">
        <w:rPr>
          <w:noProof/>
        </w:rPr>
        <w:t xml:space="preserve"> i fun</w:t>
      </w:r>
      <w:r w:rsidRPr="006A22D3">
        <w:rPr>
          <w:noProof/>
        </w:rPr>
        <w:t>kcjonowania rynku wewnętrznego</w:t>
      </w:r>
      <w:r w:rsidR="006A22D3" w:rsidRPr="006A22D3">
        <w:rPr>
          <w:noProof/>
        </w:rPr>
        <w:t>. W szc</w:t>
      </w:r>
      <w:r w:rsidRPr="006A22D3">
        <w:rPr>
          <w:noProof/>
        </w:rPr>
        <w:t>zególności</w:t>
      </w:r>
      <w:r w:rsidR="006A22D3" w:rsidRPr="006A22D3">
        <w:rPr>
          <w:noProof/>
        </w:rPr>
        <w:t xml:space="preserve"> w prz</w:t>
      </w:r>
      <w:r w:rsidRPr="006A22D3">
        <w:rPr>
          <w:noProof/>
        </w:rPr>
        <w:t>ypadku braku działania ze strony prawodawcy Unii produkcja</w:t>
      </w:r>
      <w:r w:rsidR="006A22D3" w:rsidRPr="006A22D3">
        <w:rPr>
          <w:noProof/>
        </w:rPr>
        <w:t xml:space="preserve"> i prz</w:t>
      </w:r>
      <w:r w:rsidRPr="006A22D3">
        <w:rPr>
          <w:noProof/>
        </w:rPr>
        <w:t>epływ towarów</w:t>
      </w:r>
      <w:r w:rsidR="006A22D3" w:rsidRPr="006A22D3">
        <w:rPr>
          <w:noProof/>
        </w:rPr>
        <w:t xml:space="preserve"> i usł</w:t>
      </w:r>
      <w:r w:rsidRPr="006A22D3">
        <w:rPr>
          <w:noProof/>
        </w:rPr>
        <w:t>ug przesunęłyby się</w:t>
      </w:r>
      <w:r w:rsidR="006A22D3" w:rsidRPr="006A22D3">
        <w:rPr>
          <w:noProof/>
        </w:rPr>
        <w:t xml:space="preserve"> w kie</w:t>
      </w:r>
      <w:r w:rsidRPr="006A22D3">
        <w:rPr>
          <w:noProof/>
        </w:rPr>
        <w:t>runku jurysdykcji nieposiadających systemów zapewnienia należytej staranności lub posiadających mniej rygorystyczne systemy, lub też przedsiębiorstw mających siedzibę</w:t>
      </w:r>
      <w:r w:rsidR="006A22D3" w:rsidRPr="006A22D3">
        <w:rPr>
          <w:noProof/>
        </w:rPr>
        <w:t xml:space="preserve"> w tak</w:t>
      </w:r>
      <w:r w:rsidRPr="006A22D3">
        <w:rPr>
          <w:noProof/>
        </w:rPr>
        <w:t>ich jurysdykcjach, co miałoby znaczący wpływ na przepływ towarów</w:t>
      </w:r>
      <w:r w:rsidR="006A22D3" w:rsidRPr="006A22D3">
        <w:rPr>
          <w:noProof/>
        </w:rPr>
        <w:t xml:space="preserve"> i usł</w:t>
      </w:r>
      <w:r w:rsidRPr="006A22D3">
        <w:rPr>
          <w:noProof/>
        </w:rPr>
        <w:t>ug. Co więcej, przedsiębiorstwa dostarczające towary lub usługi,</w:t>
      </w:r>
      <w:r w:rsidR="006A22D3" w:rsidRPr="006A22D3">
        <w:rPr>
          <w:noProof/>
        </w:rPr>
        <w:t xml:space="preserve"> w szc</w:t>
      </w:r>
      <w:r w:rsidRPr="006A22D3">
        <w:rPr>
          <w:noProof/>
        </w:rPr>
        <w:t>zególności MŚP, będę musiały stawić czoła rozbieżnym przepisom</w:t>
      </w:r>
      <w:r w:rsidR="006A22D3" w:rsidRPr="006A22D3">
        <w:rPr>
          <w:noProof/>
        </w:rPr>
        <w:t xml:space="preserve"> i ocz</w:t>
      </w:r>
      <w:r w:rsidRPr="006A22D3">
        <w:rPr>
          <w:noProof/>
        </w:rPr>
        <w:t>ekiwaniom klientów</w:t>
      </w:r>
      <w:r w:rsidR="006A22D3" w:rsidRPr="006A22D3">
        <w:rPr>
          <w:noProof/>
        </w:rPr>
        <w:t xml:space="preserve"> w róż</w:t>
      </w:r>
      <w:r w:rsidRPr="006A22D3">
        <w:rPr>
          <w:noProof/>
        </w:rPr>
        <w:t>nych państwach członkowskich. Na przykład podczas gdy prawo jednego państwa członkowskiego może wymagać od dostawcy poddania się niezależnym audytom, inne państwo członkowskie może wymagać od tego samego dostawcy uczestnictwa</w:t>
      </w:r>
      <w:r w:rsidR="006A22D3" w:rsidRPr="006A22D3">
        <w:rPr>
          <w:noProof/>
        </w:rPr>
        <w:t xml:space="preserve"> w uzn</w:t>
      </w:r>
      <w:r w:rsidRPr="006A22D3">
        <w:rPr>
          <w:noProof/>
        </w:rPr>
        <w:t>anych projektach branżowych</w:t>
      </w:r>
      <w:r w:rsidR="006A22D3" w:rsidRPr="006A22D3">
        <w:rPr>
          <w:noProof/>
        </w:rPr>
        <w:t xml:space="preserve"> i ini</w:t>
      </w:r>
      <w:r w:rsidRPr="006A22D3">
        <w:rPr>
          <w:noProof/>
        </w:rPr>
        <w:t>cjatywach</w:t>
      </w:r>
      <w:r w:rsidR="006A22D3" w:rsidRPr="006A22D3">
        <w:rPr>
          <w:noProof/>
        </w:rPr>
        <w:t xml:space="preserve"> z udz</w:t>
      </w:r>
      <w:r w:rsidRPr="006A22D3">
        <w:rPr>
          <w:noProof/>
        </w:rPr>
        <w:t>iałem wielu zainteresowanych stron. Jedno państwo członkowskie może wymagać od przedsiębiorstwa przeprowadzenia działań</w:t>
      </w:r>
      <w:r w:rsidR="006A22D3" w:rsidRPr="006A22D3">
        <w:rPr>
          <w:noProof/>
        </w:rPr>
        <w:t xml:space="preserve"> z zak</w:t>
      </w:r>
      <w:r w:rsidRPr="006A22D3">
        <w:rPr>
          <w:noProof/>
        </w:rPr>
        <w:t>resu należytej staranności</w:t>
      </w:r>
      <w:r w:rsidR="006A22D3" w:rsidRPr="006A22D3">
        <w:rPr>
          <w:noProof/>
        </w:rPr>
        <w:t xml:space="preserve"> w odn</w:t>
      </w:r>
      <w:r w:rsidRPr="006A22D3">
        <w:rPr>
          <w:noProof/>
        </w:rPr>
        <w:t>iesieniu do stałych relacji biznesowych, natomiast inne może tego wymagać wyłącznie</w:t>
      </w:r>
      <w:r w:rsidR="006A22D3" w:rsidRPr="006A22D3">
        <w:rPr>
          <w:noProof/>
        </w:rPr>
        <w:t xml:space="preserve"> w odn</w:t>
      </w:r>
      <w:r w:rsidRPr="006A22D3">
        <w:rPr>
          <w:noProof/>
        </w:rPr>
        <w:t>iesieniu do bezpośrednich dostawców. Doprowadziłoby to do zwielokrotnienia różnych, częściowo niekompatybilnych wymogów, skutkując zakłóceniem swobodnego przepływu towarów</w:t>
      </w:r>
      <w:r w:rsidR="006A22D3" w:rsidRPr="006A22D3">
        <w:rPr>
          <w:noProof/>
        </w:rPr>
        <w:t xml:space="preserve"> i usł</w:t>
      </w:r>
      <w:r w:rsidRPr="006A22D3">
        <w:rPr>
          <w:noProof/>
        </w:rPr>
        <w:t>ug</w:t>
      </w:r>
      <w:r w:rsidR="006A22D3" w:rsidRPr="006A22D3">
        <w:rPr>
          <w:noProof/>
        </w:rPr>
        <w:t xml:space="preserve"> w Uni</w:t>
      </w:r>
      <w:r w:rsidRPr="006A22D3">
        <w:rPr>
          <w:noProof/>
        </w:rPr>
        <w:t>i.</w:t>
      </w:r>
    </w:p>
    <w:p w:rsidR="00A72440" w:rsidRPr="006A22D3" w:rsidRDefault="00A72440" w:rsidP="001C43C7">
      <w:pPr>
        <w:rPr>
          <w:rFonts w:eastAsia="Times New Roman"/>
          <w:noProof/>
        </w:rPr>
      </w:pPr>
      <w:r w:rsidRPr="006A22D3">
        <w:rPr>
          <w:noProof/>
        </w:rPr>
        <w:t>Jak można przewidzieć, wspomniane zakłócenia</w:t>
      </w:r>
      <w:r w:rsidR="006A22D3" w:rsidRPr="006A22D3">
        <w:rPr>
          <w:noProof/>
        </w:rPr>
        <w:t xml:space="preserve"> i sku</w:t>
      </w:r>
      <w:r w:rsidRPr="006A22D3">
        <w:rPr>
          <w:noProof/>
        </w:rPr>
        <w:t>tki</w:t>
      </w:r>
      <w:r w:rsidR="006A22D3" w:rsidRPr="006A22D3">
        <w:rPr>
          <w:noProof/>
        </w:rPr>
        <w:t xml:space="preserve"> z cza</w:t>
      </w:r>
      <w:r w:rsidRPr="006A22D3">
        <w:rPr>
          <w:noProof/>
        </w:rPr>
        <w:t>sem stałyby się poważniejsze</w:t>
      </w:r>
      <w:r w:rsidR="006A22D3" w:rsidRPr="006A22D3">
        <w:rPr>
          <w:noProof/>
        </w:rPr>
        <w:t xml:space="preserve"> z uwa</w:t>
      </w:r>
      <w:r w:rsidRPr="006A22D3">
        <w:rPr>
          <w:noProof/>
        </w:rPr>
        <w:t>gi na fakt, że coraz większa liczba państw członkowskich przyjmowałaby rozbieżne prawa krajowe. Mogłyby one doprowadzić nawet do równania</w:t>
      </w:r>
      <w:r w:rsidR="006A22D3" w:rsidRPr="006A22D3">
        <w:rPr>
          <w:noProof/>
        </w:rPr>
        <w:t xml:space="preserve"> w dół</w:t>
      </w:r>
      <w:r w:rsidRPr="006A22D3">
        <w:rPr>
          <w:noProof/>
        </w:rPr>
        <w:t xml:space="preserve"> przyszłych przepisów</w:t>
      </w:r>
      <w:r w:rsidR="006A22D3" w:rsidRPr="006A22D3">
        <w:rPr>
          <w:noProof/>
        </w:rPr>
        <w:t xml:space="preserve"> z zak</w:t>
      </w:r>
      <w:r w:rsidRPr="006A22D3">
        <w:rPr>
          <w:noProof/>
        </w:rPr>
        <w:t xml:space="preserve">resu należytej staranności. </w:t>
      </w:r>
    </w:p>
    <w:p w:rsidR="00A72440" w:rsidRPr="006A22D3" w:rsidRDefault="00A72440" w:rsidP="001C43C7">
      <w:pPr>
        <w:rPr>
          <w:rFonts w:eastAsia="Times New Roman"/>
          <w:noProof/>
        </w:rPr>
      </w:pPr>
      <w:r w:rsidRPr="006A22D3">
        <w:rPr>
          <w:noProof/>
        </w:rPr>
        <w:t>Zakłócenia są również istotne</w:t>
      </w:r>
      <w:r w:rsidR="006A22D3" w:rsidRPr="006A22D3">
        <w:rPr>
          <w:noProof/>
        </w:rPr>
        <w:t xml:space="preserve"> z pun</w:t>
      </w:r>
      <w:r w:rsidRPr="006A22D3">
        <w:rPr>
          <w:noProof/>
        </w:rPr>
        <w:t>ktu widzenia odpowiedzialności cywilnej</w:t>
      </w:r>
      <w:r w:rsidR="006A22D3" w:rsidRPr="006A22D3">
        <w:rPr>
          <w:noProof/>
        </w:rPr>
        <w:t xml:space="preserve"> w prz</w:t>
      </w:r>
      <w:r w:rsidRPr="006A22D3">
        <w:rPr>
          <w:noProof/>
        </w:rPr>
        <w:t>ypadku szkody spowodowanej</w:t>
      </w:r>
      <w:r w:rsidR="006A22D3" w:rsidRPr="006A22D3">
        <w:rPr>
          <w:noProof/>
        </w:rPr>
        <w:t xml:space="preserve"> w łań</w:t>
      </w:r>
      <w:r w:rsidRPr="006A22D3">
        <w:rPr>
          <w:noProof/>
        </w:rPr>
        <w:t>cuchu wartości przedsiębiorstwa. Niektóre krajowe ramy prawne</w:t>
      </w:r>
      <w:r w:rsidR="006A22D3" w:rsidRPr="006A22D3">
        <w:rPr>
          <w:noProof/>
        </w:rPr>
        <w:t xml:space="preserve"> w zak</w:t>
      </w:r>
      <w:r w:rsidRPr="006A22D3">
        <w:rPr>
          <w:noProof/>
        </w:rPr>
        <w:t>resie należytej staranności zawierają system zakładający natychmiastową odpowiedzialność cywilną</w:t>
      </w:r>
      <w:r w:rsidR="006A22D3" w:rsidRPr="006A22D3">
        <w:rPr>
          <w:noProof/>
        </w:rPr>
        <w:t xml:space="preserve"> w zwi</w:t>
      </w:r>
      <w:r w:rsidRPr="006A22D3">
        <w:rPr>
          <w:noProof/>
        </w:rPr>
        <w:t>ązku</w:t>
      </w:r>
      <w:r w:rsidR="006A22D3" w:rsidRPr="006A22D3">
        <w:rPr>
          <w:noProof/>
        </w:rPr>
        <w:t xml:space="preserve"> z nie</w:t>
      </w:r>
      <w:r w:rsidRPr="006A22D3">
        <w:rPr>
          <w:noProof/>
        </w:rPr>
        <w:t>dopełnieniem obowiązku należytej staranności, podczas gdy inne wyraźnie wykluczają specjalny system odpowiedzialności cywilnej</w:t>
      </w:r>
      <w:r w:rsidRPr="006A22D3">
        <w:rPr>
          <w:rStyle w:val="FootnoteReference"/>
          <w:noProof/>
        </w:rPr>
        <w:footnoteReference w:id="52"/>
      </w:r>
      <w:r w:rsidR="006A22D3" w:rsidRPr="006A22D3">
        <w:rPr>
          <w:noProof/>
        </w:rPr>
        <w:t>. W odn</w:t>
      </w:r>
      <w:r w:rsidRPr="006A22D3">
        <w:rPr>
          <w:noProof/>
        </w:rPr>
        <w:t>iesieniu do szeregu przedsiębiorstw wszczęto postępowania przed sądem ze względu na spowodowanie niekorzystnych skutków na poziomie ich spółek zależnych lub łańcuchów wartości lub niepodjęcie działań pozwalających im zapobiec. Obecnie takie sprawy rozstrzyga się na podstawie rozbieżnych przepisów</w:t>
      </w:r>
      <w:r w:rsidR="006A22D3" w:rsidRPr="006A22D3">
        <w:rPr>
          <w:noProof/>
        </w:rPr>
        <w:t>. W prz</w:t>
      </w:r>
      <w:r w:rsidRPr="006A22D3">
        <w:rPr>
          <w:noProof/>
        </w:rPr>
        <w:t>ypadku braku wspólnych przepisów rozbieżne krajowe systemy odpowiedzialności mogą prowadzić do różnych rezultatów</w:t>
      </w:r>
      <w:r w:rsidR="006A22D3" w:rsidRPr="006A22D3">
        <w:rPr>
          <w:noProof/>
        </w:rPr>
        <w:t xml:space="preserve"> w zal</w:t>
      </w:r>
      <w:r w:rsidRPr="006A22D3">
        <w:rPr>
          <w:noProof/>
        </w:rPr>
        <w:t>eżności od tego, czy mamy do czynienia</w:t>
      </w:r>
      <w:r w:rsidR="006A22D3" w:rsidRPr="006A22D3">
        <w:rPr>
          <w:noProof/>
        </w:rPr>
        <w:t xml:space="preserve"> z kon</w:t>
      </w:r>
      <w:r w:rsidRPr="006A22D3">
        <w:rPr>
          <w:noProof/>
        </w:rPr>
        <w:t>trolą właścicielską (w przypadku spółek zależnych) czy faktyczną (poprzez bezpośrednie umowy albo</w:t>
      </w:r>
      <w:r w:rsidR="006A22D3" w:rsidRPr="006A22D3">
        <w:rPr>
          <w:noProof/>
        </w:rPr>
        <w:t xml:space="preserve"> w syt</w:t>
      </w:r>
      <w:r w:rsidRPr="006A22D3">
        <w:rPr>
          <w:noProof/>
        </w:rPr>
        <w:t>uacji, gdy przedsiębiorstwo może sprawować kontrolę poprzez umowy kaskadowe lub inne dźwignie</w:t>
      </w:r>
      <w:r w:rsidR="006A22D3" w:rsidRPr="006A22D3">
        <w:rPr>
          <w:noProof/>
        </w:rPr>
        <w:t xml:space="preserve"> w poś</w:t>
      </w:r>
      <w:r w:rsidRPr="006A22D3">
        <w:rPr>
          <w:noProof/>
        </w:rPr>
        <w:t>rednich relacjach biznesowych). Taka fragmentacja doprowadziłaby do zakłócenia konkurencji na rynku wewnętrznym, ponieważ przedsiębiorstwo</w:t>
      </w:r>
      <w:r w:rsidR="006A22D3" w:rsidRPr="006A22D3">
        <w:rPr>
          <w:noProof/>
        </w:rPr>
        <w:t xml:space="preserve"> z sie</w:t>
      </w:r>
      <w:r w:rsidRPr="006A22D3">
        <w:rPr>
          <w:noProof/>
        </w:rPr>
        <w:t>dzibą</w:t>
      </w:r>
      <w:r w:rsidR="006A22D3" w:rsidRPr="006A22D3">
        <w:rPr>
          <w:noProof/>
        </w:rPr>
        <w:t xml:space="preserve"> w jed</w:t>
      </w:r>
      <w:r w:rsidRPr="006A22D3">
        <w:rPr>
          <w:noProof/>
        </w:rPr>
        <w:t>nym państwie członkowskim byłoby narażone na roszczenia odszkodowawcze</w:t>
      </w:r>
      <w:r w:rsidR="006A22D3" w:rsidRPr="006A22D3">
        <w:rPr>
          <w:noProof/>
        </w:rPr>
        <w:t xml:space="preserve"> z pow</w:t>
      </w:r>
      <w:r w:rsidRPr="006A22D3">
        <w:rPr>
          <w:noProof/>
        </w:rPr>
        <w:t>odu szkód spowodowanych</w:t>
      </w:r>
      <w:r w:rsidR="006A22D3" w:rsidRPr="006A22D3">
        <w:rPr>
          <w:noProof/>
        </w:rPr>
        <w:t xml:space="preserve"> w jeg</w:t>
      </w:r>
      <w:r w:rsidRPr="006A22D3">
        <w:rPr>
          <w:noProof/>
        </w:rPr>
        <w:t>o łańcuchu wartości, podczas gdy przedsiębiorstwo</w:t>
      </w:r>
      <w:r w:rsidR="006A22D3" w:rsidRPr="006A22D3">
        <w:rPr>
          <w:noProof/>
        </w:rPr>
        <w:t xml:space="preserve"> o tak</w:t>
      </w:r>
      <w:r w:rsidRPr="006A22D3">
        <w:rPr>
          <w:noProof/>
        </w:rPr>
        <w:t>im samym łańcuchu wartości byłoby zwolnione</w:t>
      </w:r>
      <w:r w:rsidR="006A22D3" w:rsidRPr="006A22D3">
        <w:rPr>
          <w:noProof/>
        </w:rPr>
        <w:t xml:space="preserve"> z teg</w:t>
      </w:r>
      <w:r w:rsidRPr="006A22D3">
        <w:rPr>
          <w:noProof/>
        </w:rPr>
        <w:t>o ryzyka finansowego</w:t>
      </w:r>
      <w:r w:rsidR="006A22D3" w:rsidRPr="006A22D3">
        <w:rPr>
          <w:noProof/>
        </w:rPr>
        <w:t xml:space="preserve"> i ryz</w:t>
      </w:r>
      <w:r w:rsidRPr="006A22D3">
        <w:rPr>
          <w:noProof/>
        </w:rPr>
        <w:t>yka utraty reputacji</w:t>
      </w:r>
      <w:r w:rsidR="006A22D3" w:rsidRPr="006A22D3">
        <w:rPr>
          <w:noProof/>
        </w:rPr>
        <w:t xml:space="preserve"> z pow</w:t>
      </w:r>
      <w:r w:rsidRPr="006A22D3">
        <w:rPr>
          <w:noProof/>
        </w:rPr>
        <w:t>odu odmiennych przepisów krajowych.</w:t>
      </w:r>
    </w:p>
    <w:p w:rsidR="00A72440" w:rsidRPr="006A22D3" w:rsidRDefault="00A72440" w:rsidP="001C43C7">
      <w:pPr>
        <w:rPr>
          <w:rFonts w:eastAsia="Times New Roman"/>
          <w:noProof/>
        </w:rPr>
      </w:pPr>
      <w:r w:rsidRPr="006A22D3">
        <w:rPr>
          <w:noProof/>
        </w:rPr>
        <w:t>System odpowiedzialności cywilnej będący przedmiotem wniosku zawierałby wyjaśnienie, które przepisy mają zastosowanie</w:t>
      </w:r>
      <w:r w:rsidR="006A22D3" w:rsidRPr="006A22D3">
        <w:rPr>
          <w:noProof/>
        </w:rPr>
        <w:t xml:space="preserve"> w prz</w:t>
      </w:r>
      <w:r w:rsidRPr="006A22D3">
        <w:rPr>
          <w:noProof/>
        </w:rPr>
        <w:t>ypadku wystąpienia szkody</w:t>
      </w:r>
      <w:r w:rsidR="006A22D3" w:rsidRPr="006A22D3">
        <w:rPr>
          <w:noProof/>
        </w:rPr>
        <w:t xml:space="preserve"> w ram</w:t>
      </w:r>
      <w:r w:rsidRPr="006A22D3">
        <w:rPr>
          <w:noProof/>
        </w:rPr>
        <w:t>ach własnej działalności przedsiębiorstwa, na poziomie jego jednostek zależnych oraz na poziomie bezpośrednich</w:t>
      </w:r>
      <w:r w:rsidR="006A22D3" w:rsidRPr="006A22D3">
        <w:rPr>
          <w:noProof/>
        </w:rPr>
        <w:t xml:space="preserve"> i poś</w:t>
      </w:r>
      <w:r w:rsidRPr="006A22D3">
        <w:rPr>
          <w:noProof/>
        </w:rPr>
        <w:t>rednich relacji biznesowych</w:t>
      </w:r>
      <w:r w:rsidR="006A22D3" w:rsidRPr="006A22D3">
        <w:rPr>
          <w:noProof/>
        </w:rPr>
        <w:t xml:space="preserve"> w łań</w:t>
      </w:r>
      <w:r w:rsidRPr="006A22D3">
        <w:rPr>
          <w:noProof/>
        </w:rPr>
        <w:t>cuchu wartości. Ponadto proponowany przepis dotyczący prawa właściwego ma na celu zapewnienie stosowania zharmonizowanych przepisów,</w:t>
      </w:r>
      <w:r w:rsidR="006A22D3" w:rsidRPr="006A22D3">
        <w:rPr>
          <w:noProof/>
        </w:rPr>
        <w:t xml:space="preserve"> w tym</w:t>
      </w:r>
      <w:r w:rsidRPr="006A22D3">
        <w:rPr>
          <w:noProof/>
        </w:rPr>
        <w:t xml:space="preserve"> dotyczących odpowiedzialności cywilnej, także</w:t>
      </w:r>
      <w:r w:rsidR="006A22D3" w:rsidRPr="006A22D3">
        <w:rPr>
          <w:noProof/>
        </w:rPr>
        <w:t xml:space="preserve"> w prz</w:t>
      </w:r>
      <w:r w:rsidRPr="006A22D3">
        <w:rPr>
          <w:noProof/>
        </w:rPr>
        <w:t>ypadkach,</w:t>
      </w:r>
      <w:r w:rsidR="006A22D3" w:rsidRPr="006A22D3">
        <w:rPr>
          <w:noProof/>
        </w:rPr>
        <w:t xml:space="preserve"> w któ</w:t>
      </w:r>
      <w:r w:rsidRPr="006A22D3">
        <w:rPr>
          <w:noProof/>
        </w:rPr>
        <w:t>rych prawo właściwe dla danego roszczenia nie jest prawem państwa członkowskiego. Niezbędne będzie zatem zapewnienie równych warunków działania.</w:t>
      </w:r>
    </w:p>
    <w:p w:rsidR="001859C1" w:rsidRPr="006A22D3" w:rsidRDefault="001859C1" w:rsidP="000B2095">
      <w:pPr>
        <w:pStyle w:val="ManualHeading2"/>
        <w:rPr>
          <w:noProof/>
        </w:rPr>
      </w:pPr>
      <w:r w:rsidRPr="006A22D3">
        <w:rPr>
          <w:noProof/>
        </w:rPr>
        <w:t>Pomocniczość</w:t>
      </w:r>
    </w:p>
    <w:p w:rsidR="001859C1" w:rsidRPr="006A22D3" w:rsidRDefault="001859C1">
      <w:pPr>
        <w:rPr>
          <w:noProof/>
        </w:rPr>
      </w:pPr>
      <w:r w:rsidRPr="006A22D3">
        <w:rPr>
          <w:noProof/>
        </w:rPr>
        <w:t>Po pierwsze, samo ustawodawstwo państw członkowskich</w:t>
      </w:r>
      <w:r w:rsidR="006A22D3" w:rsidRPr="006A22D3">
        <w:rPr>
          <w:noProof/>
        </w:rPr>
        <w:t xml:space="preserve"> w tej</w:t>
      </w:r>
      <w:r w:rsidRPr="006A22D3">
        <w:rPr>
          <w:noProof/>
        </w:rPr>
        <w:t xml:space="preserve"> dziedzinie prawdopodobnie nie będzie wystarczające</w:t>
      </w:r>
      <w:r w:rsidR="006A22D3" w:rsidRPr="006A22D3">
        <w:rPr>
          <w:noProof/>
        </w:rPr>
        <w:t xml:space="preserve"> i sku</w:t>
      </w:r>
      <w:r w:rsidRPr="006A22D3">
        <w:rPr>
          <w:noProof/>
        </w:rPr>
        <w:t>teczne. Jeżeli chodzi</w:t>
      </w:r>
      <w:r w:rsidR="006A22D3" w:rsidRPr="006A22D3">
        <w:rPr>
          <w:noProof/>
        </w:rPr>
        <w:t xml:space="preserve"> o kon</w:t>
      </w:r>
      <w:r w:rsidRPr="006A22D3">
        <w:rPr>
          <w:noProof/>
        </w:rPr>
        <w:t>kretne problemy transgraniczne, takie jak np. zanieczyszczenie środowiska, zmiana klimatu</w:t>
      </w:r>
      <w:r w:rsidR="006A22D3" w:rsidRPr="006A22D3">
        <w:rPr>
          <w:noProof/>
        </w:rPr>
        <w:t xml:space="preserve"> i róż</w:t>
      </w:r>
      <w:r w:rsidRPr="006A22D3">
        <w:rPr>
          <w:noProof/>
        </w:rPr>
        <w:t>norodność biologiczna, działania indywidualne są utrudnione</w:t>
      </w:r>
      <w:r w:rsidR="006A22D3" w:rsidRPr="006A22D3">
        <w:rPr>
          <w:noProof/>
        </w:rPr>
        <w:t xml:space="preserve"> w prz</w:t>
      </w:r>
      <w:r w:rsidRPr="006A22D3">
        <w:rPr>
          <w:noProof/>
        </w:rPr>
        <w:t>ypadku bezczynności innych państw członkowskich. Wywiązanie się</w:t>
      </w:r>
      <w:r w:rsidR="006A22D3" w:rsidRPr="006A22D3">
        <w:rPr>
          <w:noProof/>
        </w:rPr>
        <w:t xml:space="preserve"> z zob</w:t>
      </w:r>
      <w:r w:rsidRPr="006A22D3">
        <w:rPr>
          <w:noProof/>
        </w:rPr>
        <w:t>owiązań międzynarodowych takich jak cele porozumienia klimatycznego</w:t>
      </w:r>
      <w:r w:rsidR="006A22D3" w:rsidRPr="006A22D3">
        <w:rPr>
          <w:noProof/>
        </w:rPr>
        <w:t xml:space="preserve"> z Par</w:t>
      </w:r>
      <w:r w:rsidRPr="006A22D3">
        <w:rPr>
          <w:noProof/>
        </w:rPr>
        <w:t>yża UNFCCC</w:t>
      </w:r>
      <w:r w:rsidR="00DE36B0" w:rsidRPr="006A22D3">
        <w:rPr>
          <w:rStyle w:val="FootnoteReference"/>
          <w:noProof/>
        </w:rPr>
        <w:footnoteReference w:id="53"/>
      </w:r>
      <w:r w:rsidRPr="006A22D3">
        <w:rPr>
          <w:noProof/>
        </w:rPr>
        <w:t>, Konwencji</w:t>
      </w:r>
      <w:r w:rsidR="006A22D3" w:rsidRPr="006A22D3">
        <w:rPr>
          <w:noProof/>
        </w:rPr>
        <w:t xml:space="preserve"> o róż</w:t>
      </w:r>
      <w:r w:rsidRPr="006A22D3">
        <w:rPr>
          <w:noProof/>
        </w:rPr>
        <w:t>norodności biologicznej oraz innych wielostronnych umów środowiskowych, wyłącznie poprzez działania poszczególnych państw członkowskich jest mało prawdopodobne. Ponadto ryzyko wynikające</w:t>
      </w:r>
      <w:r w:rsidR="006A22D3" w:rsidRPr="006A22D3">
        <w:rPr>
          <w:noProof/>
        </w:rPr>
        <w:t xml:space="preserve"> z nie</w:t>
      </w:r>
      <w:r w:rsidRPr="006A22D3">
        <w:rPr>
          <w:noProof/>
        </w:rPr>
        <w:t>korzystnego wpływu na prawa człowieka</w:t>
      </w:r>
      <w:r w:rsidR="006A22D3" w:rsidRPr="006A22D3">
        <w:rPr>
          <w:noProof/>
        </w:rPr>
        <w:t xml:space="preserve"> i śro</w:t>
      </w:r>
      <w:r w:rsidRPr="006A22D3">
        <w:rPr>
          <w:noProof/>
        </w:rPr>
        <w:t>dowisko</w:t>
      </w:r>
      <w:r w:rsidR="006A22D3" w:rsidRPr="006A22D3">
        <w:rPr>
          <w:noProof/>
        </w:rPr>
        <w:t xml:space="preserve"> w łań</w:t>
      </w:r>
      <w:r w:rsidRPr="006A22D3">
        <w:rPr>
          <w:noProof/>
        </w:rPr>
        <w:t>cuchach wartości przedsiębiorstw ma często skutki transgraniczne (np. zanieczyszczenie środowiska, ponadnarodowe łańcuchy dostaw</w:t>
      </w:r>
      <w:r w:rsidR="006A22D3" w:rsidRPr="006A22D3">
        <w:rPr>
          <w:noProof/>
        </w:rPr>
        <w:t xml:space="preserve"> i war</w:t>
      </w:r>
      <w:r w:rsidRPr="006A22D3">
        <w:rPr>
          <w:noProof/>
        </w:rPr>
        <w:t>tości).</w:t>
      </w:r>
    </w:p>
    <w:p w:rsidR="001859C1" w:rsidRPr="006A22D3" w:rsidRDefault="001859C1">
      <w:pPr>
        <w:rPr>
          <w:rFonts w:eastAsia="Times New Roman"/>
          <w:noProof/>
        </w:rPr>
      </w:pPr>
      <w:r w:rsidRPr="006A22D3">
        <w:rPr>
          <w:noProof/>
        </w:rPr>
        <w:t>Po drugie, wiele przedsiębiorstw prowadzi działalność</w:t>
      </w:r>
      <w:r w:rsidR="006A22D3" w:rsidRPr="006A22D3">
        <w:rPr>
          <w:noProof/>
        </w:rPr>
        <w:t xml:space="preserve"> w cał</w:t>
      </w:r>
      <w:r w:rsidRPr="006A22D3">
        <w:rPr>
          <w:noProof/>
        </w:rPr>
        <w:t>ej UE lub na całym świecie – łańcuchy wartości rozszerzają się na inne państwa członkowskie Unii</w:t>
      </w:r>
      <w:r w:rsidR="006A22D3" w:rsidRPr="006A22D3">
        <w:rPr>
          <w:noProof/>
        </w:rPr>
        <w:t xml:space="preserve"> i w cor</w:t>
      </w:r>
      <w:r w:rsidRPr="006A22D3">
        <w:rPr>
          <w:noProof/>
        </w:rPr>
        <w:t>az większym stopniu na państwa trzecie. Inwestorzy instytucjonalni, którzy inwestują ponad granicami, posiadają dużą część (38</w:t>
      </w:r>
      <w:r w:rsidR="00192E90" w:rsidRPr="006A22D3">
        <w:rPr>
          <w:noProof/>
        </w:rPr>
        <w:t> </w:t>
      </w:r>
      <w:r w:rsidRPr="006A22D3">
        <w:rPr>
          <w:noProof/>
        </w:rPr>
        <w:t>%</w:t>
      </w:r>
      <w:r w:rsidRPr="006A22D3">
        <w:rPr>
          <w:rStyle w:val="FootnoteReference"/>
          <w:noProof/>
        </w:rPr>
        <w:footnoteReference w:id="54"/>
      </w:r>
      <w:r w:rsidRPr="006A22D3">
        <w:rPr>
          <w:noProof/>
        </w:rPr>
        <w:t>) całkowitej kapitalizacji rynkowej dużych europejskich spółek giełdowych, dlatego też wiele przedsiębiorstw ma własność transgraniczną, a na ich działalność wpływają przepisy</w:t>
      </w:r>
      <w:r w:rsidR="006A22D3" w:rsidRPr="006A22D3">
        <w:rPr>
          <w:noProof/>
        </w:rPr>
        <w:t xml:space="preserve"> w nie</w:t>
      </w:r>
      <w:r w:rsidRPr="006A22D3">
        <w:rPr>
          <w:noProof/>
        </w:rPr>
        <w:t>których krajach lub brak działań</w:t>
      </w:r>
      <w:r w:rsidR="006A22D3" w:rsidRPr="006A22D3">
        <w:rPr>
          <w:noProof/>
        </w:rPr>
        <w:t xml:space="preserve"> w inn</w:t>
      </w:r>
      <w:r w:rsidRPr="006A22D3">
        <w:rPr>
          <w:noProof/>
        </w:rPr>
        <w:t>ych. Jest to jeden</w:t>
      </w:r>
      <w:r w:rsidR="006A22D3" w:rsidRPr="006A22D3">
        <w:rPr>
          <w:noProof/>
        </w:rPr>
        <w:t xml:space="preserve"> z pow</w:t>
      </w:r>
      <w:r w:rsidRPr="006A22D3">
        <w:rPr>
          <w:noProof/>
        </w:rPr>
        <w:t>odów, dla których czołowe przedsiębiorstwa prawdopodobnie niechętnie podejmują dalsze kroki</w:t>
      </w:r>
      <w:r w:rsidR="006A22D3" w:rsidRPr="006A22D3">
        <w:rPr>
          <w:noProof/>
        </w:rPr>
        <w:t xml:space="preserve"> w roz</w:t>
      </w:r>
      <w:r w:rsidRPr="006A22D3">
        <w:rPr>
          <w:noProof/>
        </w:rPr>
        <w:t>wiązywaniu problemów związanych ze zrównoważonym rozwojem,</w:t>
      </w:r>
      <w:r w:rsidR="006A22D3" w:rsidRPr="006A22D3">
        <w:rPr>
          <w:noProof/>
        </w:rPr>
        <w:t xml:space="preserve"> w tym</w:t>
      </w:r>
      <w:r w:rsidRPr="006A22D3">
        <w:rPr>
          <w:noProof/>
        </w:rPr>
        <w:t xml:space="preserve"> problemów występujących obecnie</w:t>
      </w:r>
      <w:r w:rsidR="006A22D3" w:rsidRPr="006A22D3">
        <w:rPr>
          <w:noProof/>
        </w:rPr>
        <w:t xml:space="preserve"> w łań</w:t>
      </w:r>
      <w:r w:rsidRPr="006A22D3">
        <w:rPr>
          <w:noProof/>
        </w:rPr>
        <w:t>cuchach wartości</w:t>
      </w:r>
      <w:r w:rsidRPr="006A22D3">
        <w:rPr>
          <w:rStyle w:val="FootnoteReference"/>
          <w:noProof/>
        </w:rPr>
        <w:footnoteReference w:id="55"/>
      </w:r>
      <w:r w:rsidRPr="006A22D3">
        <w:rPr>
          <w:noProof/>
        </w:rPr>
        <w:t>,</w:t>
      </w:r>
      <w:r w:rsidR="006A22D3" w:rsidRPr="006A22D3">
        <w:rPr>
          <w:noProof/>
        </w:rPr>
        <w:t xml:space="preserve"> i dom</w:t>
      </w:r>
      <w:r w:rsidRPr="006A22D3">
        <w:rPr>
          <w:noProof/>
        </w:rPr>
        <w:t>agają się zapewnienia równych warunków działania</w:t>
      </w:r>
      <w:r w:rsidR="006A22D3" w:rsidRPr="006A22D3">
        <w:rPr>
          <w:noProof/>
        </w:rPr>
        <w:t xml:space="preserve"> w wym</w:t>
      </w:r>
      <w:r w:rsidRPr="006A22D3">
        <w:rPr>
          <w:noProof/>
        </w:rPr>
        <w:t xml:space="preserve">iarze transgranicznym. </w:t>
      </w:r>
    </w:p>
    <w:p w:rsidR="001859C1" w:rsidRPr="006A22D3" w:rsidRDefault="001859C1">
      <w:pPr>
        <w:rPr>
          <w:noProof/>
          <w:szCs w:val="24"/>
        </w:rPr>
      </w:pPr>
      <w:r w:rsidRPr="006A22D3">
        <w:rPr>
          <w:noProof/>
        </w:rPr>
        <w:t>Po trzecie, przedsiębiorstwa działające na rynku wewnętrznym</w:t>
      </w:r>
      <w:r w:rsidR="006A22D3" w:rsidRPr="006A22D3">
        <w:rPr>
          <w:noProof/>
        </w:rPr>
        <w:t xml:space="preserve"> i poz</w:t>
      </w:r>
      <w:r w:rsidRPr="006A22D3">
        <w:rPr>
          <w:noProof/>
        </w:rPr>
        <w:t>a nim potrzebują pewności prawa</w:t>
      </w:r>
      <w:r w:rsidR="006A22D3" w:rsidRPr="006A22D3">
        <w:rPr>
          <w:noProof/>
        </w:rPr>
        <w:t xml:space="preserve"> i rów</w:t>
      </w:r>
      <w:r w:rsidRPr="006A22D3">
        <w:rPr>
          <w:noProof/>
        </w:rPr>
        <w:t>nych warunków działania dla swojego zrównoważonego rozwoju. Niektóre państwa członkowskie niedawno wprowadziły przepisy dotyczące należytej staranności</w:t>
      </w:r>
      <w:r w:rsidRPr="006A22D3">
        <w:rPr>
          <w:rStyle w:val="FootnoteReference"/>
          <w:noProof/>
        </w:rPr>
        <w:footnoteReference w:id="56"/>
      </w:r>
      <w:r w:rsidRPr="006A22D3">
        <w:rPr>
          <w:noProof/>
        </w:rPr>
        <w:t>, podczas gdy inne są</w:t>
      </w:r>
      <w:r w:rsidR="006A22D3" w:rsidRPr="006A22D3">
        <w:rPr>
          <w:noProof/>
        </w:rPr>
        <w:t xml:space="preserve"> w tra</w:t>
      </w:r>
      <w:r w:rsidRPr="006A22D3">
        <w:rPr>
          <w:noProof/>
        </w:rPr>
        <w:t>kcie procesu legislacyjnego lub rozważają podjęcie działań</w:t>
      </w:r>
      <w:r w:rsidRPr="006A22D3">
        <w:rPr>
          <w:rStyle w:val="FootnoteReference"/>
          <w:noProof/>
        </w:rPr>
        <w:footnoteReference w:id="57"/>
      </w:r>
      <w:r w:rsidRPr="006A22D3">
        <w:rPr>
          <w:noProof/>
        </w:rPr>
        <w:t>. Obowiązujące przepisy państw członkowskich oraz przepisy będące</w:t>
      </w:r>
      <w:r w:rsidR="006A22D3" w:rsidRPr="006A22D3">
        <w:rPr>
          <w:noProof/>
        </w:rPr>
        <w:t xml:space="preserve"> w prz</w:t>
      </w:r>
      <w:r w:rsidRPr="006A22D3">
        <w:rPr>
          <w:noProof/>
        </w:rPr>
        <w:t>ygotowaniu już zawierają rozbieżne wymogi,</w:t>
      </w:r>
      <w:r w:rsidR="006A22D3" w:rsidRPr="006A22D3">
        <w:rPr>
          <w:noProof/>
        </w:rPr>
        <w:t xml:space="preserve"> a w prz</w:t>
      </w:r>
      <w:r w:rsidRPr="006A22D3">
        <w:rPr>
          <w:noProof/>
        </w:rPr>
        <w:t>yszłości mogą zawierać ich więcej, co może spowodować, że przepisy te będą nieskuteczne,</w:t>
      </w:r>
      <w:r w:rsidR="006A22D3" w:rsidRPr="006A22D3">
        <w:rPr>
          <w:noProof/>
        </w:rPr>
        <w:t xml:space="preserve"> i pro</w:t>
      </w:r>
      <w:r w:rsidRPr="006A22D3">
        <w:rPr>
          <w:noProof/>
        </w:rPr>
        <w:t>wadzić do nierównych warunków działania. Rozbieżne przepisy dotyczące należytej staranności wywierają ogromne skutki pośrednie dla dostawców zaopatrujących różne przedsiębiorstwa podlegające różnym przepisom, ponieważ obowiązki te przekładają się</w:t>
      </w:r>
      <w:r w:rsidR="006A22D3" w:rsidRPr="006A22D3">
        <w:rPr>
          <w:noProof/>
        </w:rPr>
        <w:t xml:space="preserve"> w pra</w:t>
      </w:r>
      <w:r w:rsidRPr="006A22D3">
        <w:rPr>
          <w:noProof/>
        </w:rPr>
        <w:t>ktyce na klauzule umowne. Znaczne różnice</w:t>
      </w:r>
      <w:r w:rsidR="006A22D3" w:rsidRPr="006A22D3">
        <w:rPr>
          <w:noProof/>
        </w:rPr>
        <w:t xml:space="preserve"> w wym</w:t>
      </w:r>
      <w:r w:rsidRPr="006A22D3">
        <w:rPr>
          <w:noProof/>
        </w:rPr>
        <w:t>ogach</w:t>
      </w:r>
      <w:r w:rsidR="006A22D3" w:rsidRPr="006A22D3">
        <w:rPr>
          <w:noProof/>
        </w:rPr>
        <w:t xml:space="preserve"> w zak</w:t>
      </w:r>
      <w:r w:rsidRPr="006A22D3">
        <w:rPr>
          <w:noProof/>
        </w:rPr>
        <w:t>resie należytej staranności</w:t>
      </w:r>
      <w:r w:rsidR="006A22D3" w:rsidRPr="006A22D3">
        <w:rPr>
          <w:noProof/>
        </w:rPr>
        <w:t xml:space="preserve"> w pos</w:t>
      </w:r>
      <w:r w:rsidRPr="006A22D3">
        <w:rPr>
          <w:noProof/>
        </w:rPr>
        <w:t>zczególnych państwach członkowskich skutkują niepewnością prawa, fragmentacją jednolitego rynku, dodatkowymi kosztami oraz złożonością dla przedsiębiorstw</w:t>
      </w:r>
      <w:r w:rsidR="006A22D3" w:rsidRPr="006A22D3">
        <w:rPr>
          <w:noProof/>
        </w:rPr>
        <w:t xml:space="preserve"> i ich</w:t>
      </w:r>
      <w:r w:rsidRPr="006A22D3">
        <w:rPr>
          <w:noProof/>
        </w:rPr>
        <w:t xml:space="preserve"> inwestorów działających</w:t>
      </w:r>
      <w:r w:rsidR="006A22D3" w:rsidRPr="006A22D3">
        <w:rPr>
          <w:noProof/>
        </w:rPr>
        <w:t xml:space="preserve"> w ska</w:t>
      </w:r>
      <w:r w:rsidRPr="006A22D3">
        <w:rPr>
          <w:noProof/>
        </w:rPr>
        <w:t>li transgranicznej,</w:t>
      </w:r>
      <w:r w:rsidR="006A22D3" w:rsidRPr="006A22D3">
        <w:rPr>
          <w:noProof/>
        </w:rPr>
        <w:t xml:space="preserve"> a tak</w:t>
      </w:r>
      <w:r w:rsidRPr="006A22D3">
        <w:rPr>
          <w:noProof/>
        </w:rPr>
        <w:t>że dla innych zainteresowanych stron. Działania UE mogą temu zapobiec</w:t>
      </w:r>
      <w:r w:rsidR="006A22D3" w:rsidRPr="006A22D3">
        <w:rPr>
          <w:noProof/>
        </w:rPr>
        <w:t xml:space="preserve"> i dla</w:t>
      </w:r>
      <w:r w:rsidRPr="006A22D3">
        <w:rPr>
          <w:noProof/>
        </w:rPr>
        <w:t>tego mają wartość dodaną.</w:t>
      </w:r>
    </w:p>
    <w:p w:rsidR="006B5430" w:rsidRPr="006A22D3" w:rsidRDefault="001859C1">
      <w:pPr>
        <w:rPr>
          <w:noProof/>
          <w:szCs w:val="24"/>
        </w:rPr>
      </w:pPr>
      <w:r w:rsidRPr="006A22D3">
        <w:rPr>
          <w:noProof/>
        </w:rPr>
        <w:t>Ponadto</w:t>
      </w:r>
      <w:r w:rsidR="006A22D3" w:rsidRPr="006A22D3">
        <w:rPr>
          <w:noProof/>
        </w:rPr>
        <w:t xml:space="preserve"> w por</w:t>
      </w:r>
      <w:r w:rsidRPr="006A22D3">
        <w:rPr>
          <w:noProof/>
        </w:rPr>
        <w:t>ównaniu</w:t>
      </w:r>
      <w:r w:rsidR="006A22D3" w:rsidRPr="006A22D3">
        <w:rPr>
          <w:noProof/>
        </w:rPr>
        <w:t xml:space="preserve"> z ind</w:t>
      </w:r>
      <w:r w:rsidRPr="006A22D3">
        <w:rPr>
          <w:noProof/>
        </w:rPr>
        <w:t>ywidualnymi działaniami państw członkowskich interwencja UE może zapewnić silny głos Europy</w:t>
      </w:r>
      <w:r w:rsidR="006A22D3" w:rsidRPr="006A22D3">
        <w:rPr>
          <w:noProof/>
        </w:rPr>
        <w:t xml:space="preserve"> w ksz</w:t>
      </w:r>
      <w:r w:rsidRPr="006A22D3">
        <w:rPr>
          <w:noProof/>
        </w:rPr>
        <w:t>tałtowaniu polityki na poziomie globalnym</w:t>
      </w:r>
      <w:bookmarkStart w:id="5" w:name="_Ref81913680"/>
      <w:r w:rsidRPr="006A22D3">
        <w:rPr>
          <w:rStyle w:val="FootnoteReference"/>
          <w:noProof/>
        </w:rPr>
        <w:footnoteReference w:id="58"/>
      </w:r>
      <w:bookmarkEnd w:id="5"/>
      <w:r w:rsidRPr="006A22D3">
        <w:rPr>
          <w:noProof/>
        </w:rPr>
        <w:t xml:space="preserve">. </w:t>
      </w:r>
    </w:p>
    <w:p w:rsidR="006B5430" w:rsidRPr="006A22D3" w:rsidRDefault="001859C1" w:rsidP="000B2095">
      <w:pPr>
        <w:pStyle w:val="ManualHeading2"/>
        <w:rPr>
          <w:noProof/>
        </w:rPr>
      </w:pPr>
      <w:r w:rsidRPr="006A22D3">
        <w:rPr>
          <w:noProof/>
        </w:rPr>
        <w:t>Proporcjonalność</w:t>
      </w:r>
    </w:p>
    <w:p w:rsidR="001859C1" w:rsidRPr="006A22D3" w:rsidRDefault="004C1255">
      <w:pPr>
        <w:rPr>
          <w:rFonts w:eastAsia="Times New Roman"/>
          <w:noProof/>
        </w:rPr>
      </w:pPr>
      <w:r w:rsidRPr="006A22D3">
        <w:rPr>
          <w:noProof/>
        </w:rPr>
        <w:t>Obciążenie nałożone na przedsiębiorstwa</w:t>
      </w:r>
      <w:r w:rsidR="006A22D3" w:rsidRPr="006A22D3">
        <w:rPr>
          <w:noProof/>
        </w:rPr>
        <w:t xml:space="preserve"> w zwi</w:t>
      </w:r>
      <w:r w:rsidRPr="006A22D3">
        <w:rPr>
          <w:noProof/>
        </w:rPr>
        <w:t>ązku</w:t>
      </w:r>
      <w:r w:rsidR="006A22D3" w:rsidRPr="006A22D3">
        <w:rPr>
          <w:noProof/>
        </w:rPr>
        <w:t xml:space="preserve"> z kos</w:t>
      </w:r>
      <w:r w:rsidRPr="006A22D3">
        <w:rPr>
          <w:noProof/>
        </w:rPr>
        <w:t>ztami przestrzegania przepisów dostosowano do wielkości przedsiębiorstwa</w:t>
      </w:r>
      <w:r w:rsidR="006A22D3" w:rsidRPr="006A22D3">
        <w:rPr>
          <w:noProof/>
        </w:rPr>
        <w:t xml:space="preserve"> i zas</w:t>
      </w:r>
      <w:r w:rsidRPr="006A22D3">
        <w:rPr>
          <w:noProof/>
        </w:rPr>
        <w:t>obów, którymi dysponuje, oraz jego profilu ryzyka. Przedsiębiorstwa będą musiały wprowadzać wyłącznie odpowiednie środki, które są współmierne do stopnia dotkliwości</w:t>
      </w:r>
      <w:r w:rsidR="006A22D3" w:rsidRPr="006A22D3">
        <w:rPr>
          <w:noProof/>
        </w:rPr>
        <w:t xml:space="preserve"> i pra</w:t>
      </w:r>
      <w:r w:rsidRPr="006A22D3">
        <w:rPr>
          <w:noProof/>
        </w:rPr>
        <w:t>wdopodobieństwa wystąpienia niekorzystnych skutków oraz do których przedsiębiorstwo ma racjonalny dostęp, uwzględniając okoliczności konkretnego przypadku,</w:t>
      </w:r>
      <w:r w:rsidR="006A22D3" w:rsidRPr="006A22D3">
        <w:rPr>
          <w:noProof/>
        </w:rPr>
        <w:t xml:space="preserve"> w tym</w:t>
      </w:r>
      <w:r w:rsidRPr="006A22D3">
        <w:rPr>
          <w:noProof/>
        </w:rPr>
        <w:t xml:space="preserve"> charakterystykę sektora gospodarki</w:t>
      </w:r>
      <w:r w:rsidR="006A22D3" w:rsidRPr="006A22D3">
        <w:rPr>
          <w:noProof/>
        </w:rPr>
        <w:t xml:space="preserve"> i kon</w:t>
      </w:r>
      <w:r w:rsidRPr="006A22D3">
        <w:rPr>
          <w:noProof/>
        </w:rPr>
        <w:t>kretnych relacji biznesowych oraz wpływ przedsiębiorstwa na te relacje,</w:t>
      </w:r>
      <w:r w:rsidR="006A22D3" w:rsidRPr="006A22D3">
        <w:rPr>
          <w:noProof/>
        </w:rPr>
        <w:t xml:space="preserve"> a tak</w:t>
      </w:r>
      <w:r w:rsidRPr="006A22D3">
        <w:rPr>
          <w:noProof/>
        </w:rPr>
        <w:t>że potrzebę zapewnienia priorytetowego traktowania działań</w:t>
      </w:r>
      <w:r w:rsidR="006A22D3" w:rsidRPr="006A22D3">
        <w:rPr>
          <w:noProof/>
        </w:rPr>
        <w:t>. W tym</w:t>
      </w:r>
      <w:r w:rsidRPr="006A22D3">
        <w:rPr>
          <w:noProof/>
        </w:rPr>
        <w:t xml:space="preserve"> celu ograniczono zakres przedmiotowy</w:t>
      </w:r>
      <w:r w:rsidR="006A22D3" w:rsidRPr="006A22D3">
        <w:rPr>
          <w:noProof/>
        </w:rPr>
        <w:t xml:space="preserve"> i pod</w:t>
      </w:r>
      <w:r w:rsidRPr="006A22D3">
        <w:rPr>
          <w:noProof/>
        </w:rPr>
        <w:t>miotowy oraz przepisy dotyczące egzekwowania, jak wyjaśniono poniżej.</w:t>
      </w:r>
    </w:p>
    <w:p w:rsidR="001859C1" w:rsidRPr="006A22D3" w:rsidRDefault="001859C1">
      <w:pPr>
        <w:rPr>
          <w:noProof/>
        </w:rPr>
      </w:pPr>
      <w:r w:rsidRPr="006A22D3">
        <w:rPr>
          <w:noProof/>
        </w:rPr>
        <w:t>Jeśli chodzi o „zakres podmiotowy” obowiązków</w:t>
      </w:r>
      <w:r w:rsidR="006A22D3" w:rsidRPr="006A22D3">
        <w:rPr>
          <w:noProof/>
        </w:rPr>
        <w:t xml:space="preserve"> w zak</w:t>
      </w:r>
      <w:r w:rsidRPr="006A22D3">
        <w:rPr>
          <w:noProof/>
        </w:rPr>
        <w:t>resie należytej staranności (tj. objętych nim kategorii przedsiębiorstw),</w:t>
      </w:r>
      <w:r w:rsidR="006A22D3" w:rsidRPr="006A22D3">
        <w:rPr>
          <w:noProof/>
        </w:rPr>
        <w:t xml:space="preserve"> z obo</w:t>
      </w:r>
      <w:r w:rsidRPr="006A22D3">
        <w:rPr>
          <w:noProof/>
        </w:rPr>
        <w:t>wiązku dochowania należytej staranności wyłączone są małe</w:t>
      </w:r>
      <w:r w:rsidR="006A22D3" w:rsidRPr="006A22D3">
        <w:rPr>
          <w:noProof/>
        </w:rPr>
        <w:t xml:space="preserve"> i śre</w:t>
      </w:r>
      <w:r w:rsidRPr="006A22D3">
        <w:rPr>
          <w:noProof/>
        </w:rPr>
        <w:t>dnie przedsiębiorstwa (MŚP), do których należą mikroprzedsiębiorstwa</w:t>
      </w:r>
      <w:r w:rsidR="006A22D3" w:rsidRPr="006A22D3">
        <w:rPr>
          <w:noProof/>
        </w:rPr>
        <w:t xml:space="preserve"> i któ</w:t>
      </w:r>
      <w:r w:rsidRPr="006A22D3">
        <w:rPr>
          <w:noProof/>
        </w:rPr>
        <w:t>re stanowią ogółem około 99</w:t>
      </w:r>
      <w:r w:rsidR="00192E90" w:rsidRPr="006A22D3">
        <w:rPr>
          <w:noProof/>
        </w:rPr>
        <w:t> </w:t>
      </w:r>
      <w:r w:rsidRPr="006A22D3">
        <w:rPr>
          <w:noProof/>
        </w:rPr>
        <w:t>% wszystkich przedsiębiorstw</w:t>
      </w:r>
      <w:r w:rsidR="006A22D3" w:rsidRPr="006A22D3">
        <w:rPr>
          <w:noProof/>
        </w:rPr>
        <w:t xml:space="preserve"> w Uni</w:t>
      </w:r>
      <w:r w:rsidRPr="006A22D3">
        <w:rPr>
          <w:noProof/>
        </w:rPr>
        <w:t>i</w:t>
      </w:r>
      <w:r w:rsidR="006A22D3" w:rsidRPr="006A22D3">
        <w:rPr>
          <w:noProof/>
        </w:rPr>
        <w:t>. W prz</w:t>
      </w:r>
      <w:r w:rsidRPr="006A22D3">
        <w:rPr>
          <w:noProof/>
        </w:rPr>
        <w:t>ypadku tej kategorii przedsiębiorstw obciążenia finansowe</w:t>
      </w:r>
      <w:r w:rsidR="006A22D3" w:rsidRPr="006A22D3">
        <w:rPr>
          <w:noProof/>
        </w:rPr>
        <w:t xml:space="preserve"> i adm</w:t>
      </w:r>
      <w:r w:rsidRPr="006A22D3">
        <w:rPr>
          <w:noProof/>
        </w:rPr>
        <w:t>inistracyjne związane</w:t>
      </w:r>
      <w:r w:rsidR="006A22D3" w:rsidRPr="006A22D3">
        <w:rPr>
          <w:noProof/>
        </w:rPr>
        <w:t xml:space="preserve"> z ust</w:t>
      </w:r>
      <w:r w:rsidRPr="006A22D3">
        <w:rPr>
          <w:noProof/>
        </w:rPr>
        <w:t>anowieniem</w:t>
      </w:r>
      <w:r w:rsidR="006A22D3" w:rsidRPr="006A22D3">
        <w:rPr>
          <w:noProof/>
        </w:rPr>
        <w:t xml:space="preserve"> i wdr</w:t>
      </w:r>
      <w:r w:rsidRPr="006A22D3">
        <w:rPr>
          <w:noProof/>
        </w:rPr>
        <w:t>ożeniem procedury należytej staranności byłyby stosunkowo wysokie</w:t>
      </w:r>
      <w:r w:rsidR="006A22D3" w:rsidRPr="006A22D3">
        <w:rPr>
          <w:noProof/>
        </w:rPr>
        <w:t>. W wię</w:t>
      </w:r>
      <w:r w:rsidRPr="006A22D3">
        <w:rPr>
          <w:noProof/>
        </w:rPr>
        <w:t>kszości przypadków nie dysponują one ustanowionymi uprzednio mechanizmami należytej staranności,</w:t>
      </w:r>
      <w:r w:rsidR="006A22D3" w:rsidRPr="006A22D3">
        <w:rPr>
          <w:noProof/>
        </w:rPr>
        <w:t xml:space="preserve"> a tak</w:t>
      </w:r>
      <w:r w:rsidRPr="006A22D3">
        <w:rPr>
          <w:noProof/>
        </w:rPr>
        <w:t>że nie dysponują wiedzą specjalistyczną ani wyspecjalizowanym personelem,</w:t>
      </w:r>
      <w:r w:rsidR="006A22D3" w:rsidRPr="006A22D3">
        <w:rPr>
          <w:noProof/>
        </w:rPr>
        <w:t xml:space="preserve"> a kos</w:t>
      </w:r>
      <w:r w:rsidRPr="006A22D3">
        <w:rPr>
          <w:noProof/>
        </w:rPr>
        <w:t>zty dochowania należytej staranności byłyby dla nich nieproporcjonalnie wysokie. Przedsiębiorstwa te będą jednak narażone na poniesienie części kosztów</w:t>
      </w:r>
      <w:r w:rsidR="006A22D3" w:rsidRPr="006A22D3">
        <w:rPr>
          <w:noProof/>
        </w:rPr>
        <w:t xml:space="preserve"> i obc</w:t>
      </w:r>
      <w:r w:rsidRPr="006A22D3">
        <w:rPr>
          <w:noProof/>
        </w:rPr>
        <w:t>iążeń przez relacje biznesowe</w:t>
      </w:r>
      <w:r w:rsidR="006A22D3" w:rsidRPr="006A22D3">
        <w:rPr>
          <w:noProof/>
        </w:rPr>
        <w:t xml:space="preserve"> z prz</w:t>
      </w:r>
      <w:r w:rsidRPr="006A22D3">
        <w:rPr>
          <w:noProof/>
        </w:rPr>
        <w:t>edsiębiorstwami objętymi zakresem wspomnianego obowiązku, ponieważ oczekuje się, że duże przedsiębiorstwa przeniosą wymagania na swoich dostawców</w:t>
      </w:r>
      <w:r w:rsidR="006A22D3" w:rsidRPr="006A22D3">
        <w:rPr>
          <w:noProof/>
        </w:rPr>
        <w:t>. W zwi</w:t>
      </w:r>
      <w:r w:rsidRPr="006A22D3">
        <w:rPr>
          <w:noProof/>
        </w:rPr>
        <w:t>ązku</w:t>
      </w:r>
      <w:r w:rsidR="006A22D3" w:rsidRPr="006A22D3">
        <w:rPr>
          <w:noProof/>
        </w:rPr>
        <w:t xml:space="preserve"> z tym</w:t>
      </w:r>
      <w:r w:rsidRPr="006A22D3">
        <w:rPr>
          <w:noProof/>
        </w:rPr>
        <w:t xml:space="preserve"> konieczne będą środki wspierające, które pomogą MŚP</w:t>
      </w:r>
      <w:r w:rsidR="006A22D3" w:rsidRPr="006A22D3">
        <w:rPr>
          <w:noProof/>
        </w:rPr>
        <w:t xml:space="preserve"> w bud</w:t>
      </w:r>
      <w:r w:rsidRPr="006A22D3">
        <w:rPr>
          <w:noProof/>
        </w:rPr>
        <w:t>owaniu zdolności operacyjnych</w:t>
      </w:r>
      <w:r w:rsidR="006A22D3" w:rsidRPr="006A22D3">
        <w:rPr>
          <w:noProof/>
        </w:rPr>
        <w:t xml:space="preserve"> i fin</w:t>
      </w:r>
      <w:r w:rsidRPr="006A22D3">
        <w:rPr>
          <w:noProof/>
        </w:rPr>
        <w:t>ansowych. Przedsiębiorstwa, których partnerami biznesowymi są MŚP, są również zobowiązane do wspierania ich</w:t>
      </w:r>
      <w:r w:rsidR="006A22D3" w:rsidRPr="006A22D3">
        <w:rPr>
          <w:noProof/>
        </w:rPr>
        <w:t xml:space="preserve"> w spe</w:t>
      </w:r>
      <w:r w:rsidRPr="006A22D3">
        <w:rPr>
          <w:noProof/>
        </w:rPr>
        <w:t>łnianiu wymogów</w:t>
      </w:r>
      <w:r w:rsidR="006A22D3" w:rsidRPr="006A22D3">
        <w:rPr>
          <w:noProof/>
        </w:rPr>
        <w:t xml:space="preserve"> w zak</w:t>
      </w:r>
      <w:r w:rsidRPr="006A22D3">
        <w:rPr>
          <w:noProof/>
        </w:rPr>
        <w:t>resie należytej staranności,</w:t>
      </w:r>
      <w:r w:rsidR="006A22D3" w:rsidRPr="006A22D3">
        <w:rPr>
          <w:noProof/>
        </w:rPr>
        <w:t xml:space="preserve"> w prz</w:t>
      </w:r>
      <w:r w:rsidRPr="006A22D3">
        <w:rPr>
          <w:noProof/>
        </w:rPr>
        <w:t>ypadku gdy takie wymogi mogłyby zagrozić rentowności MŚP. Ponadto łańcuch wartości sektora finansowego nie obejmuje MŚP, które otrzymują pożyczki, kredyty, finansowanie, ubezpieczenia lub reasekurację. Jednocześnie narażenie pojedynczego MŚP na niekorzystne skutki dla zrównoważonego rozwoju będzie</w:t>
      </w:r>
      <w:r w:rsidR="006A22D3" w:rsidRPr="006A22D3">
        <w:rPr>
          <w:noProof/>
        </w:rPr>
        <w:t xml:space="preserve"> z reg</w:t>
      </w:r>
      <w:r w:rsidRPr="006A22D3">
        <w:rPr>
          <w:noProof/>
        </w:rPr>
        <w:t>uły niższe niż narażenie większych przedsiębiorstw. Dlatego też bardzo duże przedsiębiorstwa</w:t>
      </w:r>
      <w:r w:rsidR="00C6772E" w:rsidRPr="006A22D3">
        <w:rPr>
          <w:rStyle w:val="FootnoteReference"/>
          <w:rFonts w:eastAsia="Times New Roman"/>
          <w:noProof/>
          <w:lang w:eastAsia="fr-BE"/>
        </w:rPr>
        <w:footnoteReference w:id="59"/>
      </w:r>
      <w:r w:rsidRPr="006A22D3">
        <w:rPr>
          <w:noProof/>
        </w:rPr>
        <w:t xml:space="preserve"> zostaną objęte obowiązkiem</w:t>
      </w:r>
      <w:r w:rsidR="006A22D3" w:rsidRPr="006A22D3">
        <w:rPr>
          <w:noProof/>
        </w:rPr>
        <w:t xml:space="preserve"> w zak</w:t>
      </w:r>
      <w:r w:rsidRPr="006A22D3">
        <w:rPr>
          <w:noProof/>
        </w:rPr>
        <w:t>resie należytej staranności</w:t>
      </w:r>
      <w:r w:rsidR="006A22D3" w:rsidRPr="006A22D3">
        <w:rPr>
          <w:noProof/>
        </w:rPr>
        <w:t xml:space="preserve"> w peł</w:t>
      </w:r>
      <w:r w:rsidRPr="006A22D3">
        <w:rPr>
          <w:noProof/>
        </w:rPr>
        <w:t>nym zakresie, również dlatego, że wiele</w:t>
      </w:r>
      <w:r w:rsidR="006A22D3" w:rsidRPr="006A22D3">
        <w:rPr>
          <w:noProof/>
        </w:rPr>
        <w:t xml:space="preserve"> z nic</w:t>
      </w:r>
      <w:r w:rsidRPr="006A22D3">
        <w:rPr>
          <w:noProof/>
        </w:rPr>
        <w:t>h już stosuje pewne procedury, np. ze względu na obowiązki sprawozdawcze</w:t>
      </w:r>
      <w:r w:rsidR="006A22D3" w:rsidRPr="006A22D3">
        <w:rPr>
          <w:noProof/>
        </w:rPr>
        <w:t>. W szc</w:t>
      </w:r>
      <w:r w:rsidRPr="006A22D3">
        <w:rPr>
          <w:noProof/>
        </w:rPr>
        <w:t>zególności wybrane kryteria przychodu pozwolą zidentyfikować te przedsiębiorstwa, które mają największy wpływ na gospodarkę Unii. Ponadto niniejsza dyrektywa ustanawia środki mające na celu ograniczenie przenoszenia obciążeń</w:t>
      </w:r>
      <w:r w:rsidR="006A22D3" w:rsidRPr="006A22D3">
        <w:rPr>
          <w:noProof/>
        </w:rPr>
        <w:t xml:space="preserve"> z duż</w:t>
      </w:r>
      <w:r w:rsidRPr="006A22D3">
        <w:rPr>
          <w:noProof/>
        </w:rPr>
        <w:t>ych przedsiębiorstw na mniejszych dostawców</w:t>
      </w:r>
      <w:r w:rsidR="006A22D3" w:rsidRPr="006A22D3">
        <w:rPr>
          <w:noProof/>
        </w:rPr>
        <w:t xml:space="preserve"> w łań</w:t>
      </w:r>
      <w:r w:rsidRPr="006A22D3">
        <w:rPr>
          <w:noProof/>
        </w:rPr>
        <w:t>cuchu wartości oraz stosowanie sprawiedliwych, zasadnych, niedyskryminujących</w:t>
      </w:r>
      <w:r w:rsidR="006A22D3" w:rsidRPr="006A22D3">
        <w:rPr>
          <w:noProof/>
        </w:rPr>
        <w:t xml:space="preserve"> i pro</w:t>
      </w:r>
      <w:r w:rsidRPr="006A22D3">
        <w:rPr>
          <w:noProof/>
        </w:rPr>
        <w:t>porcjonalnych wymogów</w:t>
      </w:r>
      <w:r w:rsidR="006A22D3" w:rsidRPr="006A22D3">
        <w:rPr>
          <w:noProof/>
        </w:rPr>
        <w:t xml:space="preserve"> w sto</w:t>
      </w:r>
      <w:r w:rsidRPr="006A22D3">
        <w:rPr>
          <w:noProof/>
        </w:rPr>
        <w:t>sunku do MŚP.</w:t>
      </w:r>
    </w:p>
    <w:p w:rsidR="001859C1" w:rsidRPr="006A22D3" w:rsidRDefault="001859C1">
      <w:pPr>
        <w:rPr>
          <w:noProof/>
        </w:rPr>
      </w:pPr>
      <w:r w:rsidRPr="006A22D3">
        <w:rPr>
          <w:noProof/>
        </w:rPr>
        <w:t>Jeśli chodzi</w:t>
      </w:r>
      <w:r w:rsidR="006A22D3" w:rsidRPr="006A22D3">
        <w:rPr>
          <w:noProof/>
        </w:rPr>
        <w:t xml:space="preserve"> o prz</w:t>
      </w:r>
      <w:r w:rsidRPr="006A22D3">
        <w:rPr>
          <w:noProof/>
        </w:rPr>
        <w:t>edsiębiorstwa uzyskujące niższe przychody</w:t>
      </w:r>
      <w:r w:rsidR="006A22D3" w:rsidRPr="006A22D3">
        <w:rPr>
          <w:noProof/>
        </w:rPr>
        <w:t xml:space="preserve"> i zat</w:t>
      </w:r>
      <w:r w:rsidRPr="006A22D3">
        <w:rPr>
          <w:noProof/>
        </w:rPr>
        <w:t>rudniające mniejszą liczbę pracowników</w:t>
      </w:r>
      <w:r w:rsidRPr="006A22D3">
        <w:rPr>
          <w:rStyle w:val="FootnoteReference"/>
          <w:noProof/>
        </w:rPr>
        <w:footnoteReference w:id="60"/>
      </w:r>
      <w:r w:rsidRPr="006A22D3">
        <w:rPr>
          <w:noProof/>
        </w:rPr>
        <w:t>, obowiązek</w:t>
      </w:r>
      <w:r w:rsidR="006A22D3" w:rsidRPr="006A22D3">
        <w:rPr>
          <w:noProof/>
        </w:rPr>
        <w:t xml:space="preserve"> w zak</w:t>
      </w:r>
      <w:r w:rsidRPr="006A22D3">
        <w:rPr>
          <w:noProof/>
        </w:rPr>
        <w:t>resie należytej staranności ogranicza się do przedsiębiorstw prowadzących działalność</w:t>
      </w:r>
      <w:r w:rsidR="006A22D3" w:rsidRPr="006A22D3">
        <w:rPr>
          <w:noProof/>
        </w:rPr>
        <w:t xml:space="preserve"> w sek</w:t>
      </w:r>
      <w:r w:rsidRPr="006A22D3">
        <w:rPr>
          <w:noProof/>
        </w:rPr>
        <w:t>torach</w:t>
      </w:r>
      <w:r w:rsidR="006A22D3" w:rsidRPr="006A22D3">
        <w:rPr>
          <w:noProof/>
        </w:rPr>
        <w:t xml:space="preserve"> o szc</w:t>
      </w:r>
      <w:r w:rsidRPr="006A22D3">
        <w:rPr>
          <w:noProof/>
        </w:rPr>
        <w:t>zególnie dużym wpływie, które są jednocześnie objęte istniejącymi sektorowymi wytycznymi OECD</w:t>
      </w:r>
      <w:r w:rsidRPr="006A22D3">
        <w:rPr>
          <w:rStyle w:val="FootnoteReference"/>
          <w:rFonts w:eastAsia="Times New Roman"/>
          <w:noProof/>
          <w:lang w:eastAsia="fr-BE"/>
        </w:rPr>
        <w:footnoteReference w:id="61"/>
      </w:r>
      <w:r w:rsidRPr="006A22D3">
        <w:rPr>
          <w:noProof/>
        </w:rPr>
        <w:t>. Ponadto – mimo że wytyczne OECD dotyczą sektora finansowego – obowiązku tego nie uwzględniono</w:t>
      </w:r>
      <w:r w:rsidR="006A22D3" w:rsidRPr="006A22D3">
        <w:rPr>
          <w:noProof/>
        </w:rPr>
        <w:t xml:space="preserve"> w gru</w:t>
      </w:r>
      <w:r w:rsidRPr="006A22D3">
        <w:rPr>
          <w:noProof/>
        </w:rPr>
        <w:t>pie sektorów</w:t>
      </w:r>
      <w:r w:rsidR="006A22D3" w:rsidRPr="006A22D3">
        <w:rPr>
          <w:noProof/>
        </w:rPr>
        <w:t xml:space="preserve"> o duż</w:t>
      </w:r>
      <w:r w:rsidRPr="006A22D3">
        <w:rPr>
          <w:noProof/>
        </w:rPr>
        <w:t>ym wpływie ze względu na swoją specyfikę. Ograniczenie to ma na celu zapewnienie równowagi między dążeniem do osiągnięcia celów dyrektywy</w:t>
      </w:r>
      <w:r w:rsidR="006A22D3" w:rsidRPr="006A22D3">
        <w:rPr>
          <w:noProof/>
        </w:rPr>
        <w:t xml:space="preserve"> a dąż</w:t>
      </w:r>
      <w:r w:rsidRPr="006A22D3">
        <w:rPr>
          <w:noProof/>
        </w:rPr>
        <w:t>eniem do zminimalizowania obciążeń finansowych</w:t>
      </w:r>
      <w:r w:rsidR="006A22D3" w:rsidRPr="006A22D3">
        <w:rPr>
          <w:noProof/>
        </w:rPr>
        <w:t xml:space="preserve"> i adm</w:t>
      </w:r>
      <w:r w:rsidRPr="006A22D3">
        <w:rPr>
          <w:noProof/>
        </w:rPr>
        <w:t>inistracyjnych dla przedsiębiorstw. Obowiązek</w:t>
      </w:r>
      <w:r w:rsidR="006A22D3" w:rsidRPr="006A22D3">
        <w:rPr>
          <w:noProof/>
        </w:rPr>
        <w:t xml:space="preserve"> w zak</w:t>
      </w:r>
      <w:r w:rsidRPr="006A22D3">
        <w:rPr>
          <w:noProof/>
        </w:rPr>
        <w:t>resie należytej staranności mający zastosowanie do tych przedsiębiorstw zostanie uproszczony, ponieważ będą się one koncentrować wyłącznie na poważnych niekorzystnych skutkach istotnych dla ich sektora. Ponadto wspomniany obowiązek będzie miał do nich zastosowanie dopiero 2 lata po zakończeniu okresu transpozycji niniejszej dyrektywy, co umożliwi im ustanowienie niezbędnych procesów</w:t>
      </w:r>
      <w:r w:rsidR="006A22D3" w:rsidRPr="006A22D3">
        <w:rPr>
          <w:noProof/>
        </w:rPr>
        <w:t xml:space="preserve"> i pro</w:t>
      </w:r>
      <w:r w:rsidRPr="006A22D3">
        <w:rPr>
          <w:noProof/>
        </w:rPr>
        <w:t>cedur oraz skorzystanie ze współpracy branżowej, rozwoju technologicznego, wprowadzenia norm itp., co prawdopodobnie zostanie przyspieszone dzięki wcześniejszemu terminowi wdrożenia tego obowiązku</w:t>
      </w:r>
      <w:r w:rsidR="006A22D3" w:rsidRPr="006A22D3">
        <w:rPr>
          <w:noProof/>
        </w:rPr>
        <w:t xml:space="preserve"> w odn</w:t>
      </w:r>
      <w:r w:rsidRPr="006A22D3">
        <w:rPr>
          <w:noProof/>
        </w:rPr>
        <w:t xml:space="preserve">iesieniu do większych przedsiębiorstw. </w:t>
      </w:r>
    </w:p>
    <w:p w:rsidR="00A34AE7" w:rsidRPr="006A22D3" w:rsidRDefault="00A34AE7" w:rsidP="00A34AE7">
      <w:pPr>
        <w:rPr>
          <w:noProof/>
        </w:rPr>
      </w:pPr>
      <w:r w:rsidRPr="006A22D3">
        <w:rPr>
          <w:noProof/>
        </w:rPr>
        <w:t>W stopniu,</w:t>
      </w:r>
      <w:r w:rsidR="006A22D3" w:rsidRPr="006A22D3">
        <w:rPr>
          <w:noProof/>
        </w:rPr>
        <w:t xml:space="preserve"> w jak</w:t>
      </w:r>
      <w:r w:rsidRPr="006A22D3">
        <w:rPr>
          <w:noProof/>
        </w:rPr>
        <w:t>im niniejsza dyrektywa obejmuje również przedsiębiorstwa</w:t>
      </w:r>
      <w:r w:rsidR="006A22D3" w:rsidRPr="006A22D3">
        <w:rPr>
          <w:noProof/>
        </w:rPr>
        <w:t xml:space="preserve"> z pań</w:t>
      </w:r>
      <w:r w:rsidRPr="006A22D3">
        <w:rPr>
          <w:noProof/>
        </w:rPr>
        <w:t>stw trzecich, kryteria stosowane do określenia zakresu przedsiębiorstw unijnych</w:t>
      </w:r>
      <w:r w:rsidR="006A22D3" w:rsidRPr="006A22D3">
        <w:rPr>
          <w:noProof/>
        </w:rPr>
        <w:t xml:space="preserve"> i spo</w:t>
      </w:r>
      <w:r w:rsidRPr="006A22D3">
        <w:rPr>
          <w:noProof/>
        </w:rPr>
        <w:t>za UE objętych dyrektywą nie są takie same, ale zapewniają, że</w:t>
      </w:r>
      <w:r w:rsidR="006A22D3" w:rsidRPr="006A22D3">
        <w:rPr>
          <w:noProof/>
        </w:rPr>
        <w:t xml:space="preserve"> w prz</w:t>
      </w:r>
      <w:r w:rsidRPr="006A22D3">
        <w:rPr>
          <w:noProof/>
        </w:rPr>
        <w:t>ypadku przedsiębiorstw</w:t>
      </w:r>
      <w:r w:rsidR="006A22D3" w:rsidRPr="006A22D3">
        <w:rPr>
          <w:noProof/>
        </w:rPr>
        <w:t xml:space="preserve"> z pań</w:t>
      </w:r>
      <w:r w:rsidRPr="006A22D3">
        <w:rPr>
          <w:noProof/>
        </w:rPr>
        <w:t>stw trzecich prawdopodobieństwo, że zostaną objęte zakresem dyrektywy, nie będzie wyższe</w:t>
      </w:r>
      <w:r w:rsidR="006A22D3" w:rsidRPr="006A22D3">
        <w:rPr>
          <w:noProof/>
        </w:rPr>
        <w:t>. W odn</w:t>
      </w:r>
      <w:r w:rsidRPr="006A22D3">
        <w:rPr>
          <w:noProof/>
        </w:rPr>
        <w:t>iesieniu do przedsiębiorstw</w:t>
      </w:r>
      <w:r w:rsidR="006A22D3" w:rsidRPr="006A22D3">
        <w:rPr>
          <w:noProof/>
        </w:rPr>
        <w:t xml:space="preserve"> z pań</w:t>
      </w:r>
      <w:r w:rsidRPr="006A22D3">
        <w:rPr>
          <w:noProof/>
        </w:rPr>
        <w:t>stw trzecich stosuje się próg przychodów netto ze sprzedaży (150 mln EUR dla grupy 1</w:t>
      </w:r>
      <w:r w:rsidR="006A22D3" w:rsidRPr="006A22D3">
        <w:rPr>
          <w:noProof/>
        </w:rPr>
        <w:t xml:space="preserve"> i 4</w:t>
      </w:r>
      <w:r w:rsidRPr="006A22D3">
        <w:rPr>
          <w:noProof/>
        </w:rPr>
        <w:t>0 mln EUR dla grupy 2), ale cały ten przychód musi być wygenerowany</w:t>
      </w:r>
      <w:r w:rsidR="006A22D3" w:rsidRPr="006A22D3">
        <w:rPr>
          <w:noProof/>
        </w:rPr>
        <w:t xml:space="preserve"> w Uni</w:t>
      </w:r>
      <w:r w:rsidRPr="006A22D3">
        <w:rPr>
          <w:noProof/>
        </w:rPr>
        <w:t>i</w:t>
      </w:r>
      <w:r w:rsidR="006A22D3" w:rsidRPr="006A22D3">
        <w:rPr>
          <w:noProof/>
        </w:rPr>
        <w:t>. Z kol</w:t>
      </w:r>
      <w:r w:rsidRPr="006A22D3">
        <w:rPr>
          <w:noProof/>
        </w:rPr>
        <w:t>ei przedsiębiorstwa unijne muszą osiągać przychody netto ze sprzedaży</w:t>
      </w:r>
      <w:r w:rsidR="006A22D3" w:rsidRPr="006A22D3">
        <w:rPr>
          <w:noProof/>
        </w:rPr>
        <w:t xml:space="preserve"> w wys</w:t>
      </w:r>
      <w:r w:rsidRPr="006A22D3">
        <w:rPr>
          <w:noProof/>
        </w:rPr>
        <w:t>okości 150 mln EUR generowane na całym świecie,</w:t>
      </w:r>
      <w:r w:rsidR="006A22D3" w:rsidRPr="006A22D3">
        <w:rPr>
          <w:noProof/>
        </w:rPr>
        <w:t xml:space="preserve"> a tak</w:t>
      </w:r>
      <w:r w:rsidRPr="006A22D3">
        <w:rPr>
          <w:noProof/>
        </w:rPr>
        <w:t>że spełniać kryterium dotyczące liczby pracowników (powyżej 500 pracowników</w:t>
      </w:r>
      <w:r w:rsidR="006A22D3" w:rsidRPr="006A22D3">
        <w:rPr>
          <w:noProof/>
        </w:rPr>
        <w:t xml:space="preserve"> w gru</w:t>
      </w:r>
      <w:r w:rsidRPr="006A22D3">
        <w:rPr>
          <w:noProof/>
        </w:rPr>
        <w:t>pie 1</w:t>
      </w:r>
      <w:r w:rsidR="006A22D3" w:rsidRPr="006A22D3">
        <w:rPr>
          <w:noProof/>
        </w:rPr>
        <w:t xml:space="preserve"> i pow</w:t>
      </w:r>
      <w:r w:rsidRPr="006A22D3">
        <w:rPr>
          <w:noProof/>
        </w:rPr>
        <w:t>yżej 250 pracowników</w:t>
      </w:r>
      <w:r w:rsidR="006A22D3" w:rsidRPr="006A22D3">
        <w:rPr>
          <w:noProof/>
        </w:rPr>
        <w:t xml:space="preserve"> w gru</w:t>
      </w:r>
      <w:r w:rsidRPr="006A22D3">
        <w:rPr>
          <w:noProof/>
        </w:rPr>
        <w:t>pie 2). Taka różnica</w:t>
      </w:r>
      <w:r w:rsidR="006A22D3" w:rsidRPr="006A22D3">
        <w:rPr>
          <w:noProof/>
        </w:rPr>
        <w:t xml:space="preserve"> w sto</w:t>
      </w:r>
      <w:r w:rsidRPr="006A22D3">
        <w:rPr>
          <w:noProof/>
        </w:rPr>
        <w:t>sowanych kryteriach jest uzasadniona</w:t>
      </w:r>
      <w:r w:rsidR="006A22D3" w:rsidRPr="006A22D3">
        <w:rPr>
          <w:noProof/>
        </w:rPr>
        <w:t xml:space="preserve"> z nas</w:t>
      </w:r>
      <w:r w:rsidRPr="006A22D3">
        <w:rPr>
          <w:noProof/>
        </w:rPr>
        <w:t>tępujących powodów:</w:t>
      </w:r>
    </w:p>
    <w:p w:rsidR="00A34AE7" w:rsidRPr="006A22D3" w:rsidRDefault="00952112" w:rsidP="009C14EF">
      <w:pPr>
        <w:pStyle w:val="Tiret0"/>
        <w:numPr>
          <w:ilvl w:val="0"/>
          <w:numId w:val="22"/>
        </w:numPr>
        <w:rPr>
          <w:noProof/>
        </w:rPr>
      </w:pPr>
      <w:r w:rsidRPr="006A22D3">
        <w:rPr>
          <w:noProof/>
        </w:rPr>
        <w:t>kryterium przychodów w UE dla przedsiębiorstw</w:t>
      </w:r>
      <w:r w:rsidR="006A22D3" w:rsidRPr="006A22D3">
        <w:rPr>
          <w:noProof/>
        </w:rPr>
        <w:t xml:space="preserve"> z pań</w:t>
      </w:r>
      <w:r w:rsidRPr="006A22D3">
        <w:rPr>
          <w:noProof/>
        </w:rPr>
        <w:t>stw trzecich tworzy powiązanie z UE. Uwzględnienie wyłącznie przychodów uzyskanych</w:t>
      </w:r>
      <w:r w:rsidR="006A22D3" w:rsidRPr="006A22D3">
        <w:rPr>
          <w:noProof/>
        </w:rPr>
        <w:t xml:space="preserve"> w Uni</w:t>
      </w:r>
      <w:r w:rsidRPr="006A22D3">
        <w:rPr>
          <w:noProof/>
        </w:rPr>
        <w:t>i jest uzasadnione, ponieważ taki próg, odpowiednio wyskalowany, tworzy terytorialny związek między przedsiębiorstwami</w:t>
      </w:r>
      <w:r w:rsidR="006A22D3" w:rsidRPr="006A22D3">
        <w:rPr>
          <w:noProof/>
        </w:rPr>
        <w:t xml:space="preserve"> z pań</w:t>
      </w:r>
      <w:r w:rsidRPr="006A22D3">
        <w:rPr>
          <w:noProof/>
        </w:rPr>
        <w:t>stw trzecich</w:t>
      </w:r>
      <w:r w:rsidR="006A22D3" w:rsidRPr="006A22D3">
        <w:rPr>
          <w:noProof/>
        </w:rPr>
        <w:t xml:space="preserve"> a Uni</w:t>
      </w:r>
      <w:r w:rsidRPr="006A22D3">
        <w:rPr>
          <w:noProof/>
        </w:rPr>
        <w:t>ą wyrażający się poprzez wpływ, jaki działalność tych przedsiębiorstw może wywierać na rynek wewnętrzny UE, co jest wystarczające, aby prawo Unii miało zastosowanie do przedsiębiorstw</w:t>
      </w:r>
      <w:r w:rsidR="006A22D3" w:rsidRPr="006A22D3">
        <w:rPr>
          <w:noProof/>
        </w:rPr>
        <w:t xml:space="preserve"> z pań</w:t>
      </w:r>
      <w:r w:rsidRPr="006A22D3">
        <w:rPr>
          <w:noProof/>
        </w:rPr>
        <w:t>stw trzecich;</w:t>
      </w:r>
    </w:p>
    <w:p w:rsidR="00A34AE7" w:rsidRPr="006A22D3" w:rsidRDefault="00A34AE7" w:rsidP="00A3434D">
      <w:pPr>
        <w:pStyle w:val="Tiret0"/>
        <w:rPr>
          <w:noProof/>
        </w:rPr>
      </w:pPr>
      <w:r w:rsidRPr="006A22D3">
        <w:rPr>
          <w:noProof/>
        </w:rPr>
        <w:t>ponadto</w:t>
      </w:r>
      <w:r w:rsidR="006A22D3" w:rsidRPr="006A22D3">
        <w:rPr>
          <w:noProof/>
        </w:rPr>
        <w:t xml:space="preserve"> w dyr</w:t>
      </w:r>
      <w:r w:rsidRPr="006A22D3">
        <w:rPr>
          <w:noProof/>
        </w:rPr>
        <w:t>ektywie dotyczącej sprawozdawczości</w:t>
      </w:r>
      <w:r w:rsidR="006A22D3" w:rsidRPr="006A22D3">
        <w:rPr>
          <w:noProof/>
        </w:rPr>
        <w:t xml:space="preserve"> w pod</w:t>
      </w:r>
      <w:r w:rsidRPr="006A22D3">
        <w:rPr>
          <w:noProof/>
        </w:rPr>
        <w:t>ziale na kraje – zmieniającej dyrektywę</w:t>
      </w:r>
      <w:r w:rsidR="006A22D3" w:rsidRPr="006A22D3">
        <w:rPr>
          <w:noProof/>
        </w:rPr>
        <w:t xml:space="preserve"> o rac</w:t>
      </w:r>
      <w:r w:rsidRPr="006A22D3">
        <w:rPr>
          <w:noProof/>
        </w:rPr>
        <w:t>hunkowości – określono już metody obliczania przychodów netto ze sprzedaży dla przedsiębiorstw spoza UE, lecz nie określono takiej metody na potrzeby obliczania liczby pracowników przedsiębiorstw</w:t>
      </w:r>
      <w:r w:rsidR="006A22D3" w:rsidRPr="006A22D3">
        <w:rPr>
          <w:noProof/>
        </w:rPr>
        <w:t xml:space="preserve"> z pań</w:t>
      </w:r>
      <w:r w:rsidRPr="006A22D3">
        <w:rPr>
          <w:noProof/>
        </w:rPr>
        <w:t>stw trzecich. Doświadczenie</w:t>
      </w:r>
      <w:r w:rsidR="006A22D3" w:rsidRPr="006A22D3">
        <w:rPr>
          <w:noProof/>
        </w:rPr>
        <w:t xml:space="preserve"> z fra</w:t>
      </w:r>
      <w:r w:rsidRPr="006A22D3">
        <w:rPr>
          <w:noProof/>
        </w:rPr>
        <w:t>ncuską ustawą regulującą zasady należytej staranności pokazuje, że</w:t>
      </w:r>
      <w:r w:rsidR="006A22D3" w:rsidRPr="006A22D3">
        <w:rPr>
          <w:noProof/>
        </w:rPr>
        <w:t xml:space="preserve"> w prz</w:t>
      </w:r>
      <w:r w:rsidRPr="006A22D3">
        <w:rPr>
          <w:noProof/>
        </w:rPr>
        <w:t>ypadku braku wspólnej definicji pracownika</w:t>
      </w:r>
      <w:r w:rsidR="003C0FAB" w:rsidRPr="006A22D3">
        <w:rPr>
          <w:rStyle w:val="FootnoteReference"/>
          <w:noProof/>
          <w:lang w:eastAsia="fr-BE"/>
        </w:rPr>
        <w:footnoteReference w:id="62"/>
      </w:r>
      <w:r w:rsidRPr="006A22D3">
        <w:rPr>
          <w:noProof/>
        </w:rPr>
        <w:t xml:space="preserve"> trudno jest obliczyć liczbę pracowników (na całym świecie), co utrudnia określenie, które przedsiębiorstwa</w:t>
      </w:r>
      <w:r w:rsidR="006A22D3" w:rsidRPr="006A22D3">
        <w:rPr>
          <w:noProof/>
        </w:rPr>
        <w:t xml:space="preserve"> z pań</w:t>
      </w:r>
      <w:r w:rsidRPr="006A22D3">
        <w:rPr>
          <w:noProof/>
        </w:rPr>
        <w:t>stw trzecich są objęte zakresem jej stosowania, uniemożliwiając skuteczne egzekwowanie przepisów;</w:t>
      </w:r>
    </w:p>
    <w:p w:rsidR="00A34AE7" w:rsidRPr="006A22D3" w:rsidRDefault="00A34AE7" w:rsidP="00A3434D">
      <w:pPr>
        <w:pStyle w:val="Tiret0"/>
        <w:rPr>
          <w:noProof/>
        </w:rPr>
      </w:pPr>
      <w:r w:rsidRPr="006A22D3">
        <w:rPr>
          <w:noProof/>
        </w:rPr>
        <w:t>stosowanie kryteriów dotyczących zarówno pracowników, jak</w:t>
      </w:r>
      <w:r w:rsidR="006A22D3" w:rsidRPr="006A22D3">
        <w:rPr>
          <w:noProof/>
        </w:rPr>
        <w:t xml:space="preserve"> i prz</w:t>
      </w:r>
      <w:r w:rsidRPr="006A22D3">
        <w:rPr>
          <w:noProof/>
        </w:rPr>
        <w:t>ychodów</w:t>
      </w:r>
      <w:r w:rsidR="006A22D3" w:rsidRPr="006A22D3">
        <w:rPr>
          <w:noProof/>
        </w:rPr>
        <w:t xml:space="preserve"> w prz</w:t>
      </w:r>
      <w:r w:rsidRPr="006A22D3">
        <w:rPr>
          <w:noProof/>
        </w:rPr>
        <w:t>edsiębiorstwach unijnych zapewniłoby lepszą zgodność</w:t>
      </w:r>
      <w:r w:rsidR="006A22D3" w:rsidRPr="006A22D3">
        <w:rPr>
          <w:noProof/>
        </w:rPr>
        <w:t xml:space="preserve"> z wni</w:t>
      </w:r>
      <w:r w:rsidRPr="006A22D3">
        <w:rPr>
          <w:noProof/>
        </w:rPr>
        <w:t>oskiem dotyczącym dyrektywy</w:t>
      </w:r>
      <w:r w:rsidR="006A22D3" w:rsidRPr="006A22D3">
        <w:rPr>
          <w:noProof/>
        </w:rPr>
        <w:t xml:space="preserve"> w spr</w:t>
      </w:r>
      <w:r w:rsidRPr="006A22D3">
        <w:rPr>
          <w:noProof/>
        </w:rPr>
        <w:t>awie sprawozdawczości przedsiębiorstw</w:t>
      </w:r>
      <w:r w:rsidR="006A22D3" w:rsidRPr="006A22D3">
        <w:rPr>
          <w:noProof/>
        </w:rPr>
        <w:t xml:space="preserve"> w zak</w:t>
      </w:r>
      <w:r w:rsidRPr="006A22D3">
        <w:rPr>
          <w:noProof/>
        </w:rPr>
        <w:t>resie zrównoważonego rozwoju, którą należy stosować do celów sprawozdawczości</w:t>
      </w:r>
      <w:r w:rsidR="006A22D3" w:rsidRPr="006A22D3">
        <w:rPr>
          <w:noProof/>
        </w:rPr>
        <w:t xml:space="preserve"> w zak</w:t>
      </w:r>
      <w:r w:rsidRPr="006A22D3">
        <w:rPr>
          <w:noProof/>
        </w:rPr>
        <w:t>resie środków</w:t>
      </w:r>
      <w:r w:rsidR="006A22D3" w:rsidRPr="006A22D3">
        <w:rPr>
          <w:noProof/>
        </w:rPr>
        <w:t xml:space="preserve"> i pol</w:t>
      </w:r>
      <w:r w:rsidRPr="006A22D3">
        <w:rPr>
          <w:noProof/>
        </w:rPr>
        <w:t>ityki należytej staranności</w:t>
      </w:r>
      <w:r w:rsidR="006A22D3" w:rsidRPr="006A22D3">
        <w:rPr>
          <w:noProof/>
        </w:rPr>
        <w:t xml:space="preserve"> w prz</w:t>
      </w:r>
      <w:r w:rsidRPr="006A22D3">
        <w:rPr>
          <w:noProof/>
        </w:rPr>
        <w:t xml:space="preserve">edsiębiorstwach unijnych; </w:t>
      </w:r>
    </w:p>
    <w:p w:rsidR="00A34AE7" w:rsidRPr="006A22D3" w:rsidRDefault="00A34AE7" w:rsidP="00A3434D">
      <w:pPr>
        <w:pStyle w:val="Tiret0"/>
        <w:rPr>
          <w:noProof/>
        </w:rPr>
      </w:pPr>
      <w:r w:rsidRPr="006A22D3">
        <w:rPr>
          <w:noProof/>
        </w:rPr>
        <w:t>podczas gdy dyrektywa obejmie około 13 000 przedsiębiorstw unijnych</w:t>
      </w:r>
      <w:r w:rsidR="00A34BB6" w:rsidRPr="006A22D3">
        <w:rPr>
          <w:rStyle w:val="FootnoteReference"/>
          <w:noProof/>
          <w:lang w:eastAsia="fr-BE"/>
        </w:rPr>
        <w:footnoteReference w:id="63"/>
      </w:r>
      <w:r w:rsidRPr="006A22D3">
        <w:rPr>
          <w:noProof/>
        </w:rPr>
        <w:t>, według szacunków Komisji obejmie ona jedynie około 4 000 przedsiębiorstw</w:t>
      </w:r>
      <w:r w:rsidR="006A22D3" w:rsidRPr="006A22D3">
        <w:rPr>
          <w:noProof/>
        </w:rPr>
        <w:t xml:space="preserve"> z pań</w:t>
      </w:r>
      <w:r w:rsidRPr="006A22D3">
        <w:rPr>
          <w:noProof/>
        </w:rPr>
        <w:t>stw trzecich</w:t>
      </w:r>
      <w:r w:rsidR="00A34BB6" w:rsidRPr="006A22D3">
        <w:rPr>
          <w:rStyle w:val="FootnoteReference"/>
          <w:noProof/>
          <w:lang w:eastAsia="fr-BE"/>
        </w:rPr>
        <w:footnoteReference w:id="64"/>
      </w:r>
      <w:r w:rsidRPr="006A22D3">
        <w:rPr>
          <w:noProof/>
        </w:rPr>
        <w:t>. Jest bardzo mało prawdopodobne, aby fakt, że przedsiębiorstwa unijne zostaną objęte systemem wyłącznie wówczas, gdy osiągną również minimalny limit liczby pracowników, zmienił warunki konkurencji na rynku wewnętrznym UE: przedmiotowe dwa kryteria wielkości mające zastosowanie do przedsiębiorstw unijnych, nawet jeśli będą występować łącznie, spowodują, że</w:t>
      </w:r>
      <w:r w:rsidR="006A22D3" w:rsidRPr="006A22D3">
        <w:rPr>
          <w:noProof/>
        </w:rPr>
        <w:t xml:space="preserve"> w por</w:t>
      </w:r>
      <w:r w:rsidRPr="006A22D3">
        <w:rPr>
          <w:noProof/>
        </w:rPr>
        <w:t>ównaniu</w:t>
      </w:r>
      <w:r w:rsidR="006A22D3" w:rsidRPr="006A22D3">
        <w:rPr>
          <w:noProof/>
        </w:rPr>
        <w:t xml:space="preserve"> z prz</w:t>
      </w:r>
      <w:r w:rsidRPr="006A22D3">
        <w:rPr>
          <w:noProof/>
        </w:rPr>
        <w:t>edsiębiorstwami spoza UE nadal będą nimi objęte stosunkowo mniejsze przedsiębiorstwa, ponieważ</w:t>
      </w:r>
      <w:r w:rsidR="006A22D3" w:rsidRPr="006A22D3">
        <w:rPr>
          <w:noProof/>
        </w:rPr>
        <w:t xml:space="preserve"> w ich</w:t>
      </w:r>
      <w:r w:rsidRPr="006A22D3">
        <w:rPr>
          <w:noProof/>
        </w:rPr>
        <w:t xml:space="preserve"> przypadku należy brać pod uwagę wszystkie przychody netto ze sprzedaży przedsiębiorstwa wygenerowane na świecie.</w:t>
      </w:r>
    </w:p>
    <w:p w:rsidR="00A34AE7" w:rsidRPr="006A22D3" w:rsidRDefault="00A34AE7" w:rsidP="00A34AE7">
      <w:pPr>
        <w:rPr>
          <w:noProof/>
        </w:rPr>
      </w:pPr>
      <w:r w:rsidRPr="006A22D3">
        <w:rPr>
          <w:noProof/>
        </w:rPr>
        <w:tab/>
        <w:t>Ponadto duże przedsiębiorstwa</w:t>
      </w:r>
      <w:r w:rsidR="006A22D3" w:rsidRPr="006A22D3">
        <w:rPr>
          <w:noProof/>
        </w:rPr>
        <w:t xml:space="preserve"> z pań</w:t>
      </w:r>
      <w:r w:rsidRPr="006A22D3">
        <w:rPr>
          <w:noProof/>
        </w:rPr>
        <w:t>stw trzecich, które osiągają wysokie przychody</w:t>
      </w:r>
      <w:r w:rsidR="006A22D3" w:rsidRPr="006A22D3">
        <w:rPr>
          <w:noProof/>
        </w:rPr>
        <w:t xml:space="preserve"> w Uni</w:t>
      </w:r>
      <w:r w:rsidRPr="006A22D3">
        <w:rPr>
          <w:noProof/>
        </w:rPr>
        <w:t>i, dysponują zdolnością wdrożenia zasad należytej staranności</w:t>
      </w:r>
      <w:r w:rsidR="006A22D3" w:rsidRPr="006A22D3">
        <w:rPr>
          <w:noProof/>
        </w:rPr>
        <w:t xml:space="preserve"> i będ</w:t>
      </w:r>
      <w:r w:rsidRPr="006A22D3">
        <w:rPr>
          <w:noProof/>
        </w:rPr>
        <w:t>ą korzystać</w:t>
      </w:r>
      <w:r w:rsidR="006A22D3" w:rsidRPr="006A22D3">
        <w:rPr>
          <w:noProof/>
        </w:rPr>
        <w:t xml:space="preserve"> z zal</w:t>
      </w:r>
      <w:r w:rsidRPr="006A22D3">
        <w:rPr>
          <w:noProof/>
        </w:rPr>
        <w:t>et wynikających</w:t>
      </w:r>
      <w:r w:rsidR="006A22D3" w:rsidRPr="006A22D3">
        <w:rPr>
          <w:noProof/>
        </w:rPr>
        <w:t xml:space="preserve"> z tyc</w:t>
      </w:r>
      <w:r w:rsidRPr="006A22D3">
        <w:rPr>
          <w:noProof/>
        </w:rPr>
        <w:t>h zasad również</w:t>
      </w:r>
      <w:r w:rsidR="006A22D3" w:rsidRPr="006A22D3">
        <w:rPr>
          <w:noProof/>
        </w:rPr>
        <w:t xml:space="preserve"> w swo</w:t>
      </w:r>
      <w:r w:rsidRPr="006A22D3">
        <w:rPr>
          <w:noProof/>
        </w:rPr>
        <w:t>ich działaniach</w:t>
      </w:r>
      <w:r w:rsidR="006A22D3" w:rsidRPr="006A22D3">
        <w:rPr>
          <w:noProof/>
        </w:rPr>
        <w:t xml:space="preserve"> w inn</w:t>
      </w:r>
      <w:r w:rsidRPr="006A22D3">
        <w:rPr>
          <w:noProof/>
        </w:rPr>
        <w:t>ych krajach. We wszystkich innych aspektach przedsiębiorstwa</w:t>
      </w:r>
      <w:r w:rsidR="006A22D3" w:rsidRPr="006A22D3">
        <w:rPr>
          <w:noProof/>
        </w:rPr>
        <w:t xml:space="preserve"> z pań</w:t>
      </w:r>
      <w:r w:rsidRPr="006A22D3">
        <w:rPr>
          <w:noProof/>
        </w:rPr>
        <w:t>stw trzecich są objęte zasadami należytej staranności</w:t>
      </w:r>
      <w:r w:rsidR="006A22D3" w:rsidRPr="006A22D3">
        <w:rPr>
          <w:noProof/>
        </w:rPr>
        <w:t xml:space="preserve"> w tak</w:t>
      </w:r>
      <w:r w:rsidRPr="006A22D3">
        <w:rPr>
          <w:noProof/>
        </w:rPr>
        <w:t>i sam sposób jak ich odpowiedniki w UE (na przykład</w:t>
      </w:r>
      <w:r w:rsidR="006A22D3" w:rsidRPr="006A22D3">
        <w:rPr>
          <w:noProof/>
        </w:rPr>
        <w:t xml:space="preserve"> w odn</w:t>
      </w:r>
      <w:r w:rsidRPr="006A22D3">
        <w:rPr>
          <w:noProof/>
        </w:rPr>
        <w:t>iesieniu do systemu mającego zastosowanie do przedsiębiorstw działających</w:t>
      </w:r>
      <w:r w:rsidR="006A22D3" w:rsidRPr="006A22D3">
        <w:rPr>
          <w:noProof/>
        </w:rPr>
        <w:t xml:space="preserve"> w sek</w:t>
      </w:r>
      <w:r w:rsidRPr="006A22D3">
        <w:rPr>
          <w:noProof/>
        </w:rPr>
        <w:t>torach</w:t>
      </w:r>
      <w:r w:rsidR="006A22D3" w:rsidRPr="006A22D3">
        <w:rPr>
          <w:noProof/>
        </w:rPr>
        <w:t xml:space="preserve"> o duż</w:t>
      </w:r>
      <w:r w:rsidRPr="006A22D3">
        <w:rPr>
          <w:noProof/>
        </w:rPr>
        <w:t>ym wpływie</w:t>
      </w:r>
      <w:r w:rsidR="006A22D3" w:rsidRPr="006A22D3">
        <w:rPr>
          <w:noProof/>
        </w:rPr>
        <w:t xml:space="preserve"> i ide</w:t>
      </w:r>
      <w:r w:rsidRPr="006A22D3">
        <w:rPr>
          <w:noProof/>
        </w:rPr>
        <w:t>ntycznego okresu stopniowego wdrażania dla tych przedsiębiorstw). Harmonizacja obowiązków dyrektorów ogranicza się wyłącznie do przedsiębiorstw unijnych,</w:t>
      </w:r>
      <w:r w:rsidR="006A22D3" w:rsidRPr="006A22D3">
        <w:rPr>
          <w:noProof/>
        </w:rPr>
        <w:t xml:space="preserve"> a zat</w:t>
      </w:r>
      <w:r w:rsidRPr="006A22D3">
        <w:rPr>
          <w:noProof/>
        </w:rPr>
        <w:t>em przedsiębiorstwa</w:t>
      </w:r>
      <w:r w:rsidR="006A22D3" w:rsidRPr="006A22D3">
        <w:rPr>
          <w:noProof/>
        </w:rPr>
        <w:t xml:space="preserve"> z pań</w:t>
      </w:r>
      <w:r w:rsidRPr="006A22D3">
        <w:rPr>
          <w:noProof/>
        </w:rPr>
        <w:t xml:space="preserve">stw trzecich będą miały bardziej ograniczone obowiązki. </w:t>
      </w:r>
    </w:p>
    <w:p w:rsidR="00C025E3" w:rsidRPr="006A22D3" w:rsidRDefault="00C025E3" w:rsidP="00194519">
      <w:pPr>
        <w:rPr>
          <w:noProof/>
        </w:rPr>
      </w:pPr>
      <w:r w:rsidRPr="006A22D3">
        <w:rPr>
          <w:noProof/>
        </w:rPr>
        <w:t>Zakres przedmiotowy jest skoncentrowany</w:t>
      </w:r>
      <w:r w:rsidR="006A22D3" w:rsidRPr="006A22D3">
        <w:rPr>
          <w:noProof/>
        </w:rPr>
        <w:t xml:space="preserve"> i opa</w:t>
      </w:r>
      <w:r w:rsidRPr="006A22D3">
        <w:rPr>
          <w:noProof/>
        </w:rPr>
        <w:t>rty głównie na obowiązku</w:t>
      </w:r>
      <w:r w:rsidR="006A22D3" w:rsidRPr="006A22D3">
        <w:rPr>
          <w:noProof/>
        </w:rPr>
        <w:t xml:space="preserve"> w zak</w:t>
      </w:r>
      <w:r w:rsidRPr="006A22D3">
        <w:rPr>
          <w:noProof/>
        </w:rPr>
        <w:t>resie należytej staranności przedsiębiorstw</w:t>
      </w:r>
      <w:r w:rsidR="006A22D3" w:rsidRPr="006A22D3">
        <w:rPr>
          <w:noProof/>
        </w:rPr>
        <w:t xml:space="preserve"> i obe</w:t>
      </w:r>
      <w:r w:rsidRPr="006A22D3">
        <w:rPr>
          <w:noProof/>
        </w:rPr>
        <w:t>jmuje prawa człowieka oraz te rodzaje niekorzystnych skutków dla środowiska, które można jasno zdefiniować</w:t>
      </w:r>
      <w:r w:rsidR="006A22D3" w:rsidRPr="006A22D3">
        <w:rPr>
          <w:noProof/>
        </w:rPr>
        <w:t xml:space="preserve"> w wyb</w:t>
      </w:r>
      <w:r w:rsidRPr="006A22D3">
        <w:rPr>
          <w:noProof/>
        </w:rPr>
        <w:t>ranych konwencjach międzynarodowych. Proponowane obowiązki dyrektorów zapewniają ścisłe powiązanie</w:t>
      </w:r>
      <w:r w:rsidR="006A22D3" w:rsidRPr="006A22D3">
        <w:rPr>
          <w:noProof/>
        </w:rPr>
        <w:t xml:space="preserve"> z obo</w:t>
      </w:r>
      <w:r w:rsidRPr="006A22D3">
        <w:rPr>
          <w:noProof/>
        </w:rPr>
        <w:t>wiązkami</w:t>
      </w:r>
      <w:r w:rsidR="006A22D3" w:rsidRPr="006A22D3">
        <w:rPr>
          <w:noProof/>
        </w:rPr>
        <w:t xml:space="preserve"> w zak</w:t>
      </w:r>
      <w:r w:rsidRPr="006A22D3">
        <w:rPr>
          <w:noProof/>
        </w:rPr>
        <w:t>resie należytej staranności,</w:t>
      </w:r>
      <w:r w:rsidR="006A22D3" w:rsidRPr="006A22D3">
        <w:rPr>
          <w:noProof/>
        </w:rPr>
        <w:t xml:space="preserve"> a zat</w:t>
      </w:r>
      <w:r w:rsidRPr="006A22D3">
        <w:rPr>
          <w:noProof/>
        </w:rPr>
        <w:t>em są niezbędne, aby należyta staranność była skuteczna. Obowiązki dyrektorów obejmują również wyjaśnienie,</w:t>
      </w:r>
      <w:r w:rsidR="006A22D3" w:rsidRPr="006A22D3">
        <w:rPr>
          <w:noProof/>
        </w:rPr>
        <w:t xml:space="preserve"> w jak</w:t>
      </w:r>
      <w:r w:rsidRPr="006A22D3">
        <w:rPr>
          <w:noProof/>
        </w:rPr>
        <w:t>i sposób dyrektorzy mają wypełniać obowiązek dbałości</w:t>
      </w:r>
      <w:r w:rsidR="006A22D3" w:rsidRPr="006A22D3">
        <w:rPr>
          <w:noProof/>
        </w:rPr>
        <w:t xml:space="preserve"> w cel</w:t>
      </w:r>
      <w:r w:rsidRPr="006A22D3">
        <w:rPr>
          <w:noProof/>
        </w:rPr>
        <w:t>u działania</w:t>
      </w:r>
      <w:r w:rsidR="006A22D3" w:rsidRPr="006A22D3">
        <w:rPr>
          <w:noProof/>
        </w:rPr>
        <w:t xml:space="preserve"> w naj</w:t>
      </w:r>
      <w:r w:rsidRPr="006A22D3">
        <w:rPr>
          <w:noProof/>
        </w:rPr>
        <w:t xml:space="preserve">lepszym interesie przedsiębiorstwa. </w:t>
      </w:r>
    </w:p>
    <w:p w:rsidR="001859C1" w:rsidRPr="006A22D3" w:rsidRDefault="001859C1">
      <w:pPr>
        <w:rPr>
          <w:noProof/>
        </w:rPr>
      </w:pPr>
      <w:r w:rsidRPr="006A22D3">
        <w:rPr>
          <w:noProof/>
        </w:rPr>
        <w:t>Skuteczne egzekwowanie obowiązku dochowania należytej staranności ma kluczowe znaczenie dla osiągnięcia celów tej inicjatywy. Niniejsza dyrektywa przewiduje połączenie sankcji</w:t>
      </w:r>
      <w:r w:rsidR="006A22D3" w:rsidRPr="006A22D3">
        <w:rPr>
          <w:noProof/>
        </w:rPr>
        <w:t xml:space="preserve"> i odp</w:t>
      </w:r>
      <w:r w:rsidRPr="006A22D3">
        <w:rPr>
          <w:noProof/>
        </w:rPr>
        <w:t>owiedzialności cywilnej.</w:t>
      </w:r>
    </w:p>
    <w:p w:rsidR="00CA74B6" w:rsidRPr="006A22D3" w:rsidRDefault="001859C1" w:rsidP="004F31C7">
      <w:pPr>
        <w:rPr>
          <w:noProof/>
        </w:rPr>
      </w:pPr>
      <w:r w:rsidRPr="006A22D3">
        <w:rPr>
          <w:noProof/>
        </w:rPr>
        <w:t>Jeśli chodzi</w:t>
      </w:r>
      <w:r w:rsidR="006A22D3" w:rsidRPr="006A22D3">
        <w:rPr>
          <w:noProof/>
        </w:rPr>
        <w:t xml:space="preserve"> o egz</w:t>
      </w:r>
      <w:r w:rsidRPr="006A22D3">
        <w:rPr>
          <w:noProof/>
        </w:rPr>
        <w:t>ekwowanie na drodze prywatnoprawnej przez odpowiedzialność cywilną, stosuje się różne podejścia</w:t>
      </w:r>
      <w:r w:rsidR="006A22D3" w:rsidRPr="006A22D3">
        <w:rPr>
          <w:noProof/>
        </w:rPr>
        <w:t xml:space="preserve"> w odn</w:t>
      </w:r>
      <w:r w:rsidRPr="006A22D3">
        <w:rPr>
          <w:noProof/>
        </w:rPr>
        <w:t>iesieniu do własnej działalności przedsiębiorstwa</w:t>
      </w:r>
      <w:r w:rsidR="006A22D3" w:rsidRPr="006A22D3">
        <w:rPr>
          <w:noProof/>
        </w:rPr>
        <w:t xml:space="preserve"> i jeg</w:t>
      </w:r>
      <w:r w:rsidRPr="006A22D3">
        <w:rPr>
          <w:noProof/>
        </w:rPr>
        <w:t>o jednostek zależnych</w:t>
      </w:r>
      <w:r w:rsidR="006A22D3" w:rsidRPr="006A22D3">
        <w:rPr>
          <w:noProof/>
        </w:rPr>
        <w:t xml:space="preserve"> z jed</w:t>
      </w:r>
      <w:r w:rsidRPr="006A22D3">
        <w:rPr>
          <w:noProof/>
        </w:rPr>
        <w:t>nej strony,</w:t>
      </w:r>
      <w:r w:rsidR="006A22D3" w:rsidRPr="006A22D3">
        <w:rPr>
          <w:noProof/>
        </w:rPr>
        <w:t xml:space="preserve"> a w odn</w:t>
      </w:r>
      <w:r w:rsidRPr="006A22D3">
        <w:rPr>
          <w:noProof/>
        </w:rPr>
        <w:t>iesieniu do relacji biznesowych</w:t>
      </w:r>
      <w:r w:rsidR="006A22D3" w:rsidRPr="006A22D3">
        <w:rPr>
          <w:noProof/>
        </w:rPr>
        <w:t xml:space="preserve"> z dru</w:t>
      </w:r>
      <w:r w:rsidRPr="006A22D3">
        <w:rPr>
          <w:noProof/>
        </w:rPr>
        <w:t>giej</w:t>
      </w:r>
      <w:r w:rsidR="006A22D3" w:rsidRPr="006A22D3">
        <w:rPr>
          <w:noProof/>
        </w:rPr>
        <w:t>. W szc</w:t>
      </w:r>
      <w:r w:rsidRPr="006A22D3">
        <w:rPr>
          <w:noProof/>
        </w:rPr>
        <w:t>zególności odpowiedzialność cywilna dotyczy wyłącznie stałych relacji biznesowych, co do których przedsiębiorstwo spodziewa się, że będą trwałe, ze względu na ich intensywność lub czas trwania,</w:t>
      </w:r>
      <w:r w:rsidR="006A22D3" w:rsidRPr="006A22D3">
        <w:rPr>
          <w:noProof/>
        </w:rPr>
        <w:t xml:space="preserve"> i któ</w:t>
      </w:r>
      <w:r w:rsidRPr="006A22D3">
        <w:rPr>
          <w:noProof/>
        </w:rPr>
        <w:t>re nie stanowią nieistotnej lub jedynie pomocniczej części łańcucha wartości przedsiębiorstwa. Przedsiębiorstwo nie powinno ponosić odpowiedzialności za brak zapobieżenia szkodzie na poziomie pośrednich relacji biznesowych ani za niezaprzestanie wyrządzania szkody, jeśli zawierało umowy kaskadowe</w:t>
      </w:r>
      <w:r w:rsidR="006A22D3" w:rsidRPr="006A22D3">
        <w:rPr>
          <w:noProof/>
        </w:rPr>
        <w:t xml:space="preserve"> i sto</w:t>
      </w:r>
      <w:r w:rsidRPr="006A22D3">
        <w:rPr>
          <w:noProof/>
        </w:rPr>
        <w:t>sowało zapewnienie umowne oraz wprowadziło środki sprawdzające ich przestrzeganie, chyba że ze względu na okoliczności sprawy nie można było racjonalnie oczekiwać, że faktycznie podjęte działania,</w:t>
      </w:r>
      <w:r w:rsidR="006A22D3" w:rsidRPr="006A22D3">
        <w:rPr>
          <w:noProof/>
        </w:rPr>
        <w:t xml:space="preserve"> w tym w zak</w:t>
      </w:r>
      <w:r w:rsidRPr="006A22D3">
        <w:rPr>
          <w:noProof/>
        </w:rPr>
        <w:t>resie sprawdzania zgodności, będą odpowiednie do tego, aby zapobiec tym niekorzystnym skutkom, złagodzić je, powstrzymać lub zminimalizować. Ponadto</w:t>
      </w:r>
      <w:r w:rsidR="006A22D3" w:rsidRPr="006A22D3">
        <w:rPr>
          <w:noProof/>
        </w:rPr>
        <w:t xml:space="preserve"> w oce</w:t>
      </w:r>
      <w:r w:rsidRPr="006A22D3">
        <w:rPr>
          <w:noProof/>
        </w:rPr>
        <w:t>nie istnienia</w:t>
      </w:r>
      <w:r w:rsidR="006A22D3" w:rsidRPr="006A22D3">
        <w:rPr>
          <w:noProof/>
        </w:rPr>
        <w:t xml:space="preserve"> i zak</w:t>
      </w:r>
      <w:r w:rsidRPr="006A22D3">
        <w:rPr>
          <w:noProof/>
        </w:rPr>
        <w:t>resu odpowiedzialności należy należycie uwzględnić podjęte dotychczas starania przedsiębiorstwa –</w:t>
      </w:r>
      <w:r w:rsidR="006A22D3" w:rsidRPr="006A22D3">
        <w:rPr>
          <w:noProof/>
        </w:rPr>
        <w:t xml:space="preserve"> w zak</w:t>
      </w:r>
      <w:r w:rsidRPr="006A22D3">
        <w:rPr>
          <w:noProof/>
        </w:rPr>
        <w:t>resie,</w:t>
      </w:r>
      <w:r w:rsidR="006A22D3" w:rsidRPr="006A22D3">
        <w:rPr>
          <w:noProof/>
        </w:rPr>
        <w:t xml:space="preserve"> w jak</w:t>
      </w:r>
      <w:r w:rsidRPr="006A22D3">
        <w:rPr>
          <w:noProof/>
        </w:rPr>
        <w:t>im dotyczą bezpośrednio przedmiotowej szkody –</w:t>
      </w:r>
      <w:r w:rsidR="006A22D3" w:rsidRPr="006A22D3">
        <w:rPr>
          <w:noProof/>
        </w:rPr>
        <w:t xml:space="preserve"> w cel</w:t>
      </w:r>
      <w:r w:rsidRPr="006A22D3">
        <w:rPr>
          <w:noProof/>
        </w:rPr>
        <w:t>u podjęcia wszelkich działań zaradczych wymaganych od niego przez organ nadzorczy, wszelkie dokonane inwestycje</w:t>
      </w:r>
      <w:r w:rsidR="006A22D3" w:rsidRPr="006A22D3">
        <w:rPr>
          <w:noProof/>
        </w:rPr>
        <w:t xml:space="preserve"> i uki</w:t>
      </w:r>
      <w:r w:rsidRPr="006A22D3">
        <w:rPr>
          <w:noProof/>
        </w:rPr>
        <w:t>erunkowane udzielone wsparcie,</w:t>
      </w:r>
      <w:r w:rsidR="006A22D3" w:rsidRPr="006A22D3">
        <w:rPr>
          <w:noProof/>
        </w:rPr>
        <w:t xml:space="preserve"> a tak</w:t>
      </w:r>
      <w:r w:rsidRPr="006A22D3">
        <w:rPr>
          <w:noProof/>
        </w:rPr>
        <w:t>że współpracę</w:t>
      </w:r>
      <w:r w:rsidR="006A22D3" w:rsidRPr="006A22D3">
        <w:rPr>
          <w:noProof/>
        </w:rPr>
        <w:t xml:space="preserve"> z inn</w:t>
      </w:r>
      <w:r w:rsidRPr="006A22D3">
        <w:rPr>
          <w:noProof/>
        </w:rPr>
        <w:t>ymi podmiotami</w:t>
      </w:r>
      <w:r w:rsidR="006A22D3" w:rsidRPr="006A22D3">
        <w:rPr>
          <w:noProof/>
        </w:rPr>
        <w:t xml:space="preserve"> w cel</w:t>
      </w:r>
      <w:r w:rsidRPr="006A22D3">
        <w:rPr>
          <w:noProof/>
        </w:rPr>
        <w:t>u przeciwdziałania niekorzystnym skutkom</w:t>
      </w:r>
      <w:r w:rsidR="006A22D3" w:rsidRPr="006A22D3">
        <w:rPr>
          <w:noProof/>
        </w:rPr>
        <w:t xml:space="preserve"> w łań</w:t>
      </w:r>
      <w:r w:rsidRPr="006A22D3">
        <w:rPr>
          <w:noProof/>
        </w:rPr>
        <w:t>cuchach wartości.</w:t>
      </w:r>
    </w:p>
    <w:p w:rsidR="0030306A" w:rsidRPr="006A22D3" w:rsidRDefault="0030306A">
      <w:pPr>
        <w:rPr>
          <w:noProof/>
        </w:rPr>
      </w:pPr>
      <w:r w:rsidRPr="006A22D3">
        <w:rPr>
          <w:noProof/>
        </w:rPr>
        <w:t>Takie podejście do odpowiedzialności cywilnej ograniczy również ryzyko nadmiernej liczby postępowań sądowych.</w:t>
      </w:r>
    </w:p>
    <w:p w:rsidR="001859C1" w:rsidRPr="006A22D3" w:rsidRDefault="001859C1" w:rsidP="00FD7324">
      <w:pPr>
        <w:rPr>
          <w:noProof/>
        </w:rPr>
      </w:pPr>
      <w:r w:rsidRPr="006A22D3">
        <w:rPr>
          <w:noProof/>
        </w:rPr>
        <w:t>Środki związane</w:t>
      </w:r>
      <w:r w:rsidR="006A22D3" w:rsidRPr="006A22D3">
        <w:rPr>
          <w:noProof/>
        </w:rPr>
        <w:t xml:space="preserve"> z pub</w:t>
      </w:r>
      <w:r w:rsidRPr="006A22D3">
        <w:rPr>
          <w:noProof/>
        </w:rPr>
        <w:t>licznym egzekwowaniem obowiązku dochowania należytej staranności nie wykraczają poza to, co jest konieczne. Niniejsza dyrektywa wyjaśnia, że wszelkie sankcje nałożone</w:t>
      </w:r>
      <w:r w:rsidR="006A22D3" w:rsidRPr="006A22D3">
        <w:rPr>
          <w:noProof/>
        </w:rPr>
        <w:t xml:space="preserve"> w zwi</w:t>
      </w:r>
      <w:r w:rsidRPr="006A22D3">
        <w:rPr>
          <w:noProof/>
        </w:rPr>
        <w:t>ązku</w:t>
      </w:r>
      <w:r w:rsidR="006A22D3" w:rsidRPr="006A22D3">
        <w:rPr>
          <w:noProof/>
        </w:rPr>
        <w:t xml:space="preserve"> z nie</w:t>
      </w:r>
      <w:r w:rsidRPr="006A22D3">
        <w:rPr>
          <w:noProof/>
        </w:rPr>
        <w:t>przestrzeganiem obowiązków</w:t>
      </w:r>
      <w:r w:rsidR="006A22D3" w:rsidRPr="006A22D3">
        <w:rPr>
          <w:noProof/>
        </w:rPr>
        <w:t xml:space="preserve"> w zak</w:t>
      </w:r>
      <w:r w:rsidRPr="006A22D3">
        <w:rPr>
          <w:noProof/>
        </w:rPr>
        <w:t>resie należytej staranności muszą być proporcjonalne. Jeśli organy publiczne badające przestrzeganie przez przedsiębiorstwo niniejszej dyrektywy stwierdzą uchybienie, powinny najpierw wyznaczyć przedsiębiorstwu odpowiedni termin na podjęcie działań naprawczych. Dyrektywa określa ograniczoną liczbę sankcji, które powinny być stosowane we wszystkich państwach członkowskich, ale pozostawia</w:t>
      </w:r>
      <w:r w:rsidR="006A22D3" w:rsidRPr="006A22D3">
        <w:rPr>
          <w:noProof/>
        </w:rPr>
        <w:t xml:space="preserve"> w ges</w:t>
      </w:r>
      <w:r w:rsidRPr="006A22D3">
        <w:rPr>
          <w:noProof/>
        </w:rPr>
        <w:t>tii państw członkowskich zapewnienie proporcjonalnego procesu egzekwowania przepisów, zgodnie</w:t>
      </w:r>
      <w:r w:rsidR="006A22D3" w:rsidRPr="006A22D3">
        <w:rPr>
          <w:noProof/>
        </w:rPr>
        <w:t xml:space="preserve"> z ich</w:t>
      </w:r>
      <w:r w:rsidRPr="006A22D3">
        <w:rPr>
          <w:noProof/>
        </w:rPr>
        <w:t xml:space="preserve"> prawem krajowym</w:t>
      </w:r>
      <w:r w:rsidR="006A22D3" w:rsidRPr="006A22D3">
        <w:rPr>
          <w:noProof/>
        </w:rPr>
        <w:t>. W prz</w:t>
      </w:r>
      <w:r w:rsidRPr="006A22D3">
        <w:rPr>
          <w:noProof/>
        </w:rPr>
        <w:t>ypadku nałożenia kar pieniężnych –</w:t>
      </w:r>
      <w:r w:rsidR="006A22D3" w:rsidRPr="006A22D3">
        <w:rPr>
          <w:noProof/>
        </w:rPr>
        <w:t xml:space="preserve"> w cel</w:t>
      </w:r>
      <w:r w:rsidRPr="006A22D3">
        <w:rPr>
          <w:noProof/>
        </w:rPr>
        <w:t>u zapewnienia, aby były proporcjonalne – ich wysokość zależy od przychodów przedsiębiorstwa.</w:t>
      </w:r>
    </w:p>
    <w:p w:rsidR="001859C1" w:rsidRPr="006A22D3" w:rsidRDefault="001859C1" w:rsidP="00FD7324">
      <w:pPr>
        <w:rPr>
          <w:noProof/>
        </w:rPr>
      </w:pPr>
      <w:r w:rsidRPr="006A22D3">
        <w:rPr>
          <w:noProof/>
        </w:rPr>
        <w:t>Ponadto niniejsza dyrektywa nie pociąga za sobą niepotrzebnych kosztów dla Unii, rządów krajowych, władz regionalnych ani lokalnych. Dyrektywa pozostawia</w:t>
      </w:r>
      <w:r w:rsidR="006A22D3" w:rsidRPr="006A22D3">
        <w:rPr>
          <w:noProof/>
        </w:rPr>
        <w:t xml:space="preserve"> w ges</w:t>
      </w:r>
      <w:r w:rsidRPr="006A22D3">
        <w:rPr>
          <w:noProof/>
        </w:rPr>
        <w:t>tii państw członkowskich sposób zorganizowania egzekwowania przepisów. Nadzór może być prowadzony przez istniejące organy. Aby zmniejszyć koszty (np.</w:t>
      </w:r>
      <w:r w:rsidR="006A22D3" w:rsidRPr="006A22D3">
        <w:rPr>
          <w:noProof/>
        </w:rPr>
        <w:t xml:space="preserve"> w prz</w:t>
      </w:r>
      <w:r w:rsidRPr="006A22D3">
        <w:rPr>
          <w:noProof/>
        </w:rPr>
        <w:t>ypadku nadzorowania przedsiębiorstw</w:t>
      </w:r>
      <w:r w:rsidR="006A22D3" w:rsidRPr="006A22D3">
        <w:rPr>
          <w:noProof/>
        </w:rPr>
        <w:t xml:space="preserve"> z pań</w:t>
      </w:r>
      <w:r w:rsidRPr="006A22D3">
        <w:rPr>
          <w:noProof/>
        </w:rPr>
        <w:t>stw trzecich działających</w:t>
      </w:r>
      <w:r w:rsidR="006A22D3" w:rsidRPr="006A22D3">
        <w:rPr>
          <w:noProof/>
        </w:rPr>
        <w:t xml:space="preserve"> w róż</w:t>
      </w:r>
      <w:r w:rsidRPr="006A22D3">
        <w:rPr>
          <w:noProof/>
        </w:rPr>
        <w:t>nych państwach członkowskich) oraz poprawić nadzór, koordynację, prowadzenie dochodzeń</w:t>
      </w:r>
      <w:r w:rsidR="006A22D3" w:rsidRPr="006A22D3">
        <w:rPr>
          <w:noProof/>
        </w:rPr>
        <w:t xml:space="preserve"> i wym</w:t>
      </w:r>
      <w:r w:rsidRPr="006A22D3">
        <w:rPr>
          <w:noProof/>
        </w:rPr>
        <w:t xml:space="preserve">ianę informacji, Komisja utworzy Europejską Sieć Organów Nadzorczych. </w:t>
      </w:r>
    </w:p>
    <w:p w:rsidR="007929C3" w:rsidRPr="006A22D3" w:rsidRDefault="0005509A" w:rsidP="00FD7324">
      <w:pPr>
        <w:rPr>
          <w:noProof/>
        </w:rPr>
      </w:pPr>
      <w:r w:rsidRPr="006A22D3">
        <w:rPr>
          <w:noProof/>
        </w:rPr>
        <w:t>Niniejsza dyrektywa umożliwia współpracę przedsiębiorstw, stosowanie projektów branżowych</w:t>
      </w:r>
      <w:r w:rsidR="006A22D3" w:rsidRPr="006A22D3">
        <w:rPr>
          <w:noProof/>
        </w:rPr>
        <w:t xml:space="preserve"> i ini</w:t>
      </w:r>
      <w:r w:rsidRPr="006A22D3">
        <w:rPr>
          <w:noProof/>
        </w:rPr>
        <w:t>cjatyw</w:t>
      </w:r>
      <w:r w:rsidR="006A22D3" w:rsidRPr="006A22D3">
        <w:rPr>
          <w:noProof/>
        </w:rPr>
        <w:t xml:space="preserve"> z udz</w:t>
      </w:r>
      <w:r w:rsidRPr="006A22D3">
        <w:rPr>
          <w:noProof/>
        </w:rPr>
        <w:t>iałem wielu zainteresowanych stron</w:t>
      </w:r>
      <w:r w:rsidR="006A22D3" w:rsidRPr="006A22D3">
        <w:rPr>
          <w:noProof/>
        </w:rPr>
        <w:t xml:space="preserve"> w cel</w:t>
      </w:r>
      <w:r w:rsidRPr="006A22D3">
        <w:rPr>
          <w:noProof/>
        </w:rPr>
        <w:t>u zmniejszenia kosztów dostosowania się przedsiębiorstw do przepisów dyrektywy.</w:t>
      </w:r>
    </w:p>
    <w:p w:rsidR="001859C1" w:rsidRPr="006A22D3" w:rsidRDefault="001859C1" w:rsidP="000B2095">
      <w:pPr>
        <w:pStyle w:val="ManualHeading2"/>
        <w:rPr>
          <w:noProof/>
        </w:rPr>
      </w:pPr>
      <w:r w:rsidRPr="006A22D3">
        <w:rPr>
          <w:noProof/>
        </w:rPr>
        <w:t>Wybór instrumentu</w:t>
      </w:r>
    </w:p>
    <w:p w:rsidR="001859C1" w:rsidRPr="006A22D3" w:rsidRDefault="001859C1" w:rsidP="000A60CF">
      <w:pPr>
        <w:rPr>
          <w:noProof/>
        </w:rPr>
      </w:pPr>
      <w:r w:rsidRPr="006A22D3">
        <w:rPr>
          <w:noProof/>
        </w:rPr>
        <w:t>Proponowanym instrumentem jest dyrektywa, ponieważ art.</w:t>
      </w:r>
      <w:r w:rsidR="00192E90" w:rsidRPr="006A22D3">
        <w:rPr>
          <w:noProof/>
        </w:rPr>
        <w:t> </w:t>
      </w:r>
      <w:r w:rsidRPr="006A22D3">
        <w:rPr>
          <w:noProof/>
        </w:rPr>
        <w:t>50 TFUE stanowi podstawę prawną dla przepisów prawa spółek dotyczących ochrony interesów wspólników przedsiębiorstw</w:t>
      </w:r>
      <w:r w:rsidR="006A22D3" w:rsidRPr="006A22D3">
        <w:rPr>
          <w:noProof/>
        </w:rPr>
        <w:t xml:space="preserve"> i inn</w:t>
      </w:r>
      <w:r w:rsidRPr="006A22D3">
        <w:rPr>
          <w:noProof/>
        </w:rPr>
        <w:t>ych osób</w:t>
      </w:r>
      <w:r w:rsidR="006A22D3" w:rsidRPr="006A22D3">
        <w:rPr>
          <w:noProof/>
        </w:rPr>
        <w:t xml:space="preserve"> w cel</w:t>
      </w:r>
      <w:r w:rsidRPr="006A22D3">
        <w:rPr>
          <w:noProof/>
        </w:rPr>
        <w:t>u zapewnienia równoważności tej ochrony</w:t>
      </w:r>
      <w:r w:rsidR="006A22D3" w:rsidRPr="006A22D3">
        <w:rPr>
          <w:noProof/>
        </w:rPr>
        <w:t xml:space="preserve"> w cał</w:t>
      </w:r>
      <w:r w:rsidRPr="006A22D3">
        <w:rPr>
          <w:noProof/>
        </w:rPr>
        <w:t>ej Unii. Art. 50 TFUE zobowiązuje Parlament Europejski</w:t>
      </w:r>
      <w:r w:rsidR="006A22D3" w:rsidRPr="006A22D3">
        <w:rPr>
          <w:noProof/>
        </w:rPr>
        <w:t xml:space="preserve"> i Rad</w:t>
      </w:r>
      <w:r w:rsidRPr="006A22D3">
        <w:rPr>
          <w:noProof/>
        </w:rPr>
        <w:t>ę do działania za pośrednictwem dyrektyw.</w:t>
      </w:r>
    </w:p>
    <w:p w:rsidR="00E52BBD" w:rsidRPr="006A22D3" w:rsidRDefault="00E52BBD" w:rsidP="000A60CF">
      <w:pPr>
        <w:rPr>
          <w:noProof/>
        </w:rPr>
      </w:pPr>
      <w:r w:rsidRPr="006A22D3">
        <w:rPr>
          <w:noProof/>
        </w:rPr>
        <w:t>Komisja przyjmuje akty delegowane określające kryteria dotyczące prowadzenia przez przedsiębiorstwa</w:t>
      </w:r>
      <w:r w:rsidR="006A22D3" w:rsidRPr="006A22D3">
        <w:rPr>
          <w:noProof/>
        </w:rPr>
        <w:t xml:space="preserve"> z pań</w:t>
      </w:r>
      <w:r w:rsidRPr="006A22D3">
        <w:rPr>
          <w:noProof/>
        </w:rPr>
        <w:t>stw trzecich sprawozdawczości</w:t>
      </w:r>
      <w:r w:rsidR="006A22D3" w:rsidRPr="006A22D3">
        <w:rPr>
          <w:noProof/>
        </w:rPr>
        <w:t xml:space="preserve"> w zak</w:t>
      </w:r>
      <w:r w:rsidRPr="006A22D3">
        <w:rPr>
          <w:noProof/>
        </w:rPr>
        <w:t>resie należytej staranności.</w:t>
      </w:r>
    </w:p>
    <w:p w:rsidR="001859C1" w:rsidRPr="006A22D3" w:rsidRDefault="001859C1" w:rsidP="000A60CF">
      <w:pPr>
        <w:rPr>
          <w:noProof/>
        </w:rPr>
      </w:pPr>
      <w:r w:rsidRPr="006A22D3">
        <w:rPr>
          <w:noProof/>
        </w:rPr>
        <w:t>Celem zapewnienia wsparcia przedsiębiorstwom</w:t>
      </w:r>
      <w:r w:rsidR="006A22D3" w:rsidRPr="006A22D3">
        <w:rPr>
          <w:noProof/>
        </w:rPr>
        <w:t xml:space="preserve"> i org</w:t>
      </w:r>
      <w:r w:rsidRPr="006A22D3">
        <w:rPr>
          <w:noProof/>
        </w:rPr>
        <w:t>anom państw członkowskich</w:t>
      </w:r>
      <w:r w:rsidR="006A22D3" w:rsidRPr="006A22D3">
        <w:rPr>
          <w:noProof/>
        </w:rPr>
        <w:t xml:space="preserve"> w zak</w:t>
      </w:r>
      <w:r w:rsidRPr="006A22D3">
        <w:rPr>
          <w:noProof/>
        </w:rPr>
        <w:t>resie sposobu,</w:t>
      </w:r>
      <w:r w:rsidR="006A22D3" w:rsidRPr="006A22D3">
        <w:rPr>
          <w:noProof/>
        </w:rPr>
        <w:t xml:space="preserve"> w jak</w:t>
      </w:r>
      <w:r w:rsidRPr="006A22D3">
        <w:rPr>
          <w:noProof/>
        </w:rPr>
        <w:t>i przedsiębiorstwa powinny wypełniać swoje obowiązki</w:t>
      </w:r>
      <w:r w:rsidR="006A22D3" w:rsidRPr="006A22D3">
        <w:rPr>
          <w:noProof/>
        </w:rPr>
        <w:t xml:space="preserve"> w zak</w:t>
      </w:r>
      <w:r w:rsidRPr="006A22D3">
        <w:rPr>
          <w:noProof/>
        </w:rPr>
        <w:t>resie należytej staranności, Komisja może wydać odpowiednie wytyczne,</w:t>
      </w:r>
      <w:r w:rsidR="006A22D3" w:rsidRPr="006A22D3">
        <w:rPr>
          <w:noProof/>
        </w:rPr>
        <w:t xml:space="preserve"> w raz</w:t>
      </w:r>
      <w:r w:rsidRPr="006A22D3">
        <w:rPr>
          <w:noProof/>
        </w:rPr>
        <w:t>ie potrzeby</w:t>
      </w:r>
      <w:r w:rsidR="006A22D3" w:rsidRPr="006A22D3">
        <w:rPr>
          <w:noProof/>
        </w:rPr>
        <w:t xml:space="preserve"> w por</w:t>
      </w:r>
      <w:r w:rsidRPr="006A22D3">
        <w:rPr>
          <w:noProof/>
        </w:rPr>
        <w:t>ozumieniu</w:t>
      </w:r>
      <w:r w:rsidR="006A22D3" w:rsidRPr="006A22D3">
        <w:rPr>
          <w:noProof/>
        </w:rPr>
        <w:t xml:space="preserve"> z odp</w:t>
      </w:r>
      <w:r w:rsidRPr="006A22D3">
        <w:rPr>
          <w:noProof/>
        </w:rPr>
        <w:t>owiednimi organami europejskimi, organami międzynarodowymi posiadającymi wiedzę specjalistyczną</w:t>
      </w:r>
      <w:r w:rsidR="006A22D3" w:rsidRPr="006A22D3">
        <w:rPr>
          <w:noProof/>
        </w:rPr>
        <w:t xml:space="preserve"> w zak</w:t>
      </w:r>
      <w:r w:rsidRPr="006A22D3">
        <w:rPr>
          <w:noProof/>
        </w:rPr>
        <w:t>resie wdrażania zasad należytej staranności, jak również</w:t>
      </w:r>
      <w:r w:rsidR="006A22D3" w:rsidRPr="006A22D3">
        <w:rPr>
          <w:noProof/>
        </w:rPr>
        <w:t xml:space="preserve"> z inn</w:t>
      </w:r>
      <w:r w:rsidRPr="006A22D3">
        <w:rPr>
          <w:noProof/>
        </w:rPr>
        <w:t>ymi organami. Wytyczne można również wydać</w:t>
      </w:r>
      <w:r w:rsidR="006A22D3" w:rsidRPr="006A22D3">
        <w:rPr>
          <w:noProof/>
        </w:rPr>
        <w:t xml:space="preserve"> w cel</w:t>
      </w:r>
      <w:r w:rsidRPr="006A22D3">
        <w:rPr>
          <w:noProof/>
        </w:rPr>
        <w:t>u określenia niewiążących wzorcowych klauzul umownych, które przedsiębiorstwa mogą stosować podczas kaskadowania obowiązku</w:t>
      </w:r>
      <w:r w:rsidR="006A22D3" w:rsidRPr="006A22D3">
        <w:rPr>
          <w:noProof/>
        </w:rPr>
        <w:t xml:space="preserve"> w swo</w:t>
      </w:r>
      <w:r w:rsidRPr="006A22D3">
        <w:rPr>
          <w:noProof/>
        </w:rPr>
        <w:t>im łańcuchu wartości.</w:t>
      </w:r>
    </w:p>
    <w:p w:rsidR="00A07C1E" w:rsidRPr="006A22D3" w:rsidRDefault="00A07C1E" w:rsidP="005F1AB9">
      <w:pPr>
        <w:rPr>
          <w:rFonts w:eastAsia="Calibri"/>
          <w:noProof/>
        </w:rPr>
      </w:pPr>
      <w:r w:rsidRPr="006A22D3">
        <w:rPr>
          <w:noProof/>
        </w:rPr>
        <w:t>Ponadto Komisja może wprowadzić inne środki wspierające</w:t>
      </w:r>
      <w:r w:rsidR="006A22D3" w:rsidRPr="006A22D3">
        <w:rPr>
          <w:noProof/>
        </w:rPr>
        <w:t xml:space="preserve"> w opa</w:t>
      </w:r>
      <w:r w:rsidRPr="006A22D3">
        <w:rPr>
          <w:noProof/>
        </w:rPr>
        <w:t>rciu</w:t>
      </w:r>
      <w:r w:rsidR="006A22D3" w:rsidRPr="006A22D3">
        <w:rPr>
          <w:noProof/>
        </w:rPr>
        <w:t xml:space="preserve"> o ist</w:t>
      </w:r>
      <w:r w:rsidRPr="006A22D3">
        <w:rPr>
          <w:noProof/>
        </w:rPr>
        <w:t>niejące działania</w:t>
      </w:r>
      <w:r w:rsidR="006A22D3" w:rsidRPr="006A22D3">
        <w:rPr>
          <w:noProof/>
        </w:rPr>
        <w:t xml:space="preserve"> i nar</w:t>
      </w:r>
      <w:r w:rsidRPr="006A22D3">
        <w:rPr>
          <w:noProof/>
        </w:rPr>
        <w:t>zędzia UE</w:t>
      </w:r>
      <w:r w:rsidR="006A22D3" w:rsidRPr="006A22D3">
        <w:rPr>
          <w:noProof/>
        </w:rPr>
        <w:t xml:space="preserve"> w cel</w:t>
      </w:r>
      <w:r w:rsidRPr="006A22D3">
        <w:rPr>
          <w:noProof/>
        </w:rPr>
        <w:t>u wspierania wdrażania zasad należytej staranności</w:t>
      </w:r>
      <w:r w:rsidR="006A22D3" w:rsidRPr="006A22D3">
        <w:rPr>
          <w:noProof/>
        </w:rPr>
        <w:t xml:space="preserve"> w Uni</w:t>
      </w:r>
      <w:r w:rsidRPr="006A22D3">
        <w:rPr>
          <w:noProof/>
        </w:rPr>
        <w:t>i</w:t>
      </w:r>
      <w:r w:rsidR="006A22D3" w:rsidRPr="006A22D3">
        <w:rPr>
          <w:noProof/>
        </w:rPr>
        <w:t xml:space="preserve"> i pań</w:t>
      </w:r>
      <w:r w:rsidRPr="006A22D3">
        <w:rPr>
          <w:noProof/>
        </w:rPr>
        <w:t>stwach trzecich,</w:t>
      </w:r>
      <w:r w:rsidR="006A22D3" w:rsidRPr="006A22D3">
        <w:rPr>
          <w:noProof/>
        </w:rPr>
        <w:t xml:space="preserve"> w tym</w:t>
      </w:r>
      <w:r w:rsidRPr="006A22D3">
        <w:rPr>
          <w:noProof/>
        </w:rPr>
        <w:t xml:space="preserve"> ułatwiania realizacji wspólnych inicjatyw zainteresowanych stron, aby pomóc przedsiębiorstwom</w:t>
      </w:r>
      <w:r w:rsidR="006A22D3" w:rsidRPr="006A22D3">
        <w:rPr>
          <w:noProof/>
        </w:rPr>
        <w:t xml:space="preserve"> w wyp</w:t>
      </w:r>
      <w:r w:rsidRPr="006A22D3">
        <w:rPr>
          <w:noProof/>
        </w:rPr>
        <w:t>ełnianiu ich obowiązków</w:t>
      </w:r>
      <w:r w:rsidR="006A22D3" w:rsidRPr="006A22D3">
        <w:rPr>
          <w:noProof/>
        </w:rPr>
        <w:t xml:space="preserve"> i wsp</w:t>
      </w:r>
      <w:r w:rsidRPr="006A22D3">
        <w:rPr>
          <w:noProof/>
        </w:rPr>
        <w:t>ierać MŚP, na które niniejsza dyrektywa wpłynie</w:t>
      </w:r>
      <w:r w:rsidR="006A22D3" w:rsidRPr="006A22D3">
        <w:rPr>
          <w:noProof/>
        </w:rPr>
        <w:t xml:space="preserve"> w inn</w:t>
      </w:r>
      <w:r w:rsidRPr="006A22D3">
        <w:rPr>
          <w:noProof/>
        </w:rPr>
        <w:t>y sposób. Działania te można dodatkowo uzupełnić poprzez wykorzystanie unijnych instrumentów finansowania współpracy na rzecz rozwoju do wspierania rządów państw trzecich</w:t>
      </w:r>
      <w:r w:rsidR="006A22D3" w:rsidRPr="006A22D3">
        <w:rPr>
          <w:noProof/>
        </w:rPr>
        <w:t xml:space="preserve"> i pod</w:t>
      </w:r>
      <w:r w:rsidRPr="006A22D3">
        <w:rPr>
          <w:noProof/>
        </w:rPr>
        <w:t>miotów gospodarczych działających na wyższym szczeblu łańcucha dostaw</w:t>
      </w:r>
      <w:r w:rsidR="006A22D3" w:rsidRPr="006A22D3">
        <w:rPr>
          <w:noProof/>
        </w:rPr>
        <w:t xml:space="preserve"> w pań</w:t>
      </w:r>
      <w:r w:rsidRPr="006A22D3">
        <w:rPr>
          <w:noProof/>
        </w:rPr>
        <w:t>stwach trzecich</w:t>
      </w:r>
      <w:r w:rsidR="006A22D3" w:rsidRPr="006A22D3">
        <w:rPr>
          <w:noProof/>
        </w:rPr>
        <w:t xml:space="preserve"> w roz</w:t>
      </w:r>
      <w:r w:rsidRPr="006A22D3">
        <w:rPr>
          <w:noProof/>
        </w:rPr>
        <w:t>wiązywaniu problemów związanych</w:t>
      </w:r>
      <w:r w:rsidR="006A22D3" w:rsidRPr="006A22D3">
        <w:rPr>
          <w:noProof/>
        </w:rPr>
        <w:t xml:space="preserve"> z nie</w:t>
      </w:r>
      <w:r w:rsidRPr="006A22D3">
        <w:rPr>
          <w:noProof/>
        </w:rPr>
        <w:t>korzystnym wpływem ich działalności</w:t>
      </w:r>
      <w:r w:rsidR="006A22D3" w:rsidRPr="006A22D3">
        <w:rPr>
          <w:noProof/>
        </w:rPr>
        <w:t xml:space="preserve"> i rel</w:t>
      </w:r>
      <w:r w:rsidRPr="006A22D3">
        <w:rPr>
          <w:noProof/>
        </w:rPr>
        <w:t>acji biznesowych na wyższym szczeblu łańcucha dostaw na prawa człowieka</w:t>
      </w:r>
      <w:r w:rsidR="006A22D3" w:rsidRPr="006A22D3">
        <w:rPr>
          <w:noProof/>
        </w:rPr>
        <w:t xml:space="preserve"> i śro</w:t>
      </w:r>
      <w:r w:rsidRPr="006A22D3">
        <w:rPr>
          <w:noProof/>
        </w:rPr>
        <w:t>dowisko.</w:t>
      </w:r>
    </w:p>
    <w:p w:rsidR="001859C1" w:rsidRPr="006A22D3" w:rsidRDefault="001859C1" w:rsidP="000A60CF">
      <w:pPr>
        <w:pStyle w:val="ManualHeading1"/>
        <w:rPr>
          <w:noProof/>
        </w:rPr>
      </w:pPr>
      <w:r w:rsidRPr="006A22D3">
        <w:rPr>
          <w:noProof/>
        </w:rPr>
        <w:t>3.</w:t>
      </w:r>
      <w:r w:rsidRPr="006A22D3">
        <w:rPr>
          <w:noProof/>
        </w:rPr>
        <w:tab/>
        <w:t xml:space="preserve">WYNIKI OCEN </w:t>
      </w:r>
      <w:r w:rsidRPr="006A22D3">
        <w:rPr>
          <w:i/>
          <w:iCs/>
          <w:noProof/>
        </w:rPr>
        <w:t>EX POST</w:t>
      </w:r>
      <w:r w:rsidRPr="006A22D3">
        <w:rPr>
          <w:noProof/>
        </w:rPr>
        <w:t>, KONSULTACJI Z ZAINTERESOWANYMI STRONAMI I OCEN SKUTKÓW</w:t>
      </w:r>
    </w:p>
    <w:p w:rsidR="001859C1" w:rsidRPr="006A22D3" w:rsidRDefault="001859C1" w:rsidP="000B2095">
      <w:pPr>
        <w:pStyle w:val="ManualHeading2"/>
        <w:rPr>
          <w:noProof/>
        </w:rPr>
      </w:pPr>
      <w:r w:rsidRPr="006A22D3">
        <w:rPr>
          <w:noProof/>
        </w:rPr>
        <w:t>Konsultacje</w:t>
      </w:r>
      <w:r w:rsidR="006A22D3" w:rsidRPr="006A22D3">
        <w:rPr>
          <w:noProof/>
        </w:rPr>
        <w:t xml:space="preserve"> z zai</w:t>
      </w:r>
      <w:r w:rsidRPr="006A22D3">
        <w:rPr>
          <w:noProof/>
        </w:rPr>
        <w:t>nteresowanymi stronami</w:t>
      </w:r>
    </w:p>
    <w:p w:rsidR="001859C1" w:rsidRPr="006A22D3" w:rsidRDefault="001859C1" w:rsidP="000A60CF">
      <w:pPr>
        <w:rPr>
          <w:noProof/>
          <w:szCs w:val="24"/>
        </w:rPr>
      </w:pPr>
      <w:r w:rsidRPr="006A22D3">
        <w:rPr>
          <w:noProof/>
        </w:rPr>
        <w:t>Zgodnie</w:t>
      </w:r>
      <w:r w:rsidR="006A22D3" w:rsidRPr="006A22D3">
        <w:rPr>
          <w:noProof/>
        </w:rPr>
        <w:t xml:space="preserve"> z wyt</w:t>
      </w:r>
      <w:r w:rsidRPr="006A22D3">
        <w:rPr>
          <w:noProof/>
        </w:rPr>
        <w:t>ycznymi</w:t>
      </w:r>
      <w:r w:rsidR="006A22D3" w:rsidRPr="006A22D3">
        <w:rPr>
          <w:noProof/>
        </w:rPr>
        <w:t xml:space="preserve"> w spr</w:t>
      </w:r>
      <w:r w:rsidRPr="006A22D3">
        <w:rPr>
          <w:noProof/>
        </w:rPr>
        <w:t>awie lepszego stanowienia prawa przeprowadzono szereg działań konsultacyjnych:</w:t>
      </w:r>
    </w:p>
    <w:p w:rsidR="001859C1" w:rsidRPr="006A22D3" w:rsidRDefault="001859C1" w:rsidP="005F1AB9">
      <w:pPr>
        <w:pStyle w:val="Tiret0"/>
        <w:rPr>
          <w:noProof/>
        </w:rPr>
      </w:pPr>
      <w:r w:rsidRPr="006A22D3">
        <w:rPr>
          <w:noProof/>
        </w:rPr>
        <w:t>wstępna ocena skutków (plan działania),</w:t>
      </w:r>
      <w:r w:rsidR="006A22D3" w:rsidRPr="006A22D3">
        <w:rPr>
          <w:noProof/>
        </w:rPr>
        <w:t xml:space="preserve"> w odn</w:t>
      </w:r>
      <w:r w:rsidRPr="006A22D3">
        <w:rPr>
          <w:noProof/>
        </w:rPr>
        <w:t xml:space="preserve">iesieniu do której otrzymano 114 informacji zwrotnych; </w:t>
      </w:r>
    </w:p>
    <w:p w:rsidR="001859C1" w:rsidRPr="006A22D3" w:rsidRDefault="001859C1" w:rsidP="005F1AB9">
      <w:pPr>
        <w:pStyle w:val="Tiret0"/>
        <w:rPr>
          <w:noProof/>
        </w:rPr>
      </w:pPr>
      <w:r w:rsidRPr="006A22D3">
        <w:rPr>
          <w:noProof/>
        </w:rPr>
        <w:t>otwarte konsultacje publiczne</w:t>
      </w:r>
      <w:r w:rsidRPr="006A22D3">
        <w:rPr>
          <w:rStyle w:val="FootnoteReference"/>
          <w:noProof/>
        </w:rPr>
        <w:footnoteReference w:id="65"/>
      </w:r>
      <w:r w:rsidRPr="006A22D3">
        <w:rPr>
          <w:noProof/>
        </w:rPr>
        <w:t>,</w:t>
      </w:r>
      <w:r w:rsidR="006A22D3" w:rsidRPr="006A22D3">
        <w:rPr>
          <w:noProof/>
        </w:rPr>
        <w:t xml:space="preserve"> w ram</w:t>
      </w:r>
      <w:r w:rsidRPr="006A22D3">
        <w:rPr>
          <w:noProof/>
        </w:rPr>
        <w:t>ach których otrzymano 473 461 odpowiedzi</w:t>
      </w:r>
      <w:r w:rsidR="006A22D3" w:rsidRPr="006A22D3">
        <w:rPr>
          <w:noProof/>
        </w:rPr>
        <w:t xml:space="preserve"> i 1</w:t>
      </w:r>
      <w:r w:rsidRPr="006A22D3">
        <w:rPr>
          <w:noProof/>
        </w:rPr>
        <w:t>22 785 podpisów obywateli,</w:t>
      </w:r>
      <w:r w:rsidR="006A22D3" w:rsidRPr="006A22D3">
        <w:rPr>
          <w:noProof/>
        </w:rPr>
        <w:t xml:space="preserve"> z któ</w:t>
      </w:r>
      <w:r w:rsidRPr="006A22D3">
        <w:rPr>
          <w:noProof/>
        </w:rPr>
        <w:t>rych zdecydowaną większość złożono</w:t>
      </w:r>
      <w:r w:rsidR="006A22D3" w:rsidRPr="006A22D3">
        <w:rPr>
          <w:noProof/>
        </w:rPr>
        <w:t xml:space="preserve"> w ram</w:t>
      </w:r>
      <w:r w:rsidRPr="006A22D3">
        <w:rPr>
          <w:noProof/>
        </w:rPr>
        <w:t>ach kampanii przeprowadzonej</w:t>
      </w:r>
      <w:r w:rsidR="006A22D3" w:rsidRPr="006A22D3">
        <w:rPr>
          <w:noProof/>
        </w:rPr>
        <w:t xml:space="preserve"> z wyk</w:t>
      </w:r>
      <w:r w:rsidRPr="006A22D3">
        <w:rPr>
          <w:noProof/>
        </w:rPr>
        <w:t xml:space="preserve">orzystaniem wstępnie wypełnionych kwestionariuszy, oraz 149 dokumentów określających stanowisko; </w:t>
      </w:r>
    </w:p>
    <w:p w:rsidR="001859C1" w:rsidRPr="006A22D3" w:rsidRDefault="001859C1" w:rsidP="005F1AB9">
      <w:pPr>
        <w:pStyle w:val="Tiret0"/>
        <w:rPr>
          <w:noProof/>
        </w:rPr>
      </w:pPr>
      <w:r w:rsidRPr="006A22D3">
        <w:rPr>
          <w:noProof/>
        </w:rPr>
        <w:t>specjalne konsultacje</w:t>
      </w:r>
      <w:r w:rsidR="006A22D3" w:rsidRPr="006A22D3">
        <w:rPr>
          <w:noProof/>
        </w:rPr>
        <w:t xml:space="preserve"> z par</w:t>
      </w:r>
      <w:r w:rsidRPr="006A22D3">
        <w:rPr>
          <w:noProof/>
        </w:rPr>
        <w:t xml:space="preserve">tnerami społecznymi; </w:t>
      </w:r>
    </w:p>
    <w:p w:rsidR="001859C1" w:rsidRPr="006A22D3" w:rsidRDefault="001859C1" w:rsidP="005F1AB9">
      <w:pPr>
        <w:pStyle w:val="Tiret0"/>
        <w:rPr>
          <w:noProof/>
        </w:rPr>
      </w:pPr>
      <w:r w:rsidRPr="006A22D3">
        <w:rPr>
          <w:noProof/>
        </w:rPr>
        <w:t>szereg warsztatów</w:t>
      </w:r>
      <w:r w:rsidR="006A22D3" w:rsidRPr="006A22D3">
        <w:rPr>
          <w:noProof/>
        </w:rPr>
        <w:t xml:space="preserve"> i spo</w:t>
      </w:r>
      <w:r w:rsidRPr="006A22D3">
        <w:rPr>
          <w:noProof/>
        </w:rPr>
        <w:t>tkań</w:t>
      </w:r>
      <w:r w:rsidR="006A22D3" w:rsidRPr="006A22D3">
        <w:rPr>
          <w:noProof/>
        </w:rPr>
        <w:t xml:space="preserve"> z udz</w:t>
      </w:r>
      <w:r w:rsidRPr="006A22D3">
        <w:rPr>
          <w:noProof/>
        </w:rPr>
        <w:t>iałem zainteresowanych stron, np. spotkanie Nieformalnej Grupy Ekspertów ds. Prawa Spółek, złożonej głównie</w:t>
      </w:r>
      <w:r w:rsidR="006A22D3" w:rsidRPr="006A22D3">
        <w:rPr>
          <w:noProof/>
        </w:rPr>
        <w:t xml:space="preserve"> z pra</w:t>
      </w:r>
      <w:r w:rsidRPr="006A22D3">
        <w:rPr>
          <w:noProof/>
        </w:rPr>
        <w:t>wników akademickich zajmujących się prawem spółek (ICLEG), spotkanie</w:t>
      </w:r>
      <w:r w:rsidR="006A22D3" w:rsidRPr="006A22D3">
        <w:rPr>
          <w:noProof/>
        </w:rPr>
        <w:t xml:space="preserve"> z prz</w:t>
      </w:r>
      <w:r w:rsidRPr="006A22D3">
        <w:rPr>
          <w:noProof/>
        </w:rPr>
        <w:t>edstawicielami państw członkowskich</w:t>
      </w:r>
      <w:r w:rsidR="006A22D3" w:rsidRPr="006A22D3">
        <w:rPr>
          <w:noProof/>
        </w:rPr>
        <w:t xml:space="preserve"> w Gru</w:t>
      </w:r>
      <w:r w:rsidRPr="006A22D3">
        <w:rPr>
          <w:noProof/>
        </w:rPr>
        <w:t>pie Ekspertów ds. Prawa Spółek (CLEG); oraz</w:t>
      </w:r>
    </w:p>
    <w:p w:rsidR="001859C1" w:rsidRPr="006A22D3" w:rsidRDefault="001859C1" w:rsidP="005F1AB9">
      <w:pPr>
        <w:pStyle w:val="Tiret0"/>
        <w:rPr>
          <w:noProof/>
        </w:rPr>
      </w:pPr>
      <w:r w:rsidRPr="006A22D3">
        <w:rPr>
          <w:noProof/>
        </w:rPr>
        <w:t>konferencje</w:t>
      </w:r>
      <w:r w:rsidR="006A22D3" w:rsidRPr="006A22D3">
        <w:rPr>
          <w:noProof/>
        </w:rPr>
        <w:t xml:space="preserve"> i spo</w:t>
      </w:r>
      <w:r w:rsidRPr="006A22D3">
        <w:rPr>
          <w:noProof/>
        </w:rPr>
        <w:t>tkania ze stowarzyszeniami przedsiębiorców, indywidualnymi przedsiębiorcami,</w:t>
      </w:r>
      <w:r w:rsidR="006A22D3" w:rsidRPr="006A22D3">
        <w:rPr>
          <w:noProof/>
        </w:rPr>
        <w:t xml:space="preserve"> w tym</w:t>
      </w:r>
      <w:r w:rsidRPr="006A22D3">
        <w:rPr>
          <w:noProof/>
        </w:rPr>
        <w:t xml:space="preserve"> przedstawicielami małych</w:t>
      </w:r>
      <w:r w:rsidR="006A22D3" w:rsidRPr="006A22D3">
        <w:rPr>
          <w:noProof/>
        </w:rPr>
        <w:t xml:space="preserve"> i śre</w:t>
      </w:r>
      <w:r w:rsidRPr="006A22D3">
        <w:rPr>
          <w:noProof/>
        </w:rPr>
        <w:t>dnich przedsiębiorstw (MŚP), organizacjami społeczeństwa obywatelskiego,</w:t>
      </w:r>
      <w:r w:rsidR="006A22D3" w:rsidRPr="006A22D3">
        <w:rPr>
          <w:noProof/>
        </w:rPr>
        <w:t xml:space="preserve"> w tym</w:t>
      </w:r>
      <w:r w:rsidRPr="006A22D3">
        <w:rPr>
          <w:noProof/>
        </w:rPr>
        <w:t xml:space="preserve"> organizacjami pozarządowymi</w:t>
      </w:r>
      <w:r w:rsidR="006A22D3" w:rsidRPr="006A22D3">
        <w:rPr>
          <w:noProof/>
        </w:rPr>
        <w:t xml:space="preserve"> i non</w:t>
      </w:r>
      <w:r w:rsidRPr="006A22D3">
        <w:rPr>
          <w:noProof/>
        </w:rPr>
        <w:t>-profit,</w:t>
      </w:r>
      <w:r w:rsidR="006A22D3" w:rsidRPr="006A22D3">
        <w:rPr>
          <w:noProof/>
        </w:rPr>
        <w:t xml:space="preserve"> a tak</w:t>
      </w:r>
      <w:r w:rsidRPr="006A22D3">
        <w:rPr>
          <w:noProof/>
        </w:rPr>
        <w:t>że organizacjami międzynarodowymi, takimi jak OECD.</w:t>
      </w:r>
    </w:p>
    <w:p w:rsidR="001859C1" w:rsidRPr="006A22D3" w:rsidRDefault="001859C1">
      <w:pPr>
        <w:rPr>
          <w:rFonts w:eastAsia="Times New Roman"/>
          <w:i/>
          <w:noProof/>
        </w:rPr>
      </w:pPr>
      <w:r w:rsidRPr="006A22D3">
        <w:rPr>
          <w:noProof/>
        </w:rPr>
        <w:t>Ogólnie rzecz biorąc, na podstawie działań konsultacyjnych ustalono, że wśród zainteresowanych stron panuje powszechne przekonanie</w:t>
      </w:r>
      <w:r w:rsidR="006A22D3" w:rsidRPr="006A22D3">
        <w:rPr>
          <w:noProof/>
        </w:rPr>
        <w:t xml:space="preserve"> o pot</w:t>
      </w:r>
      <w:r w:rsidRPr="006A22D3">
        <w:rPr>
          <w:noProof/>
        </w:rPr>
        <w:t>rzebie stworzenia unijnych ram prawnych</w:t>
      </w:r>
      <w:r w:rsidR="006A22D3" w:rsidRPr="006A22D3">
        <w:rPr>
          <w:noProof/>
        </w:rPr>
        <w:t xml:space="preserve"> w zak</w:t>
      </w:r>
      <w:r w:rsidRPr="006A22D3">
        <w:rPr>
          <w:noProof/>
        </w:rPr>
        <w:t>resie należytej staranności</w:t>
      </w:r>
      <w:r w:rsidRPr="006A22D3">
        <w:rPr>
          <w:rStyle w:val="FootnoteReference"/>
          <w:noProof/>
        </w:rPr>
        <w:footnoteReference w:id="66"/>
      </w:r>
      <w:r w:rsidR="006A22D3" w:rsidRPr="006A22D3">
        <w:rPr>
          <w:noProof/>
        </w:rPr>
        <w:t>. W szc</w:t>
      </w:r>
      <w:r w:rsidRPr="006A22D3">
        <w:rPr>
          <w:noProof/>
        </w:rPr>
        <w:t>zególności duże przedsiębiorstwa zgłaszały potrzebę większej harmonizacji</w:t>
      </w:r>
      <w:r w:rsidR="006A22D3" w:rsidRPr="006A22D3">
        <w:rPr>
          <w:noProof/>
        </w:rPr>
        <w:t xml:space="preserve"> w obs</w:t>
      </w:r>
      <w:r w:rsidRPr="006A22D3">
        <w:rPr>
          <w:noProof/>
        </w:rPr>
        <w:t>zarze należytej staranności</w:t>
      </w:r>
      <w:r w:rsidR="006A22D3" w:rsidRPr="006A22D3">
        <w:rPr>
          <w:noProof/>
        </w:rPr>
        <w:t xml:space="preserve"> w cel</w:t>
      </w:r>
      <w:r w:rsidRPr="006A22D3">
        <w:rPr>
          <w:noProof/>
        </w:rPr>
        <w:t>u zwiększenia pewności prawa</w:t>
      </w:r>
      <w:r w:rsidR="006A22D3" w:rsidRPr="006A22D3">
        <w:rPr>
          <w:noProof/>
        </w:rPr>
        <w:t xml:space="preserve"> i zap</w:t>
      </w:r>
      <w:r w:rsidRPr="006A22D3">
        <w:rPr>
          <w:noProof/>
        </w:rPr>
        <w:t>ewnienia równych warunków działania. Obywatele</w:t>
      </w:r>
      <w:r w:rsidR="006A22D3" w:rsidRPr="006A22D3">
        <w:rPr>
          <w:noProof/>
        </w:rPr>
        <w:t xml:space="preserve"> i sto</w:t>
      </w:r>
      <w:r w:rsidRPr="006A22D3">
        <w:rPr>
          <w:noProof/>
        </w:rPr>
        <w:t>warzyszenia społeczeństwa obywatelskiego uznali obecne ramy prawne za nieskuteczne</w:t>
      </w:r>
      <w:r w:rsidR="006A22D3" w:rsidRPr="006A22D3">
        <w:rPr>
          <w:noProof/>
        </w:rPr>
        <w:t xml:space="preserve"> w zap</w:t>
      </w:r>
      <w:r w:rsidRPr="006A22D3">
        <w:rPr>
          <w:noProof/>
        </w:rPr>
        <w:t>ewnieniu rozliczalności przedsiębiorstw za negatywny wpływ na prawa człowieka</w:t>
      </w:r>
      <w:r w:rsidR="006A22D3" w:rsidRPr="006A22D3">
        <w:rPr>
          <w:noProof/>
        </w:rPr>
        <w:t xml:space="preserve"> i śro</w:t>
      </w:r>
      <w:r w:rsidRPr="006A22D3">
        <w:rPr>
          <w:noProof/>
        </w:rPr>
        <w:t xml:space="preserve">dowisko. </w:t>
      </w:r>
    </w:p>
    <w:p w:rsidR="001859C1" w:rsidRPr="006A22D3" w:rsidRDefault="001859C1">
      <w:pPr>
        <w:rPr>
          <w:noProof/>
        </w:rPr>
      </w:pPr>
      <w:r w:rsidRPr="006A22D3">
        <w:rPr>
          <w:noProof/>
        </w:rPr>
        <w:t>Zdecydowana większość respondentów biorących udział</w:t>
      </w:r>
      <w:r w:rsidR="006A22D3" w:rsidRPr="006A22D3">
        <w:rPr>
          <w:noProof/>
        </w:rPr>
        <w:t xml:space="preserve"> w otw</w:t>
      </w:r>
      <w:r w:rsidRPr="006A22D3">
        <w:rPr>
          <w:noProof/>
        </w:rPr>
        <w:t>artych konsultacjach publicznych,</w:t>
      </w:r>
      <w:r w:rsidR="006A22D3" w:rsidRPr="006A22D3">
        <w:rPr>
          <w:noProof/>
        </w:rPr>
        <w:t xml:space="preserve"> w tym</w:t>
      </w:r>
      <w:r w:rsidRPr="006A22D3">
        <w:rPr>
          <w:noProof/>
        </w:rPr>
        <w:t xml:space="preserve"> większość uczestniczących państw członkowskich, opowiedziała się za zastosowaniem horyzontalnego podejścia do zasad należytej staranności,</w:t>
      </w:r>
      <w:r w:rsidR="006A22D3" w:rsidRPr="006A22D3">
        <w:rPr>
          <w:noProof/>
        </w:rPr>
        <w:t xml:space="preserve"> a nie</w:t>
      </w:r>
      <w:r w:rsidRPr="006A22D3">
        <w:rPr>
          <w:noProof/>
        </w:rPr>
        <w:t xml:space="preserve"> podejścia sektorowego lub tematycznego</w:t>
      </w:r>
      <w:r w:rsidRPr="006A22D3">
        <w:rPr>
          <w:rStyle w:val="FootnoteReference"/>
          <w:rFonts w:eastAsia="Times New Roman"/>
          <w:noProof/>
          <w:lang w:eastAsia="fr-BE"/>
        </w:rPr>
        <w:footnoteReference w:id="67"/>
      </w:r>
      <w:r w:rsidRPr="006A22D3">
        <w:rPr>
          <w:noProof/>
        </w:rPr>
        <w:t>. Przedsiębiorstwa wskazały, że obawiają się ryzyka znalezienia się</w:t>
      </w:r>
      <w:r w:rsidR="006A22D3" w:rsidRPr="006A22D3">
        <w:rPr>
          <w:noProof/>
        </w:rPr>
        <w:t xml:space="preserve"> w nie</w:t>
      </w:r>
      <w:r w:rsidRPr="006A22D3">
        <w:rPr>
          <w:noProof/>
        </w:rPr>
        <w:t>korzystnej sytuacji konkurencyjnej</w:t>
      </w:r>
      <w:r w:rsidR="006A22D3" w:rsidRPr="006A22D3">
        <w:rPr>
          <w:noProof/>
        </w:rPr>
        <w:t xml:space="preserve"> w sto</w:t>
      </w:r>
      <w:r w:rsidRPr="006A22D3">
        <w:rPr>
          <w:noProof/>
        </w:rPr>
        <w:t>sunku do przedsiębiorstw</w:t>
      </w:r>
      <w:r w:rsidR="006A22D3" w:rsidRPr="006A22D3">
        <w:rPr>
          <w:noProof/>
        </w:rPr>
        <w:t xml:space="preserve"> z pań</w:t>
      </w:r>
      <w:r w:rsidRPr="006A22D3">
        <w:rPr>
          <w:noProof/>
        </w:rPr>
        <w:t>stw trzecich, które nie mają takich samych obowiązków</w:t>
      </w:r>
      <w:r w:rsidR="006A22D3" w:rsidRPr="006A22D3">
        <w:rPr>
          <w:noProof/>
        </w:rPr>
        <w:t>. W zwi</w:t>
      </w:r>
      <w:r w:rsidRPr="006A22D3">
        <w:rPr>
          <w:noProof/>
        </w:rPr>
        <w:t>ązku</w:t>
      </w:r>
      <w:r w:rsidR="006A22D3" w:rsidRPr="006A22D3">
        <w:rPr>
          <w:noProof/>
        </w:rPr>
        <w:t xml:space="preserve"> z tym</w:t>
      </w:r>
      <w:r w:rsidRPr="006A22D3">
        <w:rPr>
          <w:noProof/>
        </w:rPr>
        <w:t xml:space="preserve"> większość respondentów zgodziła się, że przepisy</w:t>
      </w:r>
      <w:r w:rsidR="006A22D3" w:rsidRPr="006A22D3">
        <w:rPr>
          <w:noProof/>
        </w:rPr>
        <w:t xml:space="preserve"> w zak</w:t>
      </w:r>
      <w:r w:rsidRPr="006A22D3">
        <w:rPr>
          <w:noProof/>
        </w:rPr>
        <w:t>resie należytej staranności powinny mieć zastosowanie również do przedsiębiorstw</w:t>
      </w:r>
      <w:r w:rsidR="006A22D3" w:rsidRPr="006A22D3">
        <w:rPr>
          <w:noProof/>
        </w:rPr>
        <w:t xml:space="preserve"> z pań</w:t>
      </w:r>
      <w:r w:rsidRPr="006A22D3">
        <w:rPr>
          <w:noProof/>
        </w:rPr>
        <w:t>stw trzecich, które nie mają siedziby w UE, ale prowadzą</w:t>
      </w:r>
      <w:r w:rsidR="006A22D3" w:rsidRPr="006A22D3">
        <w:rPr>
          <w:noProof/>
        </w:rPr>
        <w:t xml:space="preserve"> w nie</w:t>
      </w:r>
      <w:r w:rsidRPr="006A22D3">
        <w:rPr>
          <w:noProof/>
        </w:rPr>
        <w:t>j działalność na pewną skalę</w:t>
      </w:r>
      <w:r w:rsidRPr="006A22D3">
        <w:rPr>
          <w:rStyle w:val="FootnoteReference"/>
          <w:rFonts w:eastAsia="Times New Roman"/>
          <w:noProof/>
          <w:lang w:eastAsia="fr-BE"/>
        </w:rPr>
        <w:footnoteReference w:id="68"/>
      </w:r>
      <w:r w:rsidRPr="006A22D3">
        <w:rPr>
          <w:noProof/>
        </w:rPr>
        <w:t xml:space="preserve">. </w:t>
      </w:r>
    </w:p>
    <w:p w:rsidR="001859C1" w:rsidRPr="006A22D3" w:rsidRDefault="001859C1">
      <w:pPr>
        <w:rPr>
          <w:noProof/>
        </w:rPr>
      </w:pPr>
      <w:r w:rsidRPr="006A22D3">
        <w:rPr>
          <w:noProof/>
        </w:rPr>
        <w:t>Jeśli chodzi</w:t>
      </w:r>
      <w:r w:rsidR="006A22D3" w:rsidRPr="006A22D3">
        <w:rPr>
          <w:noProof/>
        </w:rPr>
        <w:t xml:space="preserve"> o mec</w:t>
      </w:r>
      <w:r w:rsidRPr="006A22D3">
        <w:rPr>
          <w:noProof/>
        </w:rPr>
        <w:t>hanizm egzekwowania towarzyszący obowiązkowi dochowania należytej staranności, wszystkie grupy zainteresowanych stron, które wzięły udział</w:t>
      </w:r>
      <w:r w:rsidR="006A22D3" w:rsidRPr="006A22D3">
        <w:rPr>
          <w:noProof/>
        </w:rPr>
        <w:t xml:space="preserve"> w otw</w:t>
      </w:r>
      <w:r w:rsidRPr="006A22D3">
        <w:rPr>
          <w:noProof/>
        </w:rPr>
        <w:t>artych konsultacjach publicznych,</w:t>
      </w:r>
      <w:r w:rsidR="006A22D3" w:rsidRPr="006A22D3">
        <w:rPr>
          <w:noProof/>
        </w:rPr>
        <w:t xml:space="preserve"> w wię</w:t>
      </w:r>
      <w:r w:rsidRPr="006A22D3">
        <w:rPr>
          <w:noProof/>
        </w:rPr>
        <w:t>kszości wskazały, że najodpowiedniejszym rozwiązaniem jest nadzór sprawowany przez właściwe organy krajowe</w:t>
      </w:r>
      <w:r w:rsidR="006A22D3" w:rsidRPr="006A22D3">
        <w:rPr>
          <w:noProof/>
        </w:rPr>
        <w:t xml:space="preserve"> z wyk</w:t>
      </w:r>
      <w:r w:rsidRPr="006A22D3">
        <w:rPr>
          <w:noProof/>
        </w:rPr>
        <w:t>orzystaniem mechanizmu współpracy/koordynacji na szczeblu UE</w:t>
      </w:r>
      <w:r w:rsidRPr="006A22D3">
        <w:rPr>
          <w:rStyle w:val="FootnoteReference"/>
          <w:noProof/>
        </w:rPr>
        <w:footnoteReference w:id="69"/>
      </w:r>
      <w:r w:rsidRPr="006A22D3">
        <w:rPr>
          <w:noProof/>
        </w:rPr>
        <w:t xml:space="preserve">. </w:t>
      </w:r>
    </w:p>
    <w:p w:rsidR="001859C1" w:rsidRPr="006A22D3" w:rsidRDefault="001859C1" w:rsidP="000A60CF">
      <w:pPr>
        <w:rPr>
          <w:noProof/>
        </w:rPr>
      </w:pPr>
      <w:r w:rsidRPr="006A22D3">
        <w:rPr>
          <w:noProof/>
        </w:rPr>
        <w:t>Większość respondentów we wszystkich grupach zainteresowanych stron uznała wiążące zasady uwzględniające określone cele za wariant skutkujący największymi kosztami, ale również przynoszący największe ogólne korzyści. Chociaż większość respondentów uznała, że wpływ na państwa trzecie będzie pozytywny, część respondentów obawia się potencjalnie negatywnego wpływu zasad należytej staranności na państwa trzecie, jeżeli przedsiębiorstwa inwestujące</w:t>
      </w:r>
      <w:r w:rsidR="006A22D3" w:rsidRPr="006A22D3">
        <w:rPr>
          <w:noProof/>
        </w:rPr>
        <w:t xml:space="preserve"> w pań</w:t>
      </w:r>
      <w:r w:rsidRPr="006A22D3">
        <w:rPr>
          <w:noProof/>
        </w:rPr>
        <w:t>stwach trzecich,</w:t>
      </w:r>
      <w:r w:rsidR="006A22D3" w:rsidRPr="006A22D3">
        <w:rPr>
          <w:noProof/>
        </w:rPr>
        <w:t xml:space="preserve"> w któ</w:t>
      </w:r>
      <w:r w:rsidRPr="006A22D3">
        <w:rPr>
          <w:noProof/>
        </w:rPr>
        <w:t>rych ochrona praw człowieka –</w:t>
      </w:r>
      <w:r w:rsidR="006A22D3" w:rsidRPr="006A22D3">
        <w:rPr>
          <w:noProof/>
        </w:rPr>
        <w:t xml:space="preserve"> w tym</w:t>
      </w:r>
      <w:r w:rsidRPr="006A22D3">
        <w:rPr>
          <w:noProof/>
        </w:rPr>
        <w:t xml:space="preserve"> praw socjalnych</w:t>
      </w:r>
      <w:r w:rsidR="006A22D3" w:rsidRPr="006A22D3">
        <w:rPr>
          <w:noProof/>
        </w:rPr>
        <w:t xml:space="preserve"> i pra</w:t>
      </w:r>
      <w:r w:rsidRPr="006A22D3">
        <w:rPr>
          <w:noProof/>
        </w:rPr>
        <w:t>cowniczych</w:t>
      </w:r>
      <w:r w:rsidR="006A22D3" w:rsidRPr="006A22D3">
        <w:rPr>
          <w:noProof/>
        </w:rPr>
        <w:t xml:space="preserve"> i pra</w:t>
      </w:r>
      <w:r w:rsidRPr="006A22D3">
        <w:rPr>
          <w:noProof/>
        </w:rPr>
        <w:t>wa ochrony środowiska – jest słaba, będą musiały wycofać się</w:t>
      </w:r>
      <w:r w:rsidR="006A22D3" w:rsidRPr="006A22D3">
        <w:rPr>
          <w:noProof/>
        </w:rPr>
        <w:t xml:space="preserve"> z tyc</w:t>
      </w:r>
      <w:r w:rsidRPr="006A22D3">
        <w:rPr>
          <w:noProof/>
        </w:rPr>
        <w:t xml:space="preserve">h państw. </w:t>
      </w:r>
    </w:p>
    <w:p w:rsidR="001859C1" w:rsidRPr="006A22D3" w:rsidRDefault="001859C1" w:rsidP="000A60CF">
      <w:pPr>
        <w:rPr>
          <w:noProof/>
        </w:rPr>
      </w:pPr>
      <w:r w:rsidRPr="006A22D3">
        <w:rPr>
          <w:noProof/>
        </w:rPr>
        <w:t>Szczegółowe informacje na temat strategii konsultacji</w:t>
      </w:r>
      <w:r w:rsidR="006A22D3" w:rsidRPr="006A22D3">
        <w:rPr>
          <w:noProof/>
        </w:rPr>
        <w:t xml:space="preserve"> i wni</w:t>
      </w:r>
      <w:r w:rsidRPr="006A22D3">
        <w:rPr>
          <w:noProof/>
        </w:rPr>
        <w:t>osków</w:t>
      </w:r>
      <w:r w:rsidR="006A22D3" w:rsidRPr="006A22D3">
        <w:rPr>
          <w:noProof/>
        </w:rPr>
        <w:t xml:space="preserve"> z kon</w:t>
      </w:r>
      <w:r w:rsidRPr="006A22D3">
        <w:rPr>
          <w:noProof/>
        </w:rPr>
        <w:t>sultacji</w:t>
      </w:r>
      <w:r w:rsidR="006A22D3" w:rsidRPr="006A22D3">
        <w:rPr>
          <w:noProof/>
        </w:rPr>
        <w:t xml:space="preserve"> z zai</w:t>
      </w:r>
      <w:r w:rsidRPr="006A22D3">
        <w:rPr>
          <w:noProof/>
        </w:rPr>
        <w:t>nteresowanymi stronami przedstawiono</w:t>
      </w:r>
      <w:r w:rsidR="006A22D3" w:rsidRPr="006A22D3">
        <w:rPr>
          <w:noProof/>
        </w:rPr>
        <w:t xml:space="preserve"> w zał</w:t>
      </w:r>
      <w:r w:rsidRPr="006A22D3">
        <w:rPr>
          <w:noProof/>
        </w:rPr>
        <w:t>ączniku 2 do sprawozdania</w:t>
      </w:r>
      <w:r w:rsidR="006A22D3" w:rsidRPr="006A22D3">
        <w:rPr>
          <w:noProof/>
        </w:rPr>
        <w:t xml:space="preserve"> z oce</w:t>
      </w:r>
      <w:r w:rsidRPr="006A22D3">
        <w:rPr>
          <w:noProof/>
        </w:rPr>
        <w:t>ny skutków.</w:t>
      </w:r>
    </w:p>
    <w:p w:rsidR="001859C1" w:rsidRPr="006A22D3" w:rsidRDefault="001859C1" w:rsidP="000B2095">
      <w:pPr>
        <w:pStyle w:val="ManualHeading2"/>
        <w:rPr>
          <w:noProof/>
        </w:rPr>
      </w:pPr>
      <w:r w:rsidRPr="006A22D3">
        <w:rPr>
          <w:noProof/>
        </w:rPr>
        <w:t>Gromadzenie</w:t>
      </w:r>
      <w:r w:rsidR="006A22D3" w:rsidRPr="006A22D3">
        <w:rPr>
          <w:noProof/>
        </w:rPr>
        <w:t xml:space="preserve"> i wyk</w:t>
      </w:r>
      <w:r w:rsidRPr="006A22D3">
        <w:rPr>
          <w:noProof/>
        </w:rPr>
        <w:t>orzystanie wiedzy eksperckiej</w:t>
      </w:r>
    </w:p>
    <w:p w:rsidR="001859C1" w:rsidRPr="006A22D3" w:rsidRDefault="001859C1" w:rsidP="005A221B">
      <w:pPr>
        <w:rPr>
          <w:noProof/>
        </w:rPr>
      </w:pPr>
      <w:r w:rsidRPr="006A22D3">
        <w:rPr>
          <w:noProof/>
        </w:rPr>
        <w:t>Aby lepiej przeanalizować poszczególne warianty, Komisja udzieliła zewnętrznym ekspertom zamówienia na działania pomocnicze obejmujące przeprowadzenie badania dotyczącego wymogów</w:t>
      </w:r>
      <w:r w:rsidR="006A22D3" w:rsidRPr="006A22D3">
        <w:rPr>
          <w:noProof/>
        </w:rPr>
        <w:t xml:space="preserve"> w zak</w:t>
      </w:r>
      <w:r w:rsidRPr="006A22D3">
        <w:rPr>
          <w:noProof/>
        </w:rPr>
        <w:t>resie należytej staranności</w:t>
      </w:r>
      <w:r w:rsidR="006A22D3" w:rsidRPr="006A22D3">
        <w:rPr>
          <w:noProof/>
        </w:rPr>
        <w:t xml:space="preserve"> w łań</w:t>
      </w:r>
      <w:r w:rsidRPr="006A22D3">
        <w:rPr>
          <w:noProof/>
        </w:rPr>
        <w:t>cuchu dostaw</w:t>
      </w:r>
      <w:bookmarkStart w:id="6" w:name="_Ref96003636"/>
      <w:r w:rsidR="00A3718C" w:rsidRPr="006A22D3">
        <w:rPr>
          <w:rStyle w:val="FootnoteReference"/>
          <w:rFonts w:eastAsia="Times New Roman"/>
          <w:noProof/>
          <w:lang w:eastAsia="fr-BE"/>
        </w:rPr>
        <w:footnoteReference w:id="70"/>
      </w:r>
      <w:bookmarkEnd w:id="6"/>
      <w:r w:rsidRPr="006A22D3">
        <w:rPr>
          <w:noProof/>
        </w:rPr>
        <w:t xml:space="preserve"> oraz badania dotyczącego obowiązków dyrektorów</w:t>
      </w:r>
      <w:r w:rsidR="006A22D3" w:rsidRPr="006A22D3">
        <w:rPr>
          <w:noProof/>
        </w:rPr>
        <w:t xml:space="preserve"> i zró</w:t>
      </w:r>
      <w:r w:rsidRPr="006A22D3">
        <w:rPr>
          <w:noProof/>
        </w:rPr>
        <w:t>wnoważonego ładu korporacyjnego</w:t>
      </w:r>
      <w:r w:rsidR="00A3718C" w:rsidRPr="006A22D3">
        <w:rPr>
          <w:rStyle w:val="FootnoteReference"/>
          <w:rFonts w:eastAsia="Times New Roman"/>
          <w:noProof/>
          <w:lang w:eastAsia="fr-BE"/>
        </w:rPr>
        <w:footnoteReference w:id="71"/>
      </w:r>
      <w:r w:rsidRPr="006A22D3">
        <w:rPr>
          <w:noProof/>
        </w:rPr>
        <w:t>. Eksperci pracowali</w:t>
      </w:r>
      <w:r w:rsidR="006A22D3" w:rsidRPr="006A22D3">
        <w:rPr>
          <w:noProof/>
        </w:rPr>
        <w:t xml:space="preserve"> w ści</w:t>
      </w:r>
      <w:r w:rsidRPr="006A22D3">
        <w:rPr>
          <w:noProof/>
        </w:rPr>
        <w:t>słej współpracy</w:t>
      </w:r>
      <w:r w:rsidR="006A22D3" w:rsidRPr="006A22D3">
        <w:rPr>
          <w:noProof/>
        </w:rPr>
        <w:t xml:space="preserve"> z Kom</w:t>
      </w:r>
      <w:r w:rsidRPr="006A22D3">
        <w:rPr>
          <w:noProof/>
        </w:rPr>
        <w:t>isją na poszczególnych etapach badania.</w:t>
      </w:r>
    </w:p>
    <w:p w:rsidR="001859C1" w:rsidRPr="006A22D3" w:rsidRDefault="00DA3837" w:rsidP="005A221B">
      <w:pPr>
        <w:rPr>
          <w:noProof/>
        </w:rPr>
      </w:pPr>
      <w:r w:rsidRPr="006A22D3">
        <w:rPr>
          <w:noProof/>
        </w:rPr>
        <w:t>Oprócz tych badań pomocniczych dodatkową wiedzę specjalistyczną zgromadzono za pomocą przeglądu literatury i na podstawie odpowiedzi udzielonych</w:t>
      </w:r>
      <w:r w:rsidR="006A22D3" w:rsidRPr="006A22D3">
        <w:rPr>
          <w:noProof/>
        </w:rPr>
        <w:t xml:space="preserve"> w kon</w:t>
      </w:r>
      <w:r w:rsidRPr="006A22D3">
        <w:rPr>
          <w:noProof/>
        </w:rPr>
        <w:t>sultacjach</w:t>
      </w:r>
      <w:r w:rsidR="006A22D3" w:rsidRPr="006A22D3">
        <w:rPr>
          <w:noProof/>
        </w:rPr>
        <w:t xml:space="preserve"> z zai</w:t>
      </w:r>
      <w:r w:rsidRPr="006A22D3">
        <w:rPr>
          <w:noProof/>
        </w:rPr>
        <w:t>nteresowanymi stronami.</w:t>
      </w:r>
    </w:p>
    <w:p w:rsidR="001859C1" w:rsidRPr="006A22D3" w:rsidRDefault="001859C1" w:rsidP="005A221B">
      <w:pPr>
        <w:rPr>
          <w:noProof/>
        </w:rPr>
      </w:pPr>
      <w:r w:rsidRPr="006A22D3">
        <w:rPr>
          <w:noProof/>
        </w:rPr>
        <w:t>Oprócz wspomnianych wyżej badań pomocniczych, spotkań grup ekspertów</w:t>
      </w:r>
      <w:r w:rsidR="006A22D3" w:rsidRPr="006A22D3">
        <w:rPr>
          <w:noProof/>
        </w:rPr>
        <w:t xml:space="preserve"> i kon</w:t>
      </w:r>
      <w:r w:rsidRPr="006A22D3">
        <w:rPr>
          <w:noProof/>
        </w:rPr>
        <w:t>sultacji</w:t>
      </w:r>
      <w:r w:rsidR="006A22D3" w:rsidRPr="006A22D3">
        <w:rPr>
          <w:noProof/>
        </w:rPr>
        <w:t xml:space="preserve"> z zai</w:t>
      </w:r>
      <w:r w:rsidRPr="006A22D3">
        <w:rPr>
          <w:noProof/>
        </w:rPr>
        <w:t>nteresowanymi stronami Komisja poświęciła również szczególną uwagę odpowiedniej rezolucji Parlamentu Europejskiego</w:t>
      </w:r>
      <w:r w:rsidR="006A22D3" w:rsidRPr="006A22D3">
        <w:rPr>
          <w:noProof/>
        </w:rPr>
        <w:t xml:space="preserve"> i kon</w:t>
      </w:r>
      <w:r w:rsidRPr="006A22D3">
        <w:rPr>
          <w:noProof/>
        </w:rPr>
        <w:t>kluzjom Rady. Rezolucja Parlamentu Europejskiego</w:t>
      </w:r>
      <w:r w:rsidR="006A22D3" w:rsidRPr="006A22D3">
        <w:rPr>
          <w:noProof/>
        </w:rPr>
        <w:t xml:space="preserve"> z 1</w:t>
      </w:r>
      <w:r w:rsidRPr="006A22D3">
        <w:rPr>
          <w:noProof/>
        </w:rPr>
        <w:t>0 marca 2021</w:t>
      </w:r>
      <w:r w:rsidR="00192E90" w:rsidRPr="006A22D3">
        <w:rPr>
          <w:noProof/>
        </w:rPr>
        <w:t> </w:t>
      </w:r>
      <w:r w:rsidRPr="006A22D3">
        <w:rPr>
          <w:noProof/>
        </w:rPr>
        <w:t>r. zawierała zalecenia dla Komisji dotyczące należytej staranności</w:t>
      </w:r>
      <w:r w:rsidR="006A22D3" w:rsidRPr="006A22D3">
        <w:rPr>
          <w:noProof/>
        </w:rPr>
        <w:t xml:space="preserve"> i roz</w:t>
      </w:r>
      <w:r w:rsidRPr="006A22D3">
        <w:rPr>
          <w:noProof/>
        </w:rPr>
        <w:t>liczalności przedsiębiorstw, wzywając Komisję do zaproponowania unijnych przepisów dotyczących kompleksowego obowiązku dochowania przez przedsiębiorstwa należytej staranności</w:t>
      </w:r>
      <w:r w:rsidR="006A22D3" w:rsidRPr="006A22D3">
        <w:rPr>
          <w:noProof/>
        </w:rPr>
        <w:t>. W kon</w:t>
      </w:r>
      <w:r w:rsidRPr="006A22D3">
        <w:rPr>
          <w:noProof/>
        </w:rPr>
        <w:t>kluzjach Rady</w:t>
      </w:r>
      <w:r w:rsidR="006A22D3" w:rsidRPr="006A22D3">
        <w:rPr>
          <w:noProof/>
        </w:rPr>
        <w:t xml:space="preserve"> w spr</w:t>
      </w:r>
      <w:r w:rsidRPr="006A22D3">
        <w:rPr>
          <w:noProof/>
        </w:rPr>
        <w:t>awie praw człowieka</w:t>
      </w:r>
      <w:r w:rsidR="006A22D3" w:rsidRPr="006A22D3">
        <w:rPr>
          <w:noProof/>
        </w:rPr>
        <w:t xml:space="preserve"> i god</w:t>
      </w:r>
      <w:r w:rsidRPr="006A22D3">
        <w:rPr>
          <w:noProof/>
        </w:rPr>
        <w:t>nej pracy</w:t>
      </w:r>
      <w:r w:rsidR="006A22D3" w:rsidRPr="006A22D3">
        <w:rPr>
          <w:noProof/>
        </w:rPr>
        <w:t xml:space="preserve"> w glo</w:t>
      </w:r>
      <w:r w:rsidRPr="006A22D3">
        <w:rPr>
          <w:noProof/>
        </w:rPr>
        <w:t>balnych łańcuchach dostaw</w:t>
      </w:r>
      <w:r w:rsidR="006A22D3" w:rsidRPr="006A22D3">
        <w:rPr>
          <w:noProof/>
        </w:rPr>
        <w:t xml:space="preserve"> z 1</w:t>
      </w:r>
      <w:r w:rsidRPr="006A22D3">
        <w:rPr>
          <w:noProof/>
        </w:rPr>
        <w:t xml:space="preserve"> grudnia 2020</w:t>
      </w:r>
      <w:r w:rsidR="00192E90" w:rsidRPr="006A22D3">
        <w:rPr>
          <w:noProof/>
        </w:rPr>
        <w:t> </w:t>
      </w:r>
      <w:r w:rsidRPr="006A22D3">
        <w:rPr>
          <w:noProof/>
        </w:rPr>
        <w:t>r. wezwano Komisję do przedstawienia wniosku dotyczącego unijnych ram prawnych</w:t>
      </w:r>
      <w:r w:rsidR="006A22D3" w:rsidRPr="006A22D3">
        <w:rPr>
          <w:noProof/>
        </w:rPr>
        <w:t xml:space="preserve"> w zak</w:t>
      </w:r>
      <w:r w:rsidRPr="006A22D3">
        <w:rPr>
          <w:noProof/>
        </w:rPr>
        <w:t>resie zrównoważonego ładu korporacyjnego,</w:t>
      </w:r>
      <w:r w:rsidR="006A22D3" w:rsidRPr="006A22D3">
        <w:rPr>
          <w:noProof/>
        </w:rPr>
        <w:t xml:space="preserve"> w tym</w:t>
      </w:r>
      <w:r w:rsidRPr="006A22D3">
        <w:rPr>
          <w:noProof/>
        </w:rPr>
        <w:t xml:space="preserve"> międzysektorowych obowiązków przedsiębiorstw</w:t>
      </w:r>
      <w:r w:rsidR="006A22D3" w:rsidRPr="006A22D3">
        <w:rPr>
          <w:noProof/>
        </w:rPr>
        <w:t xml:space="preserve"> w zak</w:t>
      </w:r>
      <w:r w:rsidRPr="006A22D3">
        <w:rPr>
          <w:noProof/>
        </w:rPr>
        <w:t>resie należytej staranności</w:t>
      </w:r>
      <w:r w:rsidR="006A22D3" w:rsidRPr="006A22D3">
        <w:rPr>
          <w:noProof/>
        </w:rPr>
        <w:t xml:space="preserve"> w glo</w:t>
      </w:r>
      <w:r w:rsidRPr="006A22D3">
        <w:rPr>
          <w:noProof/>
        </w:rPr>
        <w:t>balnych łańcuchach wartości.</w:t>
      </w:r>
    </w:p>
    <w:p w:rsidR="001859C1" w:rsidRPr="006A22D3" w:rsidRDefault="001859C1" w:rsidP="000B2095">
      <w:pPr>
        <w:pStyle w:val="ManualHeading2"/>
        <w:rPr>
          <w:noProof/>
        </w:rPr>
      </w:pPr>
      <w:r w:rsidRPr="006A22D3">
        <w:rPr>
          <w:noProof/>
        </w:rPr>
        <w:t>Ocena skutków</w:t>
      </w:r>
    </w:p>
    <w:p w:rsidR="001859C1" w:rsidRPr="006A22D3" w:rsidRDefault="001859C1" w:rsidP="00820812">
      <w:pPr>
        <w:rPr>
          <w:noProof/>
        </w:rPr>
      </w:pPr>
      <w:r w:rsidRPr="006A22D3">
        <w:rPr>
          <w:noProof/>
        </w:rPr>
        <w:t>W analizie będącej częścią oceny skutków odniesiono się ogólnie do problemu konieczności położenia większego nacisku na kwestię zrównoważonego rozwoju</w:t>
      </w:r>
      <w:r w:rsidR="006A22D3" w:rsidRPr="006A22D3">
        <w:rPr>
          <w:noProof/>
        </w:rPr>
        <w:t xml:space="preserve"> w ram</w:t>
      </w:r>
      <w:r w:rsidRPr="006A22D3">
        <w:rPr>
          <w:noProof/>
        </w:rPr>
        <w:t>ach systemów ładu korporacyjnego</w:t>
      </w:r>
      <w:r w:rsidR="006A22D3" w:rsidRPr="006A22D3">
        <w:rPr>
          <w:noProof/>
        </w:rPr>
        <w:t xml:space="preserve"> i zar</w:t>
      </w:r>
      <w:r w:rsidRPr="006A22D3">
        <w:rPr>
          <w:noProof/>
        </w:rPr>
        <w:t>ządzania</w:t>
      </w:r>
      <w:r w:rsidR="006A22D3" w:rsidRPr="006A22D3">
        <w:rPr>
          <w:noProof/>
        </w:rPr>
        <w:t xml:space="preserve"> w dwó</w:t>
      </w:r>
      <w:r w:rsidRPr="006A22D3">
        <w:rPr>
          <w:noProof/>
        </w:rPr>
        <w:t>ch wymiarach: 1)</w:t>
      </w:r>
      <w:r w:rsidR="006A22D3" w:rsidRPr="006A22D3">
        <w:rPr>
          <w:noProof/>
        </w:rPr>
        <w:t xml:space="preserve"> w sys</w:t>
      </w:r>
      <w:r w:rsidRPr="006A22D3">
        <w:rPr>
          <w:noProof/>
        </w:rPr>
        <w:t>temach</w:t>
      </w:r>
      <w:r w:rsidR="006A22D3" w:rsidRPr="006A22D3">
        <w:rPr>
          <w:noProof/>
        </w:rPr>
        <w:t xml:space="preserve"> i dec</w:t>
      </w:r>
      <w:r w:rsidRPr="006A22D3">
        <w:rPr>
          <w:noProof/>
        </w:rPr>
        <w:t>yzjach</w:t>
      </w:r>
      <w:r w:rsidR="006A22D3" w:rsidRPr="006A22D3">
        <w:rPr>
          <w:noProof/>
        </w:rPr>
        <w:t xml:space="preserve"> w zak</w:t>
      </w:r>
      <w:r w:rsidRPr="006A22D3">
        <w:rPr>
          <w:noProof/>
        </w:rPr>
        <w:t>resie korporacyjnego zarządzania ryzykiem nie uwzględnia się</w:t>
      </w:r>
      <w:r w:rsidR="006A22D3" w:rsidRPr="006A22D3">
        <w:rPr>
          <w:noProof/>
        </w:rPr>
        <w:t xml:space="preserve"> w wys</w:t>
      </w:r>
      <w:r w:rsidRPr="006A22D3">
        <w:rPr>
          <w:noProof/>
        </w:rPr>
        <w:t>tarczającym stopniu interesów zainteresowanych stron</w:t>
      </w:r>
      <w:r w:rsidR="006A22D3" w:rsidRPr="006A22D3">
        <w:rPr>
          <w:noProof/>
        </w:rPr>
        <w:t xml:space="preserve"> i pon</w:t>
      </w:r>
      <w:r w:rsidRPr="006A22D3">
        <w:rPr>
          <w:noProof/>
        </w:rPr>
        <w:t>oszonego przez przedsiębiorstwa ryzyka (w zakresie zrównoważonego rozwoju) związanego</w:t>
      </w:r>
      <w:r w:rsidR="006A22D3" w:rsidRPr="006A22D3">
        <w:rPr>
          <w:noProof/>
        </w:rPr>
        <w:t xml:space="preserve"> z zai</w:t>
      </w:r>
      <w:r w:rsidRPr="006A22D3">
        <w:rPr>
          <w:noProof/>
        </w:rPr>
        <w:t>nteresowanymi stronami; 2) przedsiębiorstwa nie ograniczają</w:t>
      </w:r>
      <w:r w:rsidR="006A22D3" w:rsidRPr="006A22D3">
        <w:rPr>
          <w:noProof/>
        </w:rPr>
        <w:t xml:space="preserve"> w wys</w:t>
      </w:r>
      <w:r w:rsidRPr="006A22D3">
        <w:rPr>
          <w:noProof/>
        </w:rPr>
        <w:t>tarczającym stopniu powodowanych przez siebie niekorzystnych skutków dla praw człowieka</w:t>
      </w:r>
      <w:r w:rsidR="006A22D3" w:rsidRPr="006A22D3">
        <w:rPr>
          <w:noProof/>
        </w:rPr>
        <w:t xml:space="preserve"> i śro</w:t>
      </w:r>
      <w:r w:rsidRPr="006A22D3">
        <w:rPr>
          <w:noProof/>
        </w:rPr>
        <w:t>dowiska, nie stosują odpowiednich systemów nadzoru</w:t>
      </w:r>
      <w:r w:rsidR="006A22D3" w:rsidRPr="006A22D3">
        <w:rPr>
          <w:noProof/>
        </w:rPr>
        <w:t xml:space="preserve"> i zar</w:t>
      </w:r>
      <w:r w:rsidRPr="006A22D3">
        <w:rPr>
          <w:noProof/>
        </w:rPr>
        <w:t xml:space="preserve">ządzania ani odpowiednich środków umożliwiających łagodzenie szkodliwych skutków, jakie powodują. </w:t>
      </w:r>
    </w:p>
    <w:p w:rsidR="001859C1" w:rsidRPr="006A22D3" w:rsidRDefault="001859C1" w:rsidP="00820812">
      <w:pPr>
        <w:rPr>
          <w:noProof/>
        </w:rPr>
      </w:pPr>
      <w:r w:rsidRPr="006A22D3">
        <w:rPr>
          <w:noProof/>
        </w:rPr>
        <w:t>Po rozważeniu różnych wariantów strategicznych, głównie</w:t>
      </w:r>
      <w:r w:rsidR="006A22D3" w:rsidRPr="006A22D3">
        <w:rPr>
          <w:noProof/>
        </w:rPr>
        <w:t xml:space="preserve"> w zak</w:t>
      </w:r>
      <w:r w:rsidRPr="006A22D3">
        <w:rPr>
          <w:noProof/>
        </w:rPr>
        <w:t>resie obowiązku dochowania przez przedsiębiorstwa należytej staranności oraz obowiązków dyrektorów,</w:t>
      </w:r>
      <w:r w:rsidR="006A22D3" w:rsidRPr="006A22D3">
        <w:rPr>
          <w:noProof/>
        </w:rPr>
        <w:t xml:space="preserve"> w oce</w:t>
      </w:r>
      <w:r w:rsidRPr="006A22D3">
        <w:rPr>
          <w:noProof/>
        </w:rPr>
        <w:t>nie skutków zaproponowano preferowany pakiet wariantów strategicznych obejmujący trzy elementy: należytą staranność przedsiębiorstw, obowiązki dyrektorów</w:t>
      </w:r>
      <w:r w:rsidR="006A22D3" w:rsidRPr="006A22D3">
        <w:rPr>
          <w:noProof/>
        </w:rPr>
        <w:t xml:space="preserve"> i wyn</w:t>
      </w:r>
      <w:r w:rsidRPr="006A22D3">
        <w:rPr>
          <w:noProof/>
        </w:rPr>
        <w:t>agrodzenia, przy czym elementy te wzajemnie się uzupełniają.</w:t>
      </w:r>
    </w:p>
    <w:p w:rsidR="008E0211" w:rsidRPr="006A22D3" w:rsidRDefault="001859C1">
      <w:pPr>
        <w:pBdr>
          <w:top w:val="nil"/>
          <w:left w:val="nil"/>
          <w:bottom w:val="nil"/>
          <w:right w:val="nil"/>
          <w:between w:val="nil"/>
          <w:bar w:val="nil"/>
        </w:pBdr>
        <w:rPr>
          <w:rFonts w:eastAsia="Times New Roman"/>
          <w:noProof/>
        </w:rPr>
      </w:pPr>
      <w:r w:rsidRPr="006A22D3">
        <w:rPr>
          <w:noProof/>
        </w:rPr>
        <w:t>Projekt sprawozdania</w:t>
      </w:r>
      <w:r w:rsidR="006A22D3" w:rsidRPr="006A22D3">
        <w:rPr>
          <w:noProof/>
        </w:rPr>
        <w:t xml:space="preserve"> z oce</w:t>
      </w:r>
      <w:r w:rsidRPr="006A22D3">
        <w:rPr>
          <w:noProof/>
        </w:rPr>
        <w:t>ny skutków przedłożono Radzie ds. Kontroli Regulacyjnej działającej przy Komisji 9 kwietnia 2021</w:t>
      </w:r>
      <w:r w:rsidR="00192E90" w:rsidRPr="006A22D3">
        <w:rPr>
          <w:noProof/>
        </w:rPr>
        <w:t> </w:t>
      </w:r>
      <w:r w:rsidRPr="006A22D3">
        <w:rPr>
          <w:noProof/>
        </w:rPr>
        <w:t>r. Po wydaniu przez nią negatywnej opinii, 8 listopada 2021</w:t>
      </w:r>
      <w:r w:rsidR="00192E90" w:rsidRPr="006A22D3">
        <w:rPr>
          <w:noProof/>
        </w:rPr>
        <w:t> </w:t>
      </w:r>
      <w:r w:rsidRPr="006A22D3">
        <w:rPr>
          <w:noProof/>
        </w:rPr>
        <w:t>r. przedłożono poprawioną ocenę skutków</w:t>
      </w:r>
      <w:r w:rsidR="006A22D3" w:rsidRPr="006A22D3">
        <w:rPr>
          <w:noProof/>
        </w:rPr>
        <w:t xml:space="preserve"> w cel</w:t>
      </w:r>
      <w:r w:rsidRPr="006A22D3">
        <w:rPr>
          <w:noProof/>
        </w:rPr>
        <w:t>u wydania drugiej opinii. Chociaż Rada odnotowała znaczną korektę sprawozdania wprowadzoną</w:t>
      </w:r>
      <w:r w:rsidR="006A22D3" w:rsidRPr="006A22D3">
        <w:rPr>
          <w:noProof/>
        </w:rPr>
        <w:t xml:space="preserve"> w nas</w:t>
      </w:r>
      <w:r w:rsidRPr="006A22D3">
        <w:rPr>
          <w:noProof/>
        </w:rPr>
        <w:t>tępstwie pierwszej opinii, wydała jednak drugą negatywną opinię 26 listopada 2021</w:t>
      </w:r>
      <w:r w:rsidR="00192E90" w:rsidRPr="006A22D3">
        <w:rPr>
          <w:noProof/>
        </w:rPr>
        <w:t> </w:t>
      </w:r>
      <w:r w:rsidRPr="006A22D3">
        <w:rPr>
          <w:noProof/>
        </w:rPr>
        <w:t>r.</w:t>
      </w:r>
      <w:r w:rsidR="00F0518F" w:rsidRPr="006A22D3">
        <w:rPr>
          <w:rStyle w:val="FootnoteReference"/>
          <w:noProof/>
        </w:rPr>
        <w:footnoteReference w:id="72"/>
      </w:r>
      <w:r w:rsidRPr="006A22D3">
        <w:rPr>
          <w:noProof/>
        </w:rPr>
        <w:t>,</w:t>
      </w:r>
      <w:r w:rsidR="006A22D3" w:rsidRPr="006A22D3">
        <w:rPr>
          <w:noProof/>
        </w:rPr>
        <w:t xml:space="preserve"> w któ</w:t>
      </w:r>
      <w:r w:rsidRPr="006A22D3">
        <w:rPr>
          <w:noProof/>
        </w:rPr>
        <w:t>rej podkreśliła potrzebę wydania wytycznych politycznych co do tego, czy i na jakich warunkach można kontynuować inicjatywę dotyczącą zrównoważonego ładu korporacyjnego. Rada podtrzymała swoją negatywną opinię, ponieważ uznała, że</w:t>
      </w:r>
      <w:r w:rsidR="006A22D3" w:rsidRPr="006A22D3">
        <w:rPr>
          <w:noProof/>
        </w:rPr>
        <w:t xml:space="preserve"> w spr</w:t>
      </w:r>
      <w:r w:rsidRPr="006A22D3">
        <w:rPr>
          <w:noProof/>
        </w:rPr>
        <w:t>awozdaniu</w:t>
      </w:r>
      <w:r w:rsidR="006A22D3" w:rsidRPr="006A22D3">
        <w:rPr>
          <w:noProof/>
        </w:rPr>
        <w:t xml:space="preserve"> z oce</w:t>
      </w:r>
      <w:r w:rsidRPr="006A22D3">
        <w:rPr>
          <w:noProof/>
        </w:rPr>
        <w:t>ny skutków: 1) nie przedstawiono</w:t>
      </w:r>
      <w:r w:rsidR="006A22D3" w:rsidRPr="006A22D3">
        <w:rPr>
          <w:noProof/>
        </w:rPr>
        <w:t xml:space="preserve"> w wys</w:t>
      </w:r>
      <w:r w:rsidRPr="006A22D3">
        <w:rPr>
          <w:noProof/>
        </w:rPr>
        <w:t>tarczającym stopniu opisu problemu</w:t>
      </w:r>
      <w:r w:rsidR="006A22D3" w:rsidRPr="006A22D3">
        <w:rPr>
          <w:noProof/>
        </w:rPr>
        <w:t xml:space="preserve"> i prz</w:t>
      </w:r>
      <w:r w:rsidRPr="006A22D3">
        <w:rPr>
          <w:noProof/>
        </w:rPr>
        <w:t>ekonujących dowodów na to, że unijne przedsiębiorstwa,</w:t>
      </w:r>
      <w:r w:rsidR="006A22D3" w:rsidRPr="006A22D3">
        <w:rPr>
          <w:noProof/>
        </w:rPr>
        <w:t xml:space="preserve"> a w szc</w:t>
      </w:r>
      <w:r w:rsidRPr="006A22D3">
        <w:rPr>
          <w:noProof/>
        </w:rPr>
        <w:t>zególności MŚP, już teraz nie uwzględniają</w:t>
      </w:r>
      <w:r w:rsidR="006A22D3" w:rsidRPr="006A22D3">
        <w:rPr>
          <w:noProof/>
        </w:rPr>
        <w:t xml:space="preserve"> w wys</w:t>
      </w:r>
      <w:r w:rsidRPr="006A22D3">
        <w:rPr>
          <w:noProof/>
        </w:rPr>
        <w:t>tarczającym stopniu kwestii dotyczących zrównoważonego rozwoju lub nie mają wystarczających zachęt, aby to robić; 2) nie przedstawiono</w:t>
      </w:r>
      <w:r w:rsidR="006A22D3" w:rsidRPr="006A22D3">
        <w:rPr>
          <w:noProof/>
        </w:rPr>
        <w:t xml:space="preserve"> w wys</w:t>
      </w:r>
      <w:r w:rsidRPr="006A22D3">
        <w:rPr>
          <w:noProof/>
        </w:rPr>
        <w:t>tarczającym stopniu zakresu możliwych wariantów strategicznych oraz nie wskazano kluczowych decyzji politycznych ani nie dokonano pełnej oceny tych decyzji; 3) nie oceniono</w:t>
      </w:r>
      <w:r w:rsidR="006A22D3" w:rsidRPr="006A22D3">
        <w:rPr>
          <w:noProof/>
        </w:rPr>
        <w:t xml:space="preserve"> w wys</w:t>
      </w:r>
      <w:r w:rsidRPr="006A22D3">
        <w:rPr>
          <w:noProof/>
        </w:rPr>
        <w:t>tarczającym stopniu skutków</w:t>
      </w:r>
      <w:r w:rsidR="006A22D3" w:rsidRPr="006A22D3">
        <w:rPr>
          <w:noProof/>
        </w:rPr>
        <w:t xml:space="preserve"> w spo</w:t>
      </w:r>
      <w:r w:rsidRPr="006A22D3">
        <w:rPr>
          <w:noProof/>
        </w:rPr>
        <w:t>sób kompletny, zrównoważony</w:t>
      </w:r>
      <w:r w:rsidR="006A22D3" w:rsidRPr="006A22D3">
        <w:rPr>
          <w:noProof/>
        </w:rPr>
        <w:t xml:space="preserve"> i neu</w:t>
      </w:r>
      <w:r w:rsidRPr="006A22D3">
        <w:rPr>
          <w:noProof/>
        </w:rPr>
        <w:t>tralny oraz nie uwzględniono niepewności co do faktycznego uzyskania korzyści; oraz 4) nie wykazano</w:t>
      </w:r>
      <w:r w:rsidR="006A22D3" w:rsidRPr="006A22D3">
        <w:rPr>
          <w:noProof/>
        </w:rPr>
        <w:t xml:space="preserve"> w wys</w:t>
      </w:r>
      <w:r w:rsidRPr="006A22D3">
        <w:rPr>
          <w:noProof/>
        </w:rPr>
        <w:t xml:space="preserve">tarczającym stopniu, że preferowany wariant jest proporcjonalny. </w:t>
      </w:r>
    </w:p>
    <w:p w:rsidR="003933E2" w:rsidRPr="006A22D3" w:rsidRDefault="003933E2" w:rsidP="003933E2">
      <w:pPr>
        <w:rPr>
          <w:noProof/>
        </w:rPr>
      </w:pPr>
      <w:r w:rsidRPr="006A22D3">
        <w:rPr>
          <w:noProof/>
        </w:rPr>
        <w:t>Dlatego też, aby uwzględnić uwagi zawarte</w:t>
      </w:r>
      <w:r w:rsidR="006A22D3" w:rsidRPr="006A22D3">
        <w:rPr>
          <w:noProof/>
        </w:rPr>
        <w:t xml:space="preserve"> w dru</w:t>
      </w:r>
      <w:r w:rsidRPr="006A22D3">
        <w:rPr>
          <w:noProof/>
        </w:rPr>
        <w:t>giej negatywnej opinii Rady, ocenę skutków uzupełniono</w:t>
      </w:r>
      <w:r w:rsidR="006A22D3" w:rsidRPr="006A22D3">
        <w:rPr>
          <w:noProof/>
        </w:rPr>
        <w:t xml:space="preserve"> o dok</w:t>
      </w:r>
      <w:r w:rsidRPr="006A22D3">
        <w:rPr>
          <w:noProof/>
        </w:rPr>
        <w:t>ument roboczy służb Komisji dotyczący działań podjętych</w:t>
      </w:r>
      <w:r w:rsidR="006A22D3" w:rsidRPr="006A22D3">
        <w:rPr>
          <w:noProof/>
        </w:rPr>
        <w:t xml:space="preserve"> w zwi</w:t>
      </w:r>
      <w:r w:rsidRPr="006A22D3">
        <w:rPr>
          <w:noProof/>
        </w:rPr>
        <w:t>ązku</w:t>
      </w:r>
      <w:r w:rsidR="006A22D3" w:rsidRPr="006A22D3">
        <w:rPr>
          <w:noProof/>
        </w:rPr>
        <w:t xml:space="preserve"> z opi</w:t>
      </w:r>
      <w:r w:rsidRPr="006A22D3">
        <w:rPr>
          <w:noProof/>
        </w:rPr>
        <w:t>nią Rady, który zawiera dodatkowe wyjaśnienia</w:t>
      </w:r>
      <w:r w:rsidR="006A22D3" w:rsidRPr="006A22D3">
        <w:rPr>
          <w:noProof/>
        </w:rPr>
        <w:t xml:space="preserve"> i dow</w:t>
      </w:r>
      <w:r w:rsidRPr="006A22D3">
        <w:rPr>
          <w:noProof/>
        </w:rPr>
        <w:t>ody dotyczące obszarów,</w:t>
      </w:r>
      <w:r w:rsidR="006A22D3" w:rsidRPr="006A22D3">
        <w:rPr>
          <w:noProof/>
        </w:rPr>
        <w:t xml:space="preserve"> w prz</w:t>
      </w:r>
      <w:r w:rsidRPr="006A22D3">
        <w:rPr>
          <w:noProof/>
        </w:rPr>
        <w:t xml:space="preserve">ypadku których Rada przedstawiła konkretne propozycje ulepszeń. </w:t>
      </w:r>
    </w:p>
    <w:p w:rsidR="001859C1" w:rsidRPr="006A22D3" w:rsidRDefault="008E0211" w:rsidP="000A60CF">
      <w:pPr>
        <w:rPr>
          <w:noProof/>
        </w:rPr>
      </w:pPr>
      <w:r w:rsidRPr="006A22D3">
        <w:rPr>
          <w:noProof/>
        </w:rPr>
        <w:t>Zgodnie</w:t>
      </w:r>
      <w:r w:rsidR="006A22D3" w:rsidRPr="006A22D3">
        <w:rPr>
          <w:noProof/>
        </w:rPr>
        <w:t xml:space="preserve"> z zas</w:t>
      </w:r>
      <w:r w:rsidRPr="006A22D3">
        <w:rPr>
          <w:noProof/>
        </w:rPr>
        <w:t>adami Komisji dotyczącymi lepszego stanowienia prawa, aby dokument mógł przejść do etapu przyjmowania, wymagana jest pozytywna opinia Rady ds. Kontroli Regulacyjnej. Wiceprzewodniczący do spraw stosunków międzyinstytucjonalnych</w:t>
      </w:r>
      <w:r w:rsidR="006A22D3" w:rsidRPr="006A22D3">
        <w:rPr>
          <w:noProof/>
        </w:rPr>
        <w:t xml:space="preserve"> i pro</w:t>
      </w:r>
      <w:r w:rsidRPr="006A22D3">
        <w:rPr>
          <w:noProof/>
        </w:rPr>
        <w:t>gnozowania może jednak zezwolić na kontynuowanie prac przygotowawczych dotyczących inicjatywy, która po raz drugi otrzymała negatywną opinię od Rady ds. Kontroli Regulacyjnej. Należy zaznaczyć, że opinie Rady ds. Kontroli Regulacyjnej stanowią ocenę jakości oceny skutków,</w:t>
      </w:r>
      <w:r w:rsidR="006A22D3" w:rsidRPr="006A22D3">
        <w:rPr>
          <w:noProof/>
        </w:rPr>
        <w:t xml:space="preserve"> a nie</w:t>
      </w:r>
      <w:r w:rsidRPr="006A22D3">
        <w:rPr>
          <w:noProof/>
        </w:rPr>
        <w:t xml:space="preserve"> ocenę powiązanego wniosku ustawodawczego.</w:t>
      </w:r>
    </w:p>
    <w:p w:rsidR="001859C1" w:rsidRPr="006A22D3" w:rsidRDefault="001859C1">
      <w:pPr>
        <w:rPr>
          <w:noProof/>
        </w:rPr>
      </w:pPr>
      <w:r w:rsidRPr="006A22D3">
        <w:rPr>
          <w:noProof/>
        </w:rPr>
        <w:t>Komisja uznała – również na podstawie zgody wiceprzewodniczącego do spraw stosunków międzyinstytucjonalnych</w:t>
      </w:r>
      <w:r w:rsidR="006A22D3" w:rsidRPr="006A22D3">
        <w:rPr>
          <w:noProof/>
        </w:rPr>
        <w:t xml:space="preserve"> i pro</w:t>
      </w:r>
      <w:r w:rsidRPr="006A22D3">
        <w:rPr>
          <w:noProof/>
        </w:rPr>
        <w:t>gnozowania – że należy kontynuować prace nad tą inicjatywą</w:t>
      </w:r>
      <w:r w:rsidR="006A22D3" w:rsidRPr="006A22D3">
        <w:rPr>
          <w:noProof/>
        </w:rPr>
        <w:t xml:space="preserve"> z nas</w:t>
      </w:r>
      <w:r w:rsidRPr="006A22D3">
        <w:rPr>
          <w:noProof/>
        </w:rPr>
        <w:t xml:space="preserve">tępujących powodów: </w:t>
      </w:r>
    </w:p>
    <w:p w:rsidR="001859C1" w:rsidRPr="006A22D3" w:rsidRDefault="001859C1" w:rsidP="00A3434D">
      <w:pPr>
        <w:pStyle w:val="Tiret0"/>
        <w:rPr>
          <w:rFonts w:eastAsia="Times New Roman"/>
          <w:noProof/>
        </w:rPr>
      </w:pPr>
      <w:r w:rsidRPr="006A22D3">
        <w:rPr>
          <w:noProof/>
        </w:rPr>
        <w:t xml:space="preserve">ze względu na </w:t>
      </w:r>
      <w:r w:rsidRPr="006A22D3">
        <w:rPr>
          <w:i/>
          <w:noProof/>
        </w:rPr>
        <w:t>znaczenie polityczne</w:t>
      </w:r>
      <w:r w:rsidRPr="006A22D3">
        <w:rPr>
          <w:noProof/>
        </w:rPr>
        <w:t xml:space="preserve"> tej inicjatywy dla priorytetu politycznego Komisji „Gospodarka służąca ludziom”,</w:t>
      </w:r>
      <w:r w:rsidR="006A22D3" w:rsidRPr="006A22D3">
        <w:rPr>
          <w:noProof/>
        </w:rPr>
        <w:t xml:space="preserve"> w tym w kon</w:t>
      </w:r>
      <w:r w:rsidRPr="006A22D3">
        <w:rPr>
          <w:noProof/>
        </w:rPr>
        <w:t>tekście pakietu na rzecz zrównoważonego finansowania</w:t>
      </w:r>
      <w:r w:rsidR="006A22D3" w:rsidRPr="006A22D3">
        <w:rPr>
          <w:noProof/>
        </w:rPr>
        <w:t xml:space="preserve"> i Eur</w:t>
      </w:r>
      <w:r w:rsidRPr="006A22D3">
        <w:rPr>
          <w:noProof/>
        </w:rPr>
        <w:t xml:space="preserve">opejskiego Zielonego Ładu; oraz </w:t>
      </w:r>
    </w:p>
    <w:p w:rsidR="001859C1" w:rsidRPr="006A22D3" w:rsidRDefault="001859C1" w:rsidP="00A3434D">
      <w:pPr>
        <w:pStyle w:val="Tiret0"/>
        <w:rPr>
          <w:rFonts w:eastAsia="Arial Unicode MS"/>
          <w:noProof/>
        </w:rPr>
      </w:pPr>
      <w:r w:rsidRPr="006A22D3">
        <w:rPr>
          <w:noProof/>
        </w:rPr>
        <w:t xml:space="preserve">ze względu na </w:t>
      </w:r>
      <w:r w:rsidRPr="006A22D3">
        <w:rPr>
          <w:i/>
          <w:noProof/>
        </w:rPr>
        <w:t>pilną potrzebę podjęcia działań</w:t>
      </w:r>
      <w:r w:rsidR="006A22D3" w:rsidRPr="006A22D3">
        <w:rPr>
          <w:noProof/>
        </w:rPr>
        <w:t xml:space="preserve"> w zak</w:t>
      </w:r>
      <w:r w:rsidRPr="006A22D3">
        <w:rPr>
          <w:noProof/>
        </w:rPr>
        <w:t>resie należytej staranności</w:t>
      </w:r>
      <w:r w:rsidR="006A22D3" w:rsidRPr="006A22D3">
        <w:rPr>
          <w:noProof/>
        </w:rPr>
        <w:t xml:space="preserve"> w łań</w:t>
      </w:r>
      <w:r w:rsidRPr="006A22D3">
        <w:rPr>
          <w:noProof/>
        </w:rPr>
        <w:t>cuchu wartości jako wkładu</w:t>
      </w:r>
      <w:r w:rsidR="006A22D3" w:rsidRPr="006A22D3">
        <w:rPr>
          <w:noProof/>
        </w:rPr>
        <w:t xml:space="preserve"> w tra</w:t>
      </w:r>
      <w:r w:rsidRPr="006A22D3">
        <w:rPr>
          <w:noProof/>
        </w:rPr>
        <w:t>nsformację</w:t>
      </w:r>
      <w:r w:rsidR="006A22D3" w:rsidRPr="006A22D3">
        <w:rPr>
          <w:noProof/>
        </w:rPr>
        <w:t xml:space="preserve"> w str</w:t>
      </w:r>
      <w:r w:rsidRPr="006A22D3">
        <w:rPr>
          <w:noProof/>
        </w:rPr>
        <w:t>onę modelu zrównoważonego oraz</w:t>
      </w:r>
      <w:r w:rsidR="006A22D3" w:rsidRPr="006A22D3">
        <w:rPr>
          <w:noProof/>
        </w:rPr>
        <w:t xml:space="preserve"> w cel</w:t>
      </w:r>
      <w:r w:rsidRPr="006A22D3">
        <w:rPr>
          <w:noProof/>
        </w:rPr>
        <w:t>u przeciwdziałania ryzyku rosnącej fragmentacji jednolitego rynku;</w:t>
      </w:r>
      <w:r w:rsidR="006A22D3" w:rsidRPr="006A22D3">
        <w:rPr>
          <w:noProof/>
        </w:rPr>
        <w:t xml:space="preserve"> a tak</w:t>
      </w:r>
      <w:r w:rsidRPr="006A22D3">
        <w:rPr>
          <w:noProof/>
        </w:rPr>
        <w:t xml:space="preserve">że ze względu na pogląd, że </w:t>
      </w:r>
    </w:p>
    <w:p w:rsidR="001859C1" w:rsidRPr="006A22D3" w:rsidRDefault="001859C1" w:rsidP="00A3434D">
      <w:pPr>
        <w:pStyle w:val="Tiret0"/>
        <w:rPr>
          <w:rFonts w:eastAsia="Times New Roman"/>
          <w:noProof/>
        </w:rPr>
      </w:pPr>
      <w:r w:rsidRPr="006A22D3">
        <w:rPr>
          <w:noProof/>
        </w:rPr>
        <w:t xml:space="preserve">przedstawiono </w:t>
      </w:r>
      <w:r w:rsidRPr="006A22D3">
        <w:rPr>
          <w:i/>
          <w:noProof/>
        </w:rPr>
        <w:t>dodatkowe wyjaśnienia</w:t>
      </w:r>
      <w:r w:rsidR="006A22D3" w:rsidRPr="006A22D3">
        <w:rPr>
          <w:i/>
          <w:noProof/>
        </w:rPr>
        <w:t xml:space="preserve"> i dow</w:t>
      </w:r>
      <w:r w:rsidRPr="006A22D3">
        <w:rPr>
          <w:i/>
          <w:noProof/>
        </w:rPr>
        <w:t>ody</w:t>
      </w:r>
      <w:r w:rsidR="006A22D3" w:rsidRPr="006A22D3">
        <w:rPr>
          <w:noProof/>
        </w:rPr>
        <w:t xml:space="preserve"> w spo</w:t>
      </w:r>
      <w:r w:rsidRPr="006A22D3">
        <w:rPr>
          <w:noProof/>
        </w:rPr>
        <w:t>sób zadowalający odnoszące się do niedociągnięć</w:t>
      </w:r>
      <w:r w:rsidR="006A22D3" w:rsidRPr="006A22D3">
        <w:rPr>
          <w:noProof/>
        </w:rPr>
        <w:t xml:space="preserve"> w oce</w:t>
      </w:r>
      <w:r w:rsidRPr="006A22D3">
        <w:rPr>
          <w:noProof/>
        </w:rPr>
        <w:t>nie skutków wskazanych przez Radę ds. Kontroli Regulacyjnej</w:t>
      </w:r>
      <w:r w:rsidR="006A22D3" w:rsidRPr="006A22D3">
        <w:rPr>
          <w:noProof/>
        </w:rPr>
        <w:t xml:space="preserve"> i uwz</w:t>
      </w:r>
      <w:r w:rsidRPr="006A22D3">
        <w:rPr>
          <w:noProof/>
        </w:rPr>
        <w:t>ględniono je</w:t>
      </w:r>
      <w:r w:rsidR="006A22D3" w:rsidRPr="006A22D3">
        <w:rPr>
          <w:noProof/>
        </w:rPr>
        <w:t xml:space="preserve"> w pop</w:t>
      </w:r>
      <w:r w:rsidRPr="006A22D3">
        <w:rPr>
          <w:noProof/>
        </w:rPr>
        <w:t>rawionym wniosku ustawodawczym.</w:t>
      </w:r>
    </w:p>
    <w:p w:rsidR="001859C1" w:rsidRPr="006A22D3" w:rsidRDefault="00772588">
      <w:pPr>
        <w:rPr>
          <w:noProof/>
        </w:rPr>
      </w:pPr>
      <w:r w:rsidRPr="006A22D3">
        <w:rPr>
          <w:noProof/>
        </w:rPr>
        <w:t>Ze względu na znaczenie</w:t>
      </w:r>
      <w:r w:rsidR="006A22D3" w:rsidRPr="006A22D3">
        <w:rPr>
          <w:noProof/>
        </w:rPr>
        <w:t xml:space="preserve"> i pil</w:t>
      </w:r>
      <w:r w:rsidRPr="006A22D3">
        <w:rPr>
          <w:noProof/>
        </w:rPr>
        <w:t>ny charakter tej inicjatywy Komisja odnotowała również, że Parlament Europejski, Rada</w:t>
      </w:r>
      <w:r w:rsidR="006A22D3" w:rsidRPr="006A22D3">
        <w:rPr>
          <w:noProof/>
        </w:rPr>
        <w:t xml:space="preserve"> i Kom</w:t>
      </w:r>
      <w:r w:rsidRPr="006A22D3">
        <w:rPr>
          <w:noProof/>
        </w:rPr>
        <w:t>isja uwzględniły ją we wspólnych priorytetach politycznych na</w:t>
      </w:r>
      <w:r w:rsidR="00192E90" w:rsidRPr="006A22D3">
        <w:rPr>
          <w:noProof/>
        </w:rPr>
        <w:t> </w:t>
      </w:r>
      <w:r w:rsidRPr="006A22D3">
        <w:rPr>
          <w:noProof/>
        </w:rPr>
        <w:t>2022</w:t>
      </w:r>
      <w:r w:rsidR="00192E90" w:rsidRPr="006A22D3">
        <w:rPr>
          <w:noProof/>
        </w:rPr>
        <w:t> </w:t>
      </w:r>
      <w:r w:rsidRPr="006A22D3">
        <w:rPr>
          <w:noProof/>
        </w:rPr>
        <w:t>r.</w:t>
      </w:r>
    </w:p>
    <w:p w:rsidR="001859C1" w:rsidRPr="006A22D3" w:rsidRDefault="001859C1">
      <w:pPr>
        <w:rPr>
          <w:noProof/>
        </w:rPr>
      </w:pPr>
      <w:r w:rsidRPr="006A22D3">
        <w:rPr>
          <w:noProof/>
        </w:rPr>
        <w:t>Po dokładnej analizie ustaleń Rady ds. Kontroli Regulacyjnej</w:t>
      </w:r>
      <w:r w:rsidR="006A22D3" w:rsidRPr="006A22D3">
        <w:rPr>
          <w:noProof/>
        </w:rPr>
        <w:t xml:space="preserve"> i uwz</w:t>
      </w:r>
      <w:r w:rsidRPr="006A22D3">
        <w:rPr>
          <w:noProof/>
        </w:rPr>
        <w:t>ględnieniu spostrzeżeń na temat dodatkowych wyjaśnień</w:t>
      </w:r>
      <w:r w:rsidR="006A22D3" w:rsidRPr="006A22D3">
        <w:rPr>
          <w:noProof/>
        </w:rPr>
        <w:t xml:space="preserve"> i dow</w:t>
      </w:r>
      <w:r w:rsidRPr="006A22D3">
        <w:rPr>
          <w:noProof/>
        </w:rPr>
        <w:t>odów Komisja uważa, że wniosek, który znacznie zmieniono</w:t>
      </w:r>
      <w:r w:rsidR="006A22D3" w:rsidRPr="006A22D3">
        <w:rPr>
          <w:noProof/>
        </w:rPr>
        <w:t xml:space="preserve"> w por</w:t>
      </w:r>
      <w:r w:rsidRPr="006A22D3">
        <w:rPr>
          <w:noProof/>
        </w:rPr>
        <w:t>ównaniu</w:t>
      </w:r>
      <w:r w:rsidR="006A22D3" w:rsidRPr="006A22D3">
        <w:rPr>
          <w:noProof/>
        </w:rPr>
        <w:t xml:space="preserve"> z pak</w:t>
      </w:r>
      <w:r w:rsidRPr="006A22D3">
        <w:rPr>
          <w:noProof/>
        </w:rPr>
        <w:t>ietem wariantów strategicznych przedstawionych</w:t>
      </w:r>
      <w:r w:rsidR="006A22D3" w:rsidRPr="006A22D3">
        <w:rPr>
          <w:noProof/>
        </w:rPr>
        <w:t xml:space="preserve"> w oce</w:t>
      </w:r>
      <w:r w:rsidRPr="006A22D3">
        <w:rPr>
          <w:noProof/>
        </w:rPr>
        <w:t>nie skutków, nadal umożliwia sprawną realizację ogólnego celu, jakim jest lepsze wykorzystanie potencjału jednolitego rynku do przejścia na gospodarkę zrównoważoną</w:t>
      </w:r>
      <w:r w:rsidR="006A22D3" w:rsidRPr="006A22D3">
        <w:rPr>
          <w:noProof/>
        </w:rPr>
        <w:t xml:space="preserve"> i wsp</w:t>
      </w:r>
      <w:r w:rsidRPr="006A22D3">
        <w:rPr>
          <w:noProof/>
        </w:rPr>
        <w:t>ieranie wytworzenia trwałej filozofii zarządzania przedsiębiorstwami zgodnej</w:t>
      </w:r>
      <w:r w:rsidR="006A22D3" w:rsidRPr="006A22D3">
        <w:rPr>
          <w:noProof/>
        </w:rPr>
        <w:t xml:space="preserve"> z zas</w:t>
      </w:r>
      <w:r w:rsidRPr="006A22D3">
        <w:rPr>
          <w:noProof/>
        </w:rPr>
        <w:t>adami odpowiedzialności</w:t>
      </w:r>
      <w:r w:rsidR="006A22D3" w:rsidRPr="006A22D3">
        <w:rPr>
          <w:noProof/>
        </w:rPr>
        <w:t xml:space="preserve"> i zró</w:t>
      </w:r>
      <w:r w:rsidRPr="006A22D3">
        <w:rPr>
          <w:noProof/>
        </w:rPr>
        <w:t>wnoważonego rozwoju. Dyrektywa jest bardziej skoncentrowana na obranym celu</w:t>
      </w:r>
      <w:r w:rsidR="006A22D3" w:rsidRPr="006A22D3">
        <w:rPr>
          <w:noProof/>
        </w:rPr>
        <w:t xml:space="preserve"> i uki</w:t>
      </w:r>
      <w:r w:rsidRPr="006A22D3">
        <w:rPr>
          <w:noProof/>
        </w:rPr>
        <w:t>erunkowana</w:t>
      </w:r>
      <w:r w:rsidR="006A22D3" w:rsidRPr="006A22D3">
        <w:rPr>
          <w:noProof/>
        </w:rPr>
        <w:t xml:space="preserve"> w por</w:t>
      </w:r>
      <w:r w:rsidRPr="006A22D3">
        <w:rPr>
          <w:noProof/>
        </w:rPr>
        <w:t>ównaniu</w:t>
      </w:r>
      <w:r w:rsidR="006A22D3" w:rsidRPr="006A22D3">
        <w:rPr>
          <w:noProof/>
        </w:rPr>
        <w:t xml:space="preserve"> z pre</w:t>
      </w:r>
      <w:r w:rsidRPr="006A22D3">
        <w:rPr>
          <w:noProof/>
        </w:rPr>
        <w:t>ferowanym wariantem przedstawionym</w:t>
      </w:r>
      <w:r w:rsidR="006A22D3" w:rsidRPr="006A22D3">
        <w:rPr>
          <w:noProof/>
        </w:rPr>
        <w:t xml:space="preserve"> w pro</w:t>
      </w:r>
      <w:r w:rsidRPr="006A22D3">
        <w:rPr>
          <w:noProof/>
        </w:rPr>
        <w:t>jekcie oceny skutków. Jej najważniejszym elementem jest obowiązek</w:t>
      </w:r>
      <w:r w:rsidR="006A22D3" w:rsidRPr="006A22D3">
        <w:rPr>
          <w:noProof/>
        </w:rPr>
        <w:t xml:space="preserve"> w zak</w:t>
      </w:r>
      <w:r w:rsidRPr="006A22D3">
        <w:rPr>
          <w:noProof/>
        </w:rPr>
        <w:t>resie należytej staranności, przy czym znacznie ograniczono obowiązki dyrektorów poprzez ścisłe powiązanie ich</w:t>
      </w:r>
      <w:r w:rsidR="006A22D3" w:rsidRPr="006A22D3">
        <w:rPr>
          <w:noProof/>
        </w:rPr>
        <w:t xml:space="preserve"> z obo</w:t>
      </w:r>
      <w:r w:rsidRPr="006A22D3">
        <w:rPr>
          <w:noProof/>
        </w:rPr>
        <w:t>wiązkiem</w:t>
      </w:r>
      <w:r w:rsidR="006A22D3" w:rsidRPr="006A22D3">
        <w:rPr>
          <w:noProof/>
        </w:rPr>
        <w:t xml:space="preserve"> w zak</w:t>
      </w:r>
      <w:r w:rsidRPr="006A22D3">
        <w:rPr>
          <w:noProof/>
        </w:rPr>
        <w:t>resie należytej staranności. Ponadto dostosowano zakres należytej staranności. Szczegółowy opis zmian wprowadzonych do pakietu wariantów preferowanych</w:t>
      </w:r>
      <w:r w:rsidR="006A22D3" w:rsidRPr="006A22D3">
        <w:rPr>
          <w:noProof/>
        </w:rPr>
        <w:t xml:space="preserve"> w oce</w:t>
      </w:r>
      <w:r w:rsidRPr="006A22D3">
        <w:rPr>
          <w:noProof/>
        </w:rPr>
        <w:t>nie skutków zawarto</w:t>
      </w:r>
      <w:r w:rsidR="006A22D3" w:rsidRPr="006A22D3">
        <w:rPr>
          <w:noProof/>
        </w:rPr>
        <w:t xml:space="preserve"> w zał</w:t>
      </w:r>
      <w:r w:rsidRPr="006A22D3">
        <w:rPr>
          <w:noProof/>
        </w:rPr>
        <w:t>ączonym dokumencie roboczym służb Komisji,</w:t>
      </w:r>
      <w:r w:rsidR="006A22D3" w:rsidRPr="006A22D3">
        <w:rPr>
          <w:noProof/>
        </w:rPr>
        <w:t xml:space="preserve"> w któ</w:t>
      </w:r>
      <w:r w:rsidRPr="006A22D3">
        <w:rPr>
          <w:noProof/>
        </w:rPr>
        <w:t>rym przedstawiono działania podjęte</w:t>
      </w:r>
      <w:r w:rsidR="006A22D3" w:rsidRPr="006A22D3">
        <w:rPr>
          <w:noProof/>
        </w:rPr>
        <w:t xml:space="preserve"> w zwi</w:t>
      </w:r>
      <w:r w:rsidRPr="006A22D3">
        <w:rPr>
          <w:noProof/>
        </w:rPr>
        <w:t>ązku</w:t>
      </w:r>
      <w:r w:rsidR="006A22D3" w:rsidRPr="006A22D3">
        <w:rPr>
          <w:noProof/>
        </w:rPr>
        <w:t xml:space="preserve"> z opi</w:t>
      </w:r>
      <w:r w:rsidRPr="006A22D3">
        <w:rPr>
          <w:noProof/>
        </w:rPr>
        <w:t>nią Rady ds. Kontroli Regulacyjnej</w:t>
      </w:r>
      <w:r w:rsidR="006A22D3" w:rsidRPr="006A22D3">
        <w:rPr>
          <w:noProof/>
        </w:rPr>
        <w:t xml:space="preserve"> i inf</w:t>
      </w:r>
      <w:r w:rsidRPr="006A22D3">
        <w:rPr>
          <w:noProof/>
        </w:rPr>
        <w:t>ormacje dodatkowe.</w:t>
      </w:r>
    </w:p>
    <w:p w:rsidR="00EC61C3" w:rsidRPr="006A22D3" w:rsidRDefault="001859C1" w:rsidP="000A60CF">
      <w:pPr>
        <w:rPr>
          <w:noProof/>
        </w:rPr>
      </w:pPr>
      <w:r w:rsidRPr="006A22D3">
        <w:rPr>
          <w:noProof/>
        </w:rPr>
        <w:t>Krótko mówiąc, „zakres podmiotowy”, tj. kategorie przedsiębiorstw objęte zakresem dyrektywy, został znacznie ograniczony</w:t>
      </w:r>
      <w:r w:rsidR="006A22D3" w:rsidRPr="006A22D3">
        <w:rPr>
          <w:noProof/>
        </w:rPr>
        <w:t xml:space="preserve"> w wyn</w:t>
      </w:r>
      <w:r w:rsidRPr="006A22D3">
        <w:rPr>
          <w:noProof/>
        </w:rPr>
        <w:t>iku rozważań przeprowadzonych na podstawie uwag Rady na temat opisu problemu,</w:t>
      </w:r>
      <w:r w:rsidR="006A22D3" w:rsidRPr="006A22D3">
        <w:rPr>
          <w:noProof/>
        </w:rPr>
        <w:t xml:space="preserve"> w szc</w:t>
      </w:r>
      <w:r w:rsidRPr="006A22D3">
        <w:rPr>
          <w:noProof/>
        </w:rPr>
        <w:t>zególności</w:t>
      </w:r>
      <w:r w:rsidR="006A22D3" w:rsidRPr="006A22D3">
        <w:rPr>
          <w:noProof/>
        </w:rPr>
        <w:t xml:space="preserve"> w odn</w:t>
      </w:r>
      <w:r w:rsidRPr="006A22D3">
        <w:rPr>
          <w:noProof/>
        </w:rPr>
        <w:t>iesieniu do MŚP, oraz na temat proporcjonalności wariantu preferowanego. Mówiąc konkretnie,</w:t>
      </w:r>
      <w:r w:rsidR="006A22D3" w:rsidRPr="006A22D3">
        <w:rPr>
          <w:noProof/>
        </w:rPr>
        <w:t xml:space="preserve"> z zak</w:t>
      </w:r>
      <w:r w:rsidRPr="006A22D3">
        <w:rPr>
          <w:noProof/>
        </w:rPr>
        <w:t>resu stosowania całkowicie wyłączono MŚP,</w:t>
      </w:r>
      <w:r w:rsidR="006A22D3" w:rsidRPr="006A22D3">
        <w:rPr>
          <w:noProof/>
        </w:rPr>
        <w:t xml:space="preserve"> a w sek</w:t>
      </w:r>
      <w:r w:rsidRPr="006A22D3">
        <w:rPr>
          <w:noProof/>
        </w:rPr>
        <w:t>torach</w:t>
      </w:r>
      <w:r w:rsidR="006A22D3" w:rsidRPr="006A22D3">
        <w:rPr>
          <w:noProof/>
        </w:rPr>
        <w:t xml:space="preserve"> o duż</w:t>
      </w:r>
      <w:r w:rsidRPr="006A22D3">
        <w:rPr>
          <w:noProof/>
        </w:rPr>
        <w:t>ym wpływie objęto zakresem wyłącznie przedsiębiorstwa zatrudniające ponad 250 pracowników</w:t>
      </w:r>
      <w:r w:rsidR="006A22D3" w:rsidRPr="006A22D3">
        <w:rPr>
          <w:noProof/>
        </w:rPr>
        <w:t xml:space="preserve"> i odn</w:t>
      </w:r>
      <w:r w:rsidRPr="006A22D3">
        <w:rPr>
          <w:noProof/>
        </w:rPr>
        <w:t>otowujące ponad 40 mln EUR przychodów netto ze sprzedaży</w:t>
      </w:r>
      <w:r w:rsidR="006A22D3" w:rsidRPr="006A22D3">
        <w:rPr>
          <w:noProof/>
        </w:rPr>
        <w:t xml:space="preserve"> w ska</w:t>
      </w:r>
      <w:r w:rsidRPr="006A22D3">
        <w:rPr>
          <w:noProof/>
        </w:rPr>
        <w:t>li światowej (podczas gdy duże przedsiębiorstwa, które jednocześnie przekraczają progi 500 pracowników</w:t>
      </w:r>
      <w:r w:rsidR="006A22D3" w:rsidRPr="006A22D3">
        <w:rPr>
          <w:noProof/>
        </w:rPr>
        <w:t xml:space="preserve"> i 1</w:t>
      </w:r>
      <w:r w:rsidRPr="006A22D3">
        <w:rPr>
          <w:noProof/>
        </w:rPr>
        <w:t>50 mln EUR przychodów netto ze sprzedaży</w:t>
      </w:r>
      <w:r w:rsidR="006A22D3" w:rsidRPr="006A22D3">
        <w:rPr>
          <w:noProof/>
        </w:rPr>
        <w:t xml:space="preserve"> w ska</w:t>
      </w:r>
      <w:r w:rsidRPr="006A22D3">
        <w:rPr>
          <w:noProof/>
        </w:rPr>
        <w:t>li światowej, są objęte zakresem stosowania niezależnie od sektora działalności gospodarczej). Sektory</w:t>
      </w:r>
      <w:r w:rsidR="006A22D3" w:rsidRPr="006A22D3">
        <w:rPr>
          <w:noProof/>
        </w:rPr>
        <w:t xml:space="preserve"> o duż</w:t>
      </w:r>
      <w:r w:rsidRPr="006A22D3">
        <w:rPr>
          <w:noProof/>
        </w:rPr>
        <w:t>ym wpływie bezpośrednio zdefiniowano</w:t>
      </w:r>
      <w:r w:rsidR="006A22D3" w:rsidRPr="006A22D3">
        <w:rPr>
          <w:noProof/>
        </w:rPr>
        <w:t xml:space="preserve"> w tek</w:t>
      </w:r>
      <w:r w:rsidRPr="006A22D3">
        <w:rPr>
          <w:noProof/>
        </w:rPr>
        <w:t>ście, co odzwierciedla również uwagi Rady dotyczące techniki legislacyjnej. Definicję sektorów</w:t>
      </w:r>
      <w:r w:rsidR="006A22D3" w:rsidRPr="006A22D3">
        <w:rPr>
          <w:noProof/>
        </w:rPr>
        <w:t xml:space="preserve"> o duż</w:t>
      </w:r>
      <w:r w:rsidRPr="006A22D3">
        <w:rPr>
          <w:noProof/>
        </w:rPr>
        <w:t>ym wpływie ograniczono do sektorów,</w:t>
      </w:r>
      <w:r w:rsidR="006A22D3" w:rsidRPr="006A22D3">
        <w:rPr>
          <w:noProof/>
        </w:rPr>
        <w:t xml:space="preserve"> w któ</w:t>
      </w:r>
      <w:r w:rsidRPr="006A22D3">
        <w:rPr>
          <w:noProof/>
        </w:rPr>
        <w:t>rych istnieje wysokie ryzyko powstania niekorzystnych skutków</w:t>
      </w:r>
      <w:r w:rsidR="006A22D3" w:rsidRPr="006A22D3">
        <w:rPr>
          <w:noProof/>
        </w:rPr>
        <w:t xml:space="preserve"> i w spr</w:t>
      </w:r>
      <w:r w:rsidRPr="006A22D3">
        <w:rPr>
          <w:noProof/>
        </w:rPr>
        <w:t>awie których powstały wytyczne OECD</w:t>
      </w:r>
      <w:r w:rsidR="006A22D3" w:rsidRPr="006A22D3">
        <w:rPr>
          <w:noProof/>
        </w:rPr>
        <w:t>. W prz</w:t>
      </w:r>
      <w:r w:rsidRPr="006A22D3">
        <w:rPr>
          <w:noProof/>
        </w:rPr>
        <w:t>ypadku przedsiębiorstw</w:t>
      </w:r>
      <w:r w:rsidR="006A22D3" w:rsidRPr="006A22D3">
        <w:rPr>
          <w:noProof/>
        </w:rPr>
        <w:t xml:space="preserve"> o śre</w:t>
      </w:r>
      <w:r w:rsidRPr="006A22D3">
        <w:rPr>
          <w:noProof/>
        </w:rPr>
        <w:t>dniej kapitalizacji</w:t>
      </w:r>
      <w:r w:rsidR="006A22D3" w:rsidRPr="006A22D3">
        <w:rPr>
          <w:noProof/>
        </w:rPr>
        <w:t xml:space="preserve"> w sek</w:t>
      </w:r>
      <w:r w:rsidRPr="006A22D3">
        <w:rPr>
          <w:noProof/>
        </w:rPr>
        <w:t>torach</w:t>
      </w:r>
      <w:r w:rsidR="006A22D3" w:rsidRPr="006A22D3">
        <w:rPr>
          <w:noProof/>
        </w:rPr>
        <w:t xml:space="preserve"> o duż</w:t>
      </w:r>
      <w:r w:rsidRPr="006A22D3">
        <w:rPr>
          <w:noProof/>
        </w:rPr>
        <w:t>ym wpływie zasady zaczną obowiązywać po dwuletnim okresie przejściowym, aby zapewnić więcej czasu na dostosowanie. Ponadto obowiązki tych przedsiębiorstw</w:t>
      </w:r>
      <w:r w:rsidR="006A22D3" w:rsidRPr="006A22D3">
        <w:rPr>
          <w:noProof/>
        </w:rPr>
        <w:t xml:space="preserve"> w zak</w:t>
      </w:r>
      <w:r w:rsidRPr="006A22D3">
        <w:rPr>
          <w:noProof/>
        </w:rPr>
        <w:t xml:space="preserve">resie należytej staranności są ograniczone wyłącznie do poważnych skutków istotnych dla ich sektora. </w:t>
      </w:r>
    </w:p>
    <w:p w:rsidR="005D5E57" w:rsidRPr="006A22D3" w:rsidRDefault="00EA0C02" w:rsidP="000A60CF">
      <w:pPr>
        <w:rPr>
          <w:noProof/>
        </w:rPr>
      </w:pPr>
      <w:r w:rsidRPr="006A22D3">
        <w:rPr>
          <w:noProof/>
        </w:rPr>
        <w:t>Aby skutecznie osiągnąć cele inicjatywy, zakresem niniejszego wniosku objęto również przedsiębiorstwa</w:t>
      </w:r>
      <w:r w:rsidR="006A22D3" w:rsidRPr="006A22D3">
        <w:rPr>
          <w:noProof/>
        </w:rPr>
        <w:t xml:space="preserve"> z pań</w:t>
      </w:r>
      <w:r w:rsidRPr="006A22D3">
        <w:rPr>
          <w:noProof/>
        </w:rPr>
        <w:t>stw trzecich. Zakres obejmuje wyłącznie te przedsiębiorstwa spoza UE, które mają bezpośrednie związki</w:t>
      </w:r>
      <w:r w:rsidR="006A22D3" w:rsidRPr="006A22D3">
        <w:rPr>
          <w:noProof/>
        </w:rPr>
        <w:t xml:space="preserve"> z ryn</w:t>
      </w:r>
      <w:r w:rsidRPr="006A22D3">
        <w:rPr>
          <w:noProof/>
        </w:rPr>
        <w:t>kiem unijnym</w:t>
      </w:r>
      <w:r w:rsidR="006A22D3" w:rsidRPr="006A22D3">
        <w:rPr>
          <w:noProof/>
        </w:rPr>
        <w:t xml:space="preserve"> i któ</w:t>
      </w:r>
      <w:r w:rsidRPr="006A22D3">
        <w:rPr>
          <w:noProof/>
        </w:rPr>
        <w:t>re osiągają podobny próg przychodów co przedsiębiorstwa unijne, ale</w:t>
      </w:r>
      <w:r w:rsidR="006A22D3" w:rsidRPr="006A22D3">
        <w:rPr>
          <w:noProof/>
        </w:rPr>
        <w:t xml:space="preserve"> w ram</w:t>
      </w:r>
      <w:r w:rsidRPr="006A22D3">
        <w:rPr>
          <w:noProof/>
        </w:rPr>
        <w:t xml:space="preserve">ach rynku unijnego. Będą one miały ponadto takie same obowiązki dotyczące należytej staranności jak odpowiadające im przedsiębiorstwa unijne. </w:t>
      </w:r>
    </w:p>
    <w:p w:rsidR="001859C1" w:rsidRPr="006A22D3" w:rsidRDefault="001859C1" w:rsidP="000A60CF">
      <w:pPr>
        <w:rPr>
          <w:noProof/>
        </w:rPr>
      </w:pPr>
      <w:r w:rsidRPr="006A22D3">
        <w:rPr>
          <w:noProof/>
        </w:rPr>
        <w:t>W dyrektywie wskazano również, że przedsiębiorstwa,</w:t>
      </w:r>
      <w:r w:rsidR="006A22D3" w:rsidRPr="006A22D3">
        <w:rPr>
          <w:noProof/>
        </w:rPr>
        <w:t xml:space="preserve"> a w szc</w:t>
      </w:r>
      <w:r w:rsidRPr="006A22D3">
        <w:rPr>
          <w:noProof/>
        </w:rPr>
        <w:t>zególności MŚP</w:t>
      </w:r>
      <w:r w:rsidR="006A22D3" w:rsidRPr="006A22D3">
        <w:rPr>
          <w:noProof/>
        </w:rPr>
        <w:t xml:space="preserve"> w łań</w:t>
      </w:r>
      <w:r w:rsidRPr="006A22D3">
        <w:rPr>
          <w:noProof/>
        </w:rPr>
        <w:t>cuchu wartości, koniecznie potrzebują dostępnego</w:t>
      </w:r>
      <w:r w:rsidR="006A22D3" w:rsidRPr="006A22D3">
        <w:rPr>
          <w:noProof/>
        </w:rPr>
        <w:t xml:space="preserve"> i pra</w:t>
      </w:r>
      <w:r w:rsidRPr="006A22D3">
        <w:rPr>
          <w:noProof/>
        </w:rPr>
        <w:t>ktycznego wsparcia, aby mogły przygotować się do wypełniania obowiązków (lub wynikających</w:t>
      </w:r>
      <w:r w:rsidR="006A22D3" w:rsidRPr="006A22D3">
        <w:rPr>
          <w:noProof/>
        </w:rPr>
        <w:t xml:space="preserve"> z nic</w:t>
      </w:r>
      <w:r w:rsidRPr="006A22D3">
        <w:rPr>
          <w:noProof/>
        </w:rPr>
        <w:t>h wymagań, które mogą zostać przeniesione na nie pośrednio). Wsparcie to może obejmować praktyczne wskazówki</w:t>
      </w:r>
      <w:r w:rsidR="006A22D3" w:rsidRPr="006A22D3">
        <w:rPr>
          <w:noProof/>
        </w:rPr>
        <w:t xml:space="preserve"> i nar</w:t>
      </w:r>
      <w:r w:rsidRPr="006A22D3">
        <w:rPr>
          <w:noProof/>
        </w:rPr>
        <w:t>zędzia pomocnicze, takie jak infolinie, bazy danych lub szkolenia,</w:t>
      </w:r>
      <w:r w:rsidR="006A22D3" w:rsidRPr="006A22D3">
        <w:rPr>
          <w:noProof/>
        </w:rPr>
        <w:t xml:space="preserve"> a tak</w:t>
      </w:r>
      <w:r w:rsidRPr="006A22D3">
        <w:rPr>
          <w:noProof/>
        </w:rPr>
        <w:t>że utworzenie obserwatorium, które wspomoże przedsiębiorstwa</w:t>
      </w:r>
      <w:r w:rsidR="006A22D3" w:rsidRPr="006A22D3">
        <w:rPr>
          <w:noProof/>
        </w:rPr>
        <w:t xml:space="preserve"> w wyk</w:t>
      </w:r>
      <w:r w:rsidRPr="006A22D3">
        <w:rPr>
          <w:noProof/>
        </w:rPr>
        <w:t>onywaniu dyrektywy. Klauzula przeglądowa zawiera ponadto wyraźne odniesienie do zakresu podmiotowego dyrektywy (tj. wskazania uwzględnionych kategorii przedsiębiorstw), który należy zweryfikować na podstawie doświadczeń praktycznych uzyskanych podczas stosowania przepisów. Inne środki łagodzące, mające na celu zmniejszenie pośredniego wpływu na MŚP, stanowią część obowiązków przedsiębiorstw objętych zakresem niniejszej dyrektywy.</w:t>
      </w:r>
    </w:p>
    <w:p w:rsidR="001859C1" w:rsidRPr="006A22D3" w:rsidRDefault="001859C1" w:rsidP="000A60CF">
      <w:pPr>
        <w:rPr>
          <w:noProof/>
        </w:rPr>
      </w:pPr>
      <w:r w:rsidRPr="006A22D3">
        <w:rPr>
          <w:noProof/>
        </w:rPr>
        <w:t>Jeśli chodzi</w:t>
      </w:r>
      <w:r w:rsidR="006A22D3" w:rsidRPr="006A22D3">
        <w:rPr>
          <w:noProof/>
        </w:rPr>
        <w:t xml:space="preserve"> o zak</w:t>
      </w:r>
      <w:r w:rsidRPr="006A22D3">
        <w:rPr>
          <w:noProof/>
        </w:rPr>
        <w:t>res przedmiotowy (tzn. co jest objęte), utrzymano instrument przekrojowy obejmujący prawa człowieka</w:t>
      </w:r>
      <w:r w:rsidR="006A22D3" w:rsidRPr="006A22D3">
        <w:rPr>
          <w:noProof/>
        </w:rPr>
        <w:t xml:space="preserve"> i wpł</w:t>
      </w:r>
      <w:r w:rsidRPr="006A22D3">
        <w:rPr>
          <w:noProof/>
        </w:rPr>
        <w:t xml:space="preserve">yw na środowisko. Odzwierciedla to silny konsensus wśród grup zainteresowanych stron, że rozwiązanie wskazanych problemów wymaga ram horyzontalnych. </w:t>
      </w:r>
    </w:p>
    <w:p w:rsidR="001859C1" w:rsidRPr="006A22D3" w:rsidRDefault="001859C1">
      <w:pPr>
        <w:rPr>
          <w:noProof/>
        </w:rPr>
      </w:pPr>
      <w:r w:rsidRPr="006A22D3">
        <w:rPr>
          <w:noProof/>
        </w:rPr>
        <w:t>Ponadto Rada stwierdziła, że ocena skutków nie jest wystarczająco jasna</w:t>
      </w:r>
      <w:r w:rsidR="006A22D3" w:rsidRPr="006A22D3">
        <w:rPr>
          <w:noProof/>
        </w:rPr>
        <w:t xml:space="preserve"> w kwe</w:t>
      </w:r>
      <w:r w:rsidRPr="006A22D3">
        <w:rPr>
          <w:noProof/>
        </w:rPr>
        <w:t>stii potrzeby uregulowania obowiązków dyrektorów</w:t>
      </w:r>
      <w:r w:rsidR="006A22D3" w:rsidRPr="006A22D3">
        <w:rPr>
          <w:noProof/>
        </w:rPr>
        <w:t xml:space="preserve"> w uzu</w:t>
      </w:r>
      <w:r w:rsidRPr="006A22D3">
        <w:rPr>
          <w:noProof/>
        </w:rPr>
        <w:t>pełnieniu do wymogów</w:t>
      </w:r>
      <w:r w:rsidR="006A22D3" w:rsidRPr="006A22D3">
        <w:rPr>
          <w:noProof/>
        </w:rPr>
        <w:t xml:space="preserve"> w zak</w:t>
      </w:r>
      <w:r w:rsidRPr="006A22D3">
        <w:rPr>
          <w:noProof/>
        </w:rPr>
        <w:t>resie należytej staranności. Komisja postanowiła zatem zająć się tą kwestią, odchodząc od pakietu wariantów preferowanych przedstawionego</w:t>
      </w:r>
      <w:r w:rsidR="006A22D3" w:rsidRPr="006A22D3">
        <w:rPr>
          <w:noProof/>
        </w:rPr>
        <w:t xml:space="preserve"> w oce</w:t>
      </w:r>
      <w:r w:rsidRPr="006A22D3">
        <w:rPr>
          <w:noProof/>
        </w:rPr>
        <w:t>nie skutków</w:t>
      </w:r>
      <w:r w:rsidR="006A22D3" w:rsidRPr="006A22D3">
        <w:rPr>
          <w:noProof/>
        </w:rPr>
        <w:t xml:space="preserve"> i kon</w:t>
      </w:r>
      <w:r w:rsidRPr="006A22D3">
        <w:rPr>
          <w:noProof/>
        </w:rPr>
        <w:t>centrując się na elemencie dotyczącym obowiązków dyrektorów, również</w:t>
      </w:r>
      <w:r w:rsidR="006A22D3" w:rsidRPr="006A22D3">
        <w:rPr>
          <w:noProof/>
        </w:rPr>
        <w:t xml:space="preserve"> w świ</w:t>
      </w:r>
      <w:r w:rsidRPr="006A22D3">
        <w:rPr>
          <w:noProof/>
        </w:rPr>
        <w:t>etle istniejących norm międzynarodowych</w:t>
      </w:r>
      <w:r w:rsidR="00E16026" w:rsidRPr="006A22D3">
        <w:rPr>
          <w:rStyle w:val="FootnoteReference"/>
          <w:noProof/>
        </w:rPr>
        <w:footnoteReference w:id="73"/>
      </w:r>
      <w:r w:rsidRPr="006A22D3">
        <w:rPr>
          <w:noProof/>
        </w:rPr>
        <w:t>,</w:t>
      </w:r>
      <w:r w:rsidR="006A22D3" w:rsidRPr="006A22D3">
        <w:rPr>
          <w:noProof/>
        </w:rPr>
        <w:t xml:space="preserve"> w zak</w:t>
      </w:r>
      <w:r w:rsidRPr="006A22D3">
        <w:rPr>
          <w:noProof/>
        </w:rPr>
        <w:t>resie należytej staranności</w:t>
      </w:r>
      <w:r w:rsidR="006A22D3" w:rsidRPr="006A22D3">
        <w:rPr>
          <w:noProof/>
        </w:rPr>
        <w:t xml:space="preserve"> i obo</w:t>
      </w:r>
      <w:r w:rsidRPr="006A22D3">
        <w:rPr>
          <w:noProof/>
        </w:rPr>
        <w:t>wiązku dbałości. Obejmuje to obowiązki dyrektorów związane</w:t>
      </w:r>
      <w:r w:rsidR="006A22D3" w:rsidRPr="006A22D3">
        <w:rPr>
          <w:noProof/>
        </w:rPr>
        <w:t xml:space="preserve"> z ust</w:t>
      </w:r>
      <w:r w:rsidRPr="006A22D3">
        <w:rPr>
          <w:noProof/>
        </w:rPr>
        <w:t>anawianiem procedur</w:t>
      </w:r>
      <w:r w:rsidR="006A22D3" w:rsidRPr="006A22D3">
        <w:rPr>
          <w:noProof/>
        </w:rPr>
        <w:t xml:space="preserve"> i śro</w:t>
      </w:r>
      <w:r w:rsidRPr="006A22D3">
        <w:rPr>
          <w:noProof/>
        </w:rPr>
        <w:t>dków</w:t>
      </w:r>
      <w:r w:rsidR="006A22D3" w:rsidRPr="006A22D3">
        <w:rPr>
          <w:noProof/>
        </w:rPr>
        <w:t xml:space="preserve"> w zak</w:t>
      </w:r>
      <w:r w:rsidRPr="006A22D3">
        <w:rPr>
          <w:noProof/>
        </w:rPr>
        <w:t>resie należytej staranności przedsiębiorstw</w:t>
      </w:r>
      <w:r w:rsidR="006A22D3" w:rsidRPr="006A22D3">
        <w:rPr>
          <w:noProof/>
        </w:rPr>
        <w:t xml:space="preserve"> i nad</w:t>
      </w:r>
      <w:r w:rsidRPr="006A22D3">
        <w:rPr>
          <w:noProof/>
        </w:rPr>
        <w:t>zorowaniem ich wdrażania, przygotowywaniem kodeksów postępowania służących tym celom, jak również włączaniem należytej staranności do strategii przedsiębiorstwa. Aby</w:t>
      </w:r>
      <w:r w:rsidR="006A22D3" w:rsidRPr="006A22D3">
        <w:rPr>
          <w:noProof/>
        </w:rPr>
        <w:t xml:space="preserve"> w peł</w:t>
      </w:r>
      <w:r w:rsidRPr="006A22D3">
        <w:rPr>
          <w:noProof/>
        </w:rPr>
        <w:t>ni odzwierciedlić rolę dyrektorów</w:t>
      </w:r>
      <w:r w:rsidR="006A22D3" w:rsidRPr="006A22D3">
        <w:rPr>
          <w:noProof/>
        </w:rPr>
        <w:t xml:space="preserve"> w kon</w:t>
      </w:r>
      <w:r w:rsidRPr="006A22D3">
        <w:rPr>
          <w:noProof/>
        </w:rPr>
        <w:t>tekście obowiązków</w:t>
      </w:r>
      <w:r w:rsidR="006A22D3" w:rsidRPr="006A22D3">
        <w:rPr>
          <w:noProof/>
        </w:rPr>
        <w:t xml:space="preserve"> w zak</w:t>
      </w:r>
      <w:r w:rsidRPr="006A22D3">
        <w:rPr>
          <w:noProof/>
        </w:rPr>
        <w:t>resie należytej staranności przedsiębiorstw, doprecyzowuje się również ogólny obowiązek dyrektorów</w:t>
      </w:r>
      <w:r w:rsidR="006A22D3" w:rsidRPr="006A22D3">
        <w:rPr>
          <w:noProof/>
        </w:rPr>
        <w:t xml:space="preserve"> w zak</w:t>
      </w:r>
      <w:r w:rsidRPr="006A22D3">
        <w:rPr>
          <w:noProof/>
        </w:rPr>
        <w:t>resie dbałości</w:t>
      </w:r>
      <w:r w:rsidR="006A22D3" w:rsidRPr="006A22D3">
        <w:rPr>
          <w:noProof/>
        </w:rPr>
        <w:t xml:space="preserve"> o prz</w:t>
      </w:r>
      <w:r w:rsidRPr="006A22D3">
        <w:rPr>
          <w:noProof/>
        </w:rPr>
        <w:t>edsiębiorstwo, który jest obecny</w:t>
      </w:r>
      <w:r w:rsidR="006A22D3" w:rsidRPr="006A22D3">
        <w:rPr>
          <w:noProof/>
        </w:rPr>
        <w:t xml:space="preserve"> w pra</w:t>
      </w:r>
      <w:r w:rsidRPr="006A22D3">
        <w:rPr>
          <w:noProof/>
        </w:rPr>
        <w:t>wie spółek wszystkich państw członkowskich, poprzez wskazanie, że wypełniając swój obowiązek działania</w:t>
      </w:r>
      <w:r w:rsidR="006A22D3" w:rsidRPr="006A22D3">
        <w:rPr>
          <w:noProof/>
        </w:rPr>
        <w:t xml:space="preserve"> w naj</w:t>
      </w:r>
      <w:r w:rsidRPr="006A22D3">
        <w:rPr>
          <w:noProof/>
        </w:rPr>
        <w:t>lepszym interesie spółki, dyrektorzy powinni uwzględniać kwestie dotyczące zrównoważonego rozwoju zawarte we wniosku dotyczącym dyrektywy</w:t>
      </w:r>
      <w:r w:rsidR="006A22D3" w:rsidRPr="006A22D3">
        <w:rPr>
          <w:noProof/>
        </w:rPr>
        <w:t xml:space="preserve"> w spr</w:t>
      </w:r>
      <w:r w:rsidRPr="006A22D3">
        <w:rPr>
          <w:noProof/>
        </w:rPr>
        <w:t>awie sprawozdawczości przedsiębiorstw</w:t>
      </w:r>
      <w:r w:rsidR="006A22D3" w:rsidRPr="006A22D3">
        <w:rPr>
          <w:noProof/>
        </w:rPr>
        <w:t xml:space="preserve"> w zak</w:t>
      </w:r>
      <w:r w:rsidRPr="006A22D3">
        <w:rPr>
          <w:noProof/>
        </w:rPr>
        <w:t>resie zrównoważonego rozwoju,</w:t>
      </w:r>
      <w:r w:rsidR="006A22D3" w:rsidRPr="006A22D3">
        <w:rPr>
          <w:noProof/>
        </w:rPr>
        <w:t xml:space="preserve"> w tym</w:t>
      </w:r>
      <w:r w:rsidRPr="006A22D3">
        <w:rPr>
          <w:noProof/>
        </w:rPr>
        <w:t>,</w:t>
      </w:r>
      <w:r w:rsidR="006A22D3" w:rsidRPr="006A22D3">
        <w:rPr>
          <w:noProof/>
        </w:rPr>
        <w:t xml:space="preserve"> w sto</w:t>
      </w:r>
      <w:r w:rsidRPr="006A22D3">
        <w:rPr>
          <w:noProof/>
        </w:rPr>
        <w:t>sownych przypadkach, prawa człowieka, zmianę klimatu</w:t>
      </w:r>
      <w:r w:rsidR="006A22D3" w:rsidRPr="006A22D3">
        <w:rPr>
          <w:noProof/>
        </w:rPr>
        <w:t xml:space="preserve"> i kon</w:t>
      </w:r>
      <w:r w:rsidRPr="006A22D3">
        <w:rPr>
          <w:noProof/>
        </w:rPr>
        <w:t>sekwencje dla środowiska,</w:t>
      </w:r>
      <w:r w:rsidR="006A22D3" w:rsidRPr="006A22D3">
        <w:rPr>
          <w:noProof/>
        </w:rPr>
        <w:t xml:space="preserve"> w tym w per</w:t>
      </w:r>
      <w:r w:rsidRPr="006A22D3">
        <w:rPr>
          <w:noProof/>
        </w:rPr>
        <w:t>spektywie krótko-, średnio-</w:t>
      </w:r>
      <w:r w:rsidR="006A22D3" w:rsidRPr="006A22D3">
        <w:rPr>
          <w:noProof/>
        </w:rPr>
        <w:t xml:space="preserve"> i dłu</w:t>
      </w:r>
      <w:r w:rsidRPr="006A22D3">
        <w:rPr>
          <w:noProof/>
        </w:rPr>
        <w:t>goterminowej. Nie zachowano bardziej daleko idących, szczegółowych obowiązków dyrektorów, które zaproponowano</w:t>
      </w:r>
      <w:r w:rsidR="006A22D3" w:rsidRPr="006A22D3">
        <w:rPr>
          <w:noProof/>
        </w:rPr>
        <w:t xml:space="preserve"> w oce</w:t>
      </w:r>
      <w:r w:rsidRPr="006A22D3">
        <w:rPr>
          <w:noProof/>
        </w:rPr>
        <w:t xml:space="preserve">nie skutków. Dzięki temu wniosek pozwoli osiągnąć zakładany cel, zachowując jednocześnie proporcjonalność. </w:t>
      </w:r>
    </w:p>
    <w:p w:rsidR="001859C1" w:rsidRPr="006A22D3" w:rsidRDefault="001859C1" w:rsidP="000A60CF">
      <w:pPr>
        <w:rPr>
          <w:noProof/>
        </w:rPr>
      </w:pPr>
      <w:r w:rsidRPr="006A22D3">
        <w:rPr>
          <w:noProof/>
        </w:rPr>
        <w:t>Jeśli chodzi</w:t>
      </w:r>
      <w:r w:rsidR="006A22D3" w:rsidRPr="006A22D3">
        <w:rPr>
          <w:noProof/>
        </w:rPr>
        <w:t xml:space="preserve"> o uwa</w:t>
      </w:r>
      <w:r w:rsidRPr="006A22D3">
        <w:rPr>
          <w:noProof/>
        </w:rPr>
        <w:t>gi Rady, wyczerpujące wyjaśnienia dokonanych wyborów politycznych przedstawiono</w:t>
      </w:r>
      <w:r w:rsidR="006A22D3" w:rsidRPr="006A22D3">
        <w:rPr>
          <w:noProof/>
        </w:rPr>
        <w:t xml:space="preserve"> w nin</w:t>
      </w:r>
      <w:r w:rsidRPr="006A22D3">
        <w:rPr>
          <w:noProof/>
        </w:rPr>
        <w:t>iejszym uzasadnieniu, jak również</w:t>
      </w:r>
      <w:r w:rsidR="006A22D3" w:rsidRPr="006A22D3">
        <w:rPr>
          <w:noProof/>
        </w:rPr>
        <w:t xml:space="preserve"> w mot</w:t>
      </w:r>
      <w:r w:rsidRPr="006A22D3">
        <w:rPr>
          <w:noProof/>
        </w:rPr>
        <w:t>ywach wniosku ustawodawczego. Chociaż ocenę skutków przedłożoną Radzie</w:t>
      </w:r>
      <w:r w:rsidR="006A22D3" w:rsidRPr="006A22D3">
        <w:rPr>
          <w:noProof/>
        </w:rPr>
        <w:t xml:space="preserve"> i opi</w:t>
      </w:r>
      <w:r w:rsidRPr="006A22D3">
        <w:rPr>
          <w:noProof/>
        </w:rPr>
        <w:t>nię Rady opublikowano</w:t>
      </w:r>
      <w:r w:rsidR="006A22D3" w:rsidRPr="006A22D3">
        <w:rPr>
          <w:noProof/>
        </w:rPr>
        <w:t xml:space="preserve"> w for</w:t>
      </w:r>
      <w:r w:rsidRPr="006A22D3">
        <w:rPr>
          <w:noProof/>
        </w:rPr>
        <w:t>mie niezmienionej, przygotowano oddzielny towarzyszący dokument roboczy służb Komisji</w:t>
      </w:r>
      <w:r w:rsidR="006A22D3" w:rsidRPr="006A22D3">
        <w:rPr>
          <w:noProof/>
        </w:rPr>
        <w:t xml:space="preserve"> w cel</w:t>
      </w:r>
      <w:r w:rsidRPr="006A22D3">
        <w:rPr>
          <w:noProof/>
        </w:rPr>
        <w:t>u przedstawienia dodatkowych dowodów</w:t>
      </w:r>
      <w:r w:rsidR="006A22D3" w:rsidRPr="006A22D3">
        <w:rPr>
          <w:noProof/>
        </w:rPr>
        <w:t xml:space="preserve"> i wyj</w:t>
      </w:r>
      <w:r w:rsidRPr="006A22D3">
        <w:rPr>
          <w:noProof/>
        </w:rPr>
        <w:t>aśnień, które stanowią odpowiedź na uwagi Rady,</w:t>
      </w:r>
      <w:r w:rsidR="006A22D3" w:rsidRPr="006A22D3">
        <w:rPr>
          <w:noProof/>
        </w:rPr>
        <w:t xml:space="preserve"> w tym w odn</w:t>
      </w:r>
      <w:r w:rsidRPr="006A22D3">
        <w:rPr>
          <w:noProof/>
        </w:rPr>
        <w:t>iesieniu do kwestii dowodów</w:t>
      </w:r>
      <w:r w:rsidR="006A22D3" w:rsidRPr="006A22D3">
        <w:rPr>
          <w:noProof/>
        </w:rPr>
        <w:t>. W dok</w:t>
      </w:r>
      <w:r w:rsidRPr="006A22D3">
        <w:rPr>
          <w:noProof/>
        </w:rPr>
        <w:t>umencie odniesiono się</w:t>
      </w:r>
      <w:r w:rsidR="006A22D3" w:rsidRPr="006A22D3">
        <w:rPr>
          <w:noProof/>
        </w:rPr>
        <w:t xml:space="preserve"> w szc</w:t>
      </w:r>
      <w:r w:rsidRPr="006A22D3">
        <w:rPr>
          <w:noProof/>
        </w:rPr>
        <w:t>zególności do następujących kwestii:</w:t>
      </w:r>
    </w:p>
    <w:p w:rsidR="001859C1" w:rsidRPr="006A22D3" w:rsidRDefault="00D91F29" w:rsidP="00D91F29">
      <w:pPr>
        <w:pStyle w:val="ManualNumPar1"/>
        <w:rPr>
          <w:noProof/>
        </w:rPr>
      </w:pPr>
      <w:r w:rsidRPr="00D91F29">
        <w:t>1.</w:t>
      </w:r>
      <w:r w:rsidRPr="00D91F29">
        <w:tab/>
      </w:r>
      <w:r w:rsidR="001859C1" w:rsidRPr="006A22D3">
        <w:rPr>
          <w:noProof/>
        </w:rPr>
        <w:t xml:space="preserve">opis problemu: </w:t>
      </w:r>
    </w:p>
    <w:p w:rsidR="001859C1" w:rsidRPr="006A22D3" w:rsidRDefault="001859C1" w:rsidP="00370814">
      <w:pPr>
        <w:pStyle w:val="Tiret0"/>
        <w:rPr>
          <w:rFonts w:eastAsia="Arial Unicode MS"/>
          <w:noProof/>
        </w:rPr>
      </w:pPr>
      <w:r w:rsidRPr="006A22D3">
        <w:rPr>
          <w:noProof/>
        </w:rPr>
        <w:t>skala</w:t>
      </w:r>
      <w:r w:rsidR="006A22D3" w:rsidRPr="006A22D3">
        <w:rPr>
          <w:noProof/>
        </w:rPr>
        <w:t xml:space="preserve"> i zmi</w:t>
      </w:r>
      <w:r w:rsidRPr="006A22D3">
        <w:rPr>
          <w:noProof/>
        </w:rPr>
        <w:t>any problemów dotyczących środowiska</w:t>
      </w:r>
      <w:r w:rsidR="006A22D3" w:rsidRPr="006A22D3">
        <w:rPr>
          <w:noProof/>
        </w:rPr>
        <w:t xml:space="preserve"> i zró</w:t>
      </w:r>
      <w:r w:rsidRPr="006A22D3">
        <w:rPr>
          <w:noProof/>
        </w:rPr>
        <w:t>wnoważonego rozwoju bezpośrednio związanych</w:t>
      </w:r>
      <w:r w:rsidR="006A22D3" w:rsidRPr="006A22D3">
        <w:rPr>
          <w:noProof/>
        </w:rPr>
        <w:t xml:space="preserve"> z wyr</w:t>
      </w:r>
      <w:r w:rsidRPr="006A22D3">
        <w:rPr>
          <w:noProof/>
        </w:rPr>
        <w:t>aźnym brakiem lub niewystarczającym stosowaniem praktyk zarządzania</w:t>
      </w:r>
      <w:r w:rsidR="006A22D3" w:rsidRPr="006A22D3">
        <w:rPr>
          <w:noProof/>
        </w:rPr>
        <w:t xml:space="preserve"> w zak</w:t>
      </w:r>
      <w:r w:rsidRPr="006A22D3">
        <w:rPr>
          <w:noProof/>
        </w:rPr>
        <w:t>resie zrównoważonego rozwoju</w:t>
      </w:r>
      <w:r w:rsidR="006A22D3" w:rsidRPr="006A22D3">
        <w:rPr>
          <w:noProof/>
        </w:rPr>
        <w:t xml:space="preserve"> w prz</w:t>
      </w:r>
      <w:r w:rsidRPr="006A22D3">
        <w:rPr>
          <w:noProof/>
        </w:rPr>
        <w:t>edsiębiorstwach unijnych, które to problemy niniejsza dyrektywa ma rozwiązać, oraz wartość dodana dyrektywy</w:t>
      </w:r>
      <w:r w:rsidR="006A22D3" w:rsidRPr="006A22D3">
        <w:rPr>
          <w:noProof/>
        </w:rPr>
        <w:t xml:space="preserve"> w odn</w:t>
      </w:r>
      <w:r w:rsidRPr="006A22D3">
        <w:rPr>
          <w:noProof/>
        </w:rPr>
        <w:t>iesieniu do kompleksowego pakietu środków na rzecz zrównoważonego rozwoju przewidzianego</w:t>
      </w:r>
      <w:r w:rsidR="006A22D3" w:rsidRPr="006A22D3">
        <w:rPr>
          <w:noProof/>
        </w:rPr>
        <w:t xml:space="preserve"> w ram</w:t>
      </w:r>
      <w:r w:rsidRPr="006A22D3">
        <w:rPr>
          <w:noProof/>
        </w:rPr>
        <w:t>ach Zielonego Ładu;</w:t>
      </w:r>
    </w:p>
    <w:p w:rsidR="001859C1" w:rsidRPr="006A22D3" w:rsidRDefault="001859C1" w:rsidP="00370814">
      <w:pPr>
        <w:pStyle w:val="Tiret0"/>
        <w:rPr>
          <w:rFonts w:eastAsia="Arial Unicode MS"/>
          <w:noProof/>
        </w:rPr>
      </w:pPr>
      <w:r w:rsidRPr="006A22D3">
        <w:rPr>
          <w:noProof/>
        </w:rPr>
        <w:t>powody, dla których dynamikę rynku</w:t>
      </w:r>
      <w:r w:rsidR="006A22D3" w:rsidRPr="006A22D3">
        <w:rPr>
          <w:noProof/>
        </w:rPr>
        <w:t xml:space="preserve"> i kon</w:t>
      </w:r>
      <w:r w:rsidRPr="006A22D3">
        <w:rPr>
          <w:noProof/>
        </w:rPr>
        <w:t>kurencji wraz</w:t>
      </w:r>
      <w:r w:rsidR="006A22D3" w:rsidRPr="006A22D3">
        <w:rPr>
          <w:noProof/>
        </w:rPr>
        <w:t xml:space="preserve"> z dal</w:t>
      </w:r>
      <w:r w:rsidRPr="006A22D3">
        <w:rPr>
          <w:noProof/>
        </w:rPr>
        <w:t>szymi zmianami</w:t>
      </w:r>
      <w:r w:rsidR="006A22D3" w:rsidRPr="006A22D3">
        <w:rPr>
          <w:noProof/>
        </w:rPr>
        <w:t xml:space="preserve"> w str</w:t>
      </w:r>
      <w:r w:rsidRPr="006A22D3">
        <w:rPr>
          <w:noProof/>
        </w:rPr>
        <w:t>ategiach przedsiębiorstw</w:t>
      </w:r>
      <w:r w:rsidR="006A22D3" w:rsidRPr="006A22D3">
        <w:rPr>
          <w:noProof/>
        </w:rPr>
        <w:t xml:space="preserve"> i sys</w:t>
      </w:r>
      <w:r w:rsidRPr="006A22D3">
        <w:rPr>
          <w:noProof/>
        </w:rPr>
        <w:t>temach zarządzania ryzykiem postrzega się jako niewystarczające, także</w:t>
      </w:r>
      <w:r w:rsidR="006A22D3" w:rsidRPr="006A22D3">
        <w:rPr>
          <w:noProof/>
        </w:rPr>
        <w:t xml:space="preserve"> w odn</w:t>
      </w:r>
      <w:r w:rsidRPr="006A22D3">
        <w:rPr>
          <w:noProof/>
        </w:rPr>
        <w:t>iesieniu do zakładanego związku przyczynowo-skutkowego między stosowaniem narzędzi</w:t>
      </w:r>
      <w:r w:rsidR="006A22D3" w:rsidRPr="006A22D3">
        <w:rPr>
          <w:noProof/>
        </w:rPr>
        <w:t xml:space="preserve"> w zak</w:t>
      </w:r>
      <w:r w:rsidRPr="006A22D3">
        <w:rPr>
          <w:noProof/>
        </w:rPr>
        <w:t>resie zrównoważonego rozwoju</w:t>
      </w:r>
      <w:r w:rsidR="006A22D3" w:rsidRPr="006A22D3">
        <w:rPr>
          <w:noProof/>
        </w:rPr>
        <w:t xml:space="preserve"> w prz</w:t>
      </w:r>
      <w:r w:rsidRPr="006A22D3">
        <w:rPr>
          <w:noProof/>
        </w:rPr>
        <w:t>edsiębiorstwach</w:t>
      </w:r>
      <w:r w:rsidR="006A22D3" w:rsidRPr="006A22D3">
        <w:rPr>
          <w:noProof/>
        </w:rPr>
        <w:t xml:space="preserve"> a roz</w:t>
      </w:r>
      <w:r w:rsidRPr="006A22D3">
        <w:rPr>
          <w:noProof/>
        </w:rPr>
        <w:t>wiązywaniem problemów za ich pomocą</w:t>
      </w:r>
      <w:r w:rsidR="006A22D3" w:rsidRPr="006A22D3">
        <w:rPr>
          <w:noProof/>
        </w:rPr>
        <w:t xml:space="preserve"> w pra</w:t>
      </w:r>
      <w:r w:rsidRPr="006A22D3">
        <w:rPr>
          <w:noProof/>
        </w:rPr>
        <w:t>ktyce;</w:t>
      </w:r>
    </w:p>
    <w:p w:rsidR="001859C1" w:rsidRPr="006A22D3" w:rsidRDefault="00D91F29" w:rsidP="00D91F29">
      <w:pPr>
        <w:pStyle w:val="ManualNumPar1"/>
        <w:rPr>
          <w:noProof/>
        </w:rPr>
      </w:pPr>
      <w:r w:rsidRPr="00D91F29">
        <w:t>2.</w:t>
      </w:r>
      <w:r w:rsidRPr="00D91F29">
        <w:tab/>
      </w:r>
      <w:r w:rsidR="001859C1" w:rsidRPr="006A22D3">
        <w:rPr>
          <w:noProof/>
        </w:rPr>
        <w:t>skutki wdrożenia preferowanego wariantu:</w:t>
      </w:r>
    </w:p>
    <w:p w:rsidR="001859C1" w:rsidRPr="006A22D3" w:rsidRDefault="00126683" w:rsidP="00370814">
      <w:pPr>
        <w:pStyle w:val="Tiret0"/>
        <w:rPr>
          <w:rFonts w:eastAsia="Arial Unicode MS"/>
          <w:noProof/>
        </w:rPr>
      </w:pPr>
      <w:r w:rsidRPr="006A22D3">
        <w:rPr>
          <w:noProof/>
        </w:rPr>
        <w:t>kwestie związane</w:t>
      </w:r>
      <w:r w:rsidR="006A22D3" w:rsidRPr="006A22D3">
        <w:rPr>
          <w:noProof/>
        </w:rPr>
        <w:t xml:space="preserve"> z pań</w:t>
      </w:r>
      <w:r w:rsidRPr="006A22D3">
        <w:rPr>
          <w:noProof/>
        </w:rPr>
        <w:t>stwami trzecimi</w:t>
      </w:r>
      <w:r w:rsidR="006A22D3" w:rsidRPr="006A22D3">
        <w:rPr>
          <w:noProof/>
        </w:rPr>
        <w:t xml:space="preserve"> z uwz</w:t>
      </w:r>
      <w:r w:rsidRPr="006A22D3">
        <w:rPr>
          <w:noProof/>
        </w:rPr>
        <w:t>ględnieniem spostrzeżeń (i) na temat spodziewanego rozwoju sytuacji</w:t>
      </w:r>
      <w:r w:rsidR="006A22D3" w:rsidRPr="006A22D3">
        <w:rPr>
          <w:noProof/>
        </w:rPr>
        <w:t xml:space="preserve"> w pań</w:t>
      </w:r>
      <w:r w:rsidRPr="006A22D3">
        <w:rPr>
          <w:noProof/>
        </w:rPr>
        <w:t>stwach trzecich (w tym biorąc pod uwagę unijne</w:t>
      </w:r>
      <w:r w:rsidR="006A22D3" w:rsidRPr="006A22D3">
        <w:rPr>
          <w:noProof/>
        </w:rPr>
        <w:t xml:space="preserve"> i mię</w:t>
      </w:r>
      <w:r w:rsidRPr="006A22D3">
        <w:rPr>
          <w:noProof/>
        </w:rPr>
        <w:t>dzynarodowe środki wsparcia handlu</w:t>
      </w:r>
      <w:r w:rsidR="006A22D3" w:rsidRPr="006A22D3">
        <w:rPr>
          <w:noProof/>
        </w:rPr>
        <w:t xml:space="preserve"> i roz</w:t>
      </w:r>
      <w:r w:rsidRPr="006A22D3">
        <w:rPr>
          <w:noProof/>
        </w:rPr>
        <w:t>woju), (ii) na temat wpływu na państwa trzecie</w:t>
      </w:r>
      <w:r w:rsidR="006A22D3" w:rsidRPr="006A22D3">
        <w:rPr>
          <w:noProof/>
        </w:rPr>
        <w:t xml:space="preserve"> i dos</w:t>
      </w:r>
      <w:r w:rsidRPr="006A22D3">
        <w:rPr>
          <w:noProof/>
        </w:rPr>
        <w:t>tawców</w:t>
      </w:r>
      <w:r w:rsidR="006A22D3" w:rsidRPr="006A22D3">
        <w:rPr>
          <w:noProof/>
        </w:rPr>
        <w:t xml:space="preserve"> w pań</w:t>
      </w:r>
      <w:r w:rsidRPr="006A22D3">
        <w:rPr>
          <w:noProof/>
        </w:rPr>
        <w:t>stwach trzecich;</w:t>
      </w:r>
    </w:p>
    <w:p w:rsidR="001859C1" w:rsidRPr="006A22D3" w:rsidRDefault="001859C1" w:rsidP="00370814">
      <w:pPr>
        <w:pStyle w:val="Tiret0"/>
        <w:rPr>
          <w:noProof/>
        </w:rPr>
      </w:pPr>
      <w:r w:rsidRPr="006A22D3">
        <w:rPr>
          <w:noProof/>
        </w:rPr>
        <w:t>mechanizm egzekwowania, jeszcze bardziej zwiększający wartość dodaną dwufilarowego systemu egzekwowania, który opiera się na egzekwowaniu na poziomie administracyjnym</w:t>
      </w:r>
      <w:r w:rsidR="006A22D3" w:rsidRPr="006A22D3">
        <w:rPr>
          <w:noProof/>
        </w:rPr>
        <w:t xml:space="preserve"> i odp</w:t>
      </w:r>
      <w:r w:rsidRPr="006A22D3">
        <w:rPr>
          <w:noProof/>
        </w:rPr>
        <w:t>owiedzialności cywilnej;</w:t>
      </w:r>
    </w:p>
    <w:p w:rsidR="001859C1" w:rsidRPr="006A22D3" w:rsidRDefault="001859C1" w:rsidP="00370814">
      <w:pPr>
        <w:pStyle w:val="Tiret0"/>
        <w:rPr>
          <w:noProof/>
        </w:rPr>
      </w:pPr>
      <w:r w:rsidRPr="006A22D3">
        <w:rPr>
          <w:noProof/>
        </w:rPr>
        <w:t>wpływ na konkurencję</w:t>
      </w:r>
      <w:r w:rsidR="006A22D3" w:rsidRPr="006A22D3">
        <w:rPr>
          <w:noProof/>
        </w:rPr>
        <w:t xml:space="preserve"> i kon</w:t>
      </w:r>
      <w:r w:rsidRPr="006A22D3">
        <w:rPr>
          <w:noProof/>
        </w:rPr>
        <w:t>kurencyjność.</w:t>
      </w:r>
    </w:p>
    <w:p w:rsidR="001859C1" w:rsidRPr="006A22D3" w:rsidRDefault="001859C1" w:rsidP="000B2095">
      <w:pPr>
        <w:pStyle w:val="ManualHeading2"/>
        <w:rPr>
          <w:noProof/>
        </w:rPr>
      </w:pPr>
      <w:r w:rsidRPr="006A22D3">
        <w:rPr>
          <w:noProof/>
        </w:rPr>
        <w:t>Sprawność regulacyjna</w:t>
      </w:r>
      <w:r w:rsidR="006A22D3" w:rsidRPr="006A22D3">
        <w:rPr>
          <w:noProof/>
        </w:rPr>
        <w:t xml:space="preserve"> i upr</w:t>
      </w:r>
      <w:r w:rsidRPr="006A22D3">
        <w:rPr>
          <w:noProof/>
        </w:rPr>
        <w:t>oszczenie</w:t>
      </w:r>
    </w:p>
    <w:p w:rsidR="001859C1" w:rsidRPr="006A22D3" w:rsidRDefault="002E42B0" w:rsidP="009C1E50">
      <w:pPr>
        <w:rPr>
          <w:noProof/>
        </w:rPr>
      </w:pPr>
      <w:r w:rsidRPr="006A22D3">
        <w:rPr>
          <w:noProof/>
        </w:rPr>
        <w:t>Małe</w:t>
      </w:r>
      <w:r w:rsidR="006A22D3" w:rsidRPr="006A22D3">
        <w:rPr>
          <w:noProof/>
        </w:rPr>
        <w:t xml:space="preserve"> i śre</w:t>
      </w:r>
      <w:r w:rsidRPr="006A22D3">
        <w:rPr>
          <w:noProof/>
        </w:rPr>
        <w:t>dnie przedsiębiorstwa,</w:t>
      </w:r>
      <w:r w:rsidR="006A22D3" w:rsidRPr="006A22D3">
        <w:rPr>
          <w:noProof/>
        </w:rPr>
        <w:t xml:space="preserve"> w tym</w:t>
      </w:r>
      <w:r w:rsidRPr="006A22D3">
        <w:rPr>
          <w:noProof/>
        </w:rPr>
        <w:t xml:space="preserve"> mikroprzedsiębiorstwa, nie są objęte zakresem dyrektywy,</w:t>
      </w:r>
      <w:r w:rsidR="006A22D3" w:rsidRPr="006A22D3">
        <w:rPr>
          <w:noProof/>
        </w:rPr>
        <w:t xml:space="preserve"> a sku</w:t>
      </w:r>
      <w:r w:rsidRPr="006A22D3">
        <w:rPr>
          <w:noProof/>
        </w:rPr>
        <w:t>tki pośrednie dla nich zostaną złagodzone za pośrednictwem środków wspierających</w:t>
      </w:r>
      <w:r w:rsidR="006A22D3" w:rsidRPr="006A22D3">
        <w:rPr>
          <w:noProof/>
        </w:rPr>
        <w:t xml:space="preserve"> i wyt</w:t>
      </w:r>
      <w:r w:rsidRPr="006A22D3">
        <w:rPr>
          <w:noProof/>
        </w:rPr>
        <w:t>ycznych na poziomie Unii</w:t>
      </w:r>
      <w:r w:rsidR="006A22D3" w:rsidRPr="006A22D3">
        <w:rPr>
          <w:noProof/>
        </w:rPr>
        <w:t xml:space="preserve"> i pań</w:t>
      </w:r>
      <w:r w:rsidRPr="006A22D3">
        <w:rPr>
          <w:noProof/>
        </w:rPr>
        <w:t>stw członkowskich,</w:t>
      </w:r>
      <w:r w:rsidR="006A22D3" w:rsidRPr="006A22D3">
        <w:rPr>
          <w:noProof/>
        </w:rPr>
        <w:t xml:space="preserve"> a tak</w:t>
      </w:r>
      <w:r w:rsidRPr="006A22D3">
        <w:rPr>
          <w:noProof/>
        </w:rPr>
        <w:t>że</w:t>
      </w:r>
      <w:r w:rsidR="006A22D3" w:rsidRPr="006A22D3">
        <w:rPr>
          <w:noProof/>
        </w:rPr>
        <w:t xml:space="preserve"> w rel</w:t>
      </w:r>
      <w:r w:rsidRPr="006A22D3">
        <w:rPr>
          <w:noProof/>
        </w:rPr>
        <w:t>acjach między przedsiębiorstwami poprzez stosowanie wzorcowych klauzul umownych oraz wymogów proporcjonalności</w:t>
      </w:r>
      <w:r w:rsidR="006A22D3" w:rsidRPr="006A22D3">
        <w:rPr>
          <w:noProof/>
        </w:rPr>
        <w:t xml:space="preserve"> w odn</w:t>
      </w:r>
      <w:r w:rsidRPr="006A22D3">
        <w:rPr>
          <w:noProof/>
        </w:rPr>
        <w:t xml:space="preserve">iesieniu do większego partnera biznesowego. </w:t>
      </w:r>
    </w:p>
    <w:p w:rsidR="001859C1" w:rsidRPr="006A22D3" w:rsidRDefault="001859C1" w:rsidP="000B2095">
      <w:pPr>
        <w:pStyle w:val="ManualHeading2"/>
        <w:rPr>
          <w:noProof/>
        </w:rPr>
      </w:pPr>
      <w:r w:rsidRPr="006A22D3">
        <w:rPr>
          <w:noProof/>
        </w:rPr>
        <w:t>Prawa podstawowe</w:t>
      </w:r>
    </w:p>
    <w:p w:rsidR="001859C1" w:rsidRPr="006A22D3" w:rsidRDefault="001859C1" w:rsidP="001859C1">
      <w:pPr>
        <w:rPr>
          <w:rFonts w:eastAsia="Arial Unicode MS"/>
          <w:noProof/>
        </w:rPr>
      </w:pPr>
      <w:r w:rsidRPr="006A22D3">
        <w:rPr>
          <w:noProof/>
        </w:rPr>
        <w:t>Jak wyjaśniono</w:t>
      </w:r>
      <w:r w:rsidR="006A22D3" w:rsidRPr="006A22D3">
        <w:rPr>
          <w:noProof/>
        </w:rPr>
        <w:t xml:space="preserve"> w oce</w:t>
      </w:r>
      <w:r w:rsidRPr="006A22D3">
        <w:rPr>
          <w:noProof/>
        </w:rPr>
        <w:t>nie skutków i na podstawie istniejących dowodów, obowiązkowe wymogi</w:t>
      </w:r>
      <w:r w:rsidR="006A22D3" w:rsidRPr="006A22D3">
        <w:rPr>
          <w:noProof/>
        </w:rPr>
        <w:t xml:space="preserve"> w zak</w:t>
      </w:r>
      <w:r w:rsidRPr="006A22D3">
        <w:rPr>
          <w:noProof/>
        </w:rPr>
        <w:t>resie należytej staranności mogą przynieść znaczące korzyści</w:t>
      </w:r>
      <w:r w:rsidR="006A22D3" w:rsidRPr="006A22D3">
        <w:rPr>
          <w:noProof/>
        </w:rPr>
        <w:t xml:space="preserve"> w zak</w:t>
      </w:r>
      <w:r w:rsidRPr="006A22D3">
        <w:rPr>
          <w:noProof/>
        </w:rPr>
        <w:t>resie ochrony</w:t>
      </w:r>
      <w:r w:rsidR="006A22D3" w:rsidRPr="006A22D3">
        <w:rPr>
          <w:noProof/>
        </w:rPr>
        <w:t xml:space="preserve"> i pro</w:t>
      </w:r>
      <w:r w:rsidRPr="006A22D3">
        <w:rPr>
          <w:noProof/>
        </w:rPr>
        <w:t>pagowania praw podstawowych.</w:t>
      </w:r>
    </w:p>
    <w:p w:rsidR="001859C1" w:rsidRPr="006A22D3" w:rsidRDefault="001859C1" w:rsidP="001859C1">
      <w:pPr>
        <w:pStyle w:val="ManualHeading1"/>
        <w:rPr>
          <w:noProof/>
        </w:rPr>
      </w:pPr>
      <w:r w:rsidRPr="006A22D3">
        <w:rPr>
          <w:noProof/>
        </w:rPr>
        <w:t>4.</w:t>
      </w:r>
      <w:r w:rsidRPr="006A22D3">
        <w:rPr>
          <w:noProof/>
        </w:rPr>
        <w:tab/>
        <w:t>WPŁYW NA BUDŻET</w:t>
      </w:r>
    </w:p>
    <w:p w:rsidR="001859C1" w:rsidRPr="006A22D3" w:rsidRDefault="001859C1">
      <w:pPr>
        <w:rPr>
          <w:noProof/>
        </w:rPr>
      </w:pPr>
      <w:r w:rsidRPr="006A22D3">
        <w:rPr>
          <w:noProof/>
        </w:rPr>
        <w:t xml:space="preserve">Wniosek nie ma bezpośredniego wpływu na budżet Unii. </w:t>
      </w:r>
    </w:p>
    <w:p w:rsidR="001859C1" w:rsidRPr="006A22D3" w:rsidRDefault="001859C1" w:rsidP="009F2B3C">
      <w:pPr>
        <w:pStyle w:val="ManualHeading1"/>
        <w:spacing w:line="276" w:lineRule="auto"/>
        <w:rPr>
          <w:noProof/>
        </w:rPr>
      </w:pPr>
      <w:r w:rsidRPr="006A22D3">
        <w:rPr>
          <w:noProof/>
        </w:rPr>
        <w:t>5.</w:t>
      </w:r>
      <w:r w:rsidRPr="006A22D3">
        <w:rPr>
          <w:noProof/>
        </w:rPr>
        <w:tab/>
        <w:t>ELEMENTY FAKULTATYWNE</w:t>
      </w:r>
    </w:p>
    <w:p w:rsidR="001859C1" w:rsidRPr="006A22D3" w:rsidRDefault="001859C1" w:rsidP="000B2095">
      <w:pPr>
        <w:pStyle w:val="ManualHeading2"/>
        <w:rPr>
          <w:noProof/>
        </w:rPr>
      </w:pPr>
      <w:r w:rsidRPr="006A22D3">
        <w:rPr>
          <w:noProof/>
        </w:rPr>
        <w:t>Plany wdrożenia</w:t>
      </w:r>
      <w:r w:rsidR="006A22D3" w:rsidRPr="006A22D3">
        <w:rPr>
          <w:noProof/>
        </w:rPr>
        <w:t xml:space="preserve"> i mon</w:t>
      </w:r>
      <w:r w:rsidRPr="006A22D3">
        <w:rPr>
          <w:noProof/>
        </w:rPr>
        <w:t>itorowanie, ocena</w:t>
      </w:r>
      <w:r w:rsidR="006A22D3" w:rsidRPr="006A22D3">
        <w:rPr>
          <w:noProof/>
        </w:rPr>
        <w:t xml:space="preserve"> i spr</w:t>
      </w:r>
      <w:r w:rsidRPr="006A22D3">
        <w:rPr>
          <w:noProof/>
        </w:rPr>
        <w:t>awozdania</w:t>
      </w:r>
    </w:p>
    <w:p w:rsidR="001859C1" w:rsidRPr="006A22D3" w:rsidRDefault="001859C1" w:rsidP="00D83690">
      <w:pPr>
        <w:rPr>
          <w:noProof/>
        </w:rPr>
      </w:pPr>
      <w:r w:rsidRPr="006A22D3">
        <w:rPr>
          <w:noProof/>
        </w:rPr>
        <w:t>Aby pomóc we wdrażaniu niniejszej dyrektywy, Komisja utworzy Europejską Sieć Organów Nadzorczych</w:t>
      </w:r>
      <w:r w:rsidR="006A22D3" w:rsidRPr="006A22D3">
        <w:rPr>
          <w:noProof/>
        </w:rPr>
        <w:t>. W skł</w:t>
      </w:r>
      <w:r w:rsidRPr="006A22D3">
        <w:rPr>
          <w:noProof/>
        </w:rPr>
        <w:t>ad tej sieci wejdą przedstawiciele organów nadzorczych wyznaczeni przez państwa członkowskie i,</w:t>
      </w:r>
      <w:r w:rsidR="006A22D3" w:rsidRPr="006A22D3">
        <w:rPr>
          <w:noProof/>
        </w:rPr>
        <w:t xml:space="preserve"> w raz</w:t>
      </w:r>
      <w:r w:rsidRPr="006A22D3">
        <w:rPr>
          <w:noProof/>
        </w:rPr>
        <w:t>ie potrzeby, również inne agencje unijne posiadające odpowiednią wiedzę specjalistyczną</w:t>
      </w:r>
      <w:r w:rsidR="006A22D3" w:rsidRPr="006A22D3">
        <w:rPr>
          <w:noProof/>
        </w:rPr>
        <w:t xml:space="preserve"> w obs</w:t>
      </w:r>
      <w:r w:rsidRPr="006A22D3">
        <w:rPr>
          <w:noProof/>
        </w:rPr>
        <w:t>zarach objętych niniejszą dyrektywą,</w:t>
      </w:r>
      <w:r w:rsidR="006A22D3" w:rsidRPr="006A22D3">
        <w:rPr>
          <w:noProof/>
        </w:rPr>
        <w:t xml:space="preserve"> a jej</w:t>
      </w:r>
      <w:r w:rsidRPr="006A22D3">
        <w:rPr>
          <w:noProof/>
        </w:rPr>
        <w:t xml:space="preserve"> celem będzie zapewnienie, aby przedsiębiorstwa przestrzegały swoich obowiązków</w:t>
      </w:r>
      <w:r w:rsidR="006A22D3" w:rsidRPr="006A22D3">
        <w:rPr>
          <w:noProof/>
        </w:rPr>
        <w:t xml:space="preserve"> w zak</w:t>
      </w:r>
      <w:r w:rsidRPr="006A22D3">
        <w:rPr>
          <w:noProof/>
        </w:rPr>
        <w:t>resie należytej staranności, oraz ułatwienie</w:t>
      </w:r>
      <w:r w:rsidR="006A22D3" w:rsidRPr="006A22D3">
        <w:rPr>
          <w:noProof/>
        </w:rPr>
        <w:t xml:space="preserve"> i zap</w:t>
      </w:r>
      <w:r w:rsidRPr="006A22D3">
        <w:rPr>
          <w:noProof/>
        </w:rPr>
        <w:t>ewnienie koordynacji</w:t>
      </w:r>
      <w:r w:rsidR="006A22D3" w:rsidRPr="006A22D3">
        <w:rPr>
          <w:noProof/>
        </w:rPr>
        <w:t xml:space="preserve"> i kon</w:t>
      </w:r>
      <w:r w:rsidRPr="006A22D3">
        <w:rPr>
          <w:noProof/>
        </w:rPr>
        <w:t>wergencji praktyk</w:t>
      </w:r>
      <w:r w:rsidR="006A22D3" w:rsidRPr="006A22D3">
        <w:rPr>
          <w:noProof/>
        </w:rPr>
        <w:t xml:space="preserve"> w zak</w:t>
      </w:r>
      <w:r w:rsidRPr="006A22D3">
        <w:rPr>
          <w:noProof/>
        </w:rPr>
        <w:t>resie regulacji, prowadzenia postępowań wyjaśniających, nakładania sankcji</w:t>
      </w:r>
      <w:r w:rsidR="006A22D3" w:rsidRPr="006A22D3">
        <w:rPr>
          <w:noProof/>
        </w:rPr>
        <w:t xml:space="preserve"> i nad</w:t>
      </w:r>
      <w:r w:rsidRPr="006A22D3">
        <w:rPr>
          <w:noProof/>
        </w:rPr>
        <w:t>zoru,</w:t>
      </w:r>
      <w:r w:rsidR="006A22D3" w:rsidRPr="006A22D3">
        <w:rPr>
          <w:noProof/>
        </w:rPr>
        <w:t xml:space="preserve"> a tak</w:t>
      </w:r>
      <w:r w:rsidRPr="006A22D3">
        <w:rPr>
          <w:noProof/>
        </w:rPr>
        <w:t>że wymiany informacji między tymi organami nadzorczymi.</w:t>
      </w:r>
    </w:p>
    <w:p w:rsidR="001859C1" w:rsidRPr="006A22D3" w:rsidRDefault="001859C1" w:rsidP="00D83690">
      <w:pPr>
        <w:rPr>
          <w:noProof/>
        </w:rPr>
      </w:pPr>
      <w:r w:rsidRPr="006A22D3">
        <w:rPr>
          <w:noProof/>
        </w:rPr>
        <w:t>Po upływie siedmiu lat od zakończenia okresu transpozycji Komisja składa sprawozdanie</w:t>
      </w:r>
      <w:r w:rsidR="006A22D3" w:rsidRPr="006A22D3">
        <w:rPr>
          <w:noProof/>
        </w:rPr>
        <w:t xml:space="preserve"> z wyk</w:t>
      </w:r>
      <w:r w:rsidRPr="006A22D3">
        <w:rPr>
          <w:noProof/>
        </w:rPr>
        <w:t>onania niniejszej dyrektywy, obejmujące między innymi jej skuteczność. Sprawozdanie przedkłada się</w:t>
      </w:r>
      <w:r w:rsidR="006A22D3" w:rsidRPr="006A22D3">
        <w:rPr>
          <w:noProof/>
        </w:rPr>
        <w:t xml:space="preserve"> w raz</w:t>
      </w:r>
      <w:r w:rsidRPr="006A22D3">
        <w:rPr>
          <w:noProof/>
        </w:rPr>
        <w:t>ie potrzeby wraz</w:t>
      </w:r>
      <w:r w:rsidR="006A22D3" w:rsidRPr="006A22D3">
        <w:rPr>
          <w:noProof/>
        </w:rPr>
        <w:t xml:space="preserve"> z wni</w:t>
      </w:r>
      <w:r w:rsidRPr="006A22D3">
        <w:rPr>
          <w:noProof/>
        </w:rPr>
        <w:t>oskiem ustawodawczym.</w:t>
      </w:r>
    </w:p>
    <w:p w:rsidR="001859C1" w:rsidRPr="006A22D3" w:rsidRDefault="001859C1" w:rsidP="00D83690">
      <w:pPr>
        <w:rPr>
          <w:noProof/>
        </w:rPr>
      </w:pPr>
      <w:r w:rsidRPr="006A22D3">
        <w:rPr>
          <w:noProof/>
        </w:rPr>
        <w:t>W razie potrzeby Komisja wyda wytyczne</w:t>
      </w:r>
      <w:r w:rsidR="006A22D3" w:rsidRPr="006A22D3">
        <w:rPr>
          <w:noProof/>
        </w:rPr>
        <w:t xml:space="preserve"> w cel</w:t>
      </w:r>
      <w:r w:rsidRPr="006A22D3">
        <w:rPr>
          <w:noProof/>
        </w:rPr>
        <w:t>u zapewnienia przejrzystości</w:t>
      </w:r>
      <w:r w:rsidR="006A22D3" w:rsidRPr="006A22D3">
        <w:rPr>
          <w:noProof/>
        </w:rPr>
        <w:t xml:space="preserve"> i wsp</w:t>
      </w:r>
      <w:r w:rsidRPr="006A22D3">
        <w:rPr>
          <w:noProof/>
        </w:rPr>
        <w:t>arcia przedsiębiorstwom</w:t>
      </w:r>
      <w:r w:rsidR="006A22D3" w:rsidRPr="006A22D3">
        <w:rPr>
          <w:noProof/>
        </w:rPr>
        <w:t xml:space="preserve"> i pań</w:t>
      </w:r>
      <w:r w:rsidRPr="006A22D3">
        <w:rPr>
          <w:noProof/>
        </w:rPr>
        <w:t>stwom członkowskim we wdrażaniu dyrektywy.</w:t>
      </w:r>
    </w:p>
    <w:p w:rsidR="001859C1" w:rsidRPr="006A22D3" w:rsidRDefault="001859C1" w:rsidP="000B2095">
      <w:pPr>
        <w:pStyle w:val="ManualHeading2"/>
        <w:rPr>
          <w:b w:val="0"/>
          <w:noProof/>
        </w:rPr>
      </w:pPr>
      <w:r w:rsidRPr="006A22D3">
        <w:rPr>
          <w:noProof/>
        </w:rPr>
        <w:t>Dokumenty wyjaśniające</w:t>
      </w:r>
    </w:p>
    <w:p w:rsidR="00D66B8B" w:rsidRPr="006A22D3" w:rsidRDefault="00D66B8B" w:rsidP="000A60CF">
      <w:pPr>
        <w:rPr>
          <w:rFonts w:eastAsia="Arial Unicode MS"/>
          <w:noProof/>
        </w:rPr>
      </w:pPr>
      <w:r w:rsidRPr="006A22D3">
        <w:rPr>
          <w:noProof/>
          <w:shd w:val="clear" w:color="auto" w:fill="FFFFFF"/>
        </w:rPr>
        <w:t>Aby zapewnić właściwe wdrożenie niniejszej dyrektywy, konieczny byłby dokument wyjaśniający, np.</w:t>
      </w:r>
      <w:r w:rsidR="006A22D3" w:rsidRPr="006A22D3">
        <w:rPr>
          <w:noProof/>
          <w:shd w:val="clear" w:color="auto" w:fill="FFFFFF"/>
        </w:rPr>
        <w:t xml:space="preserve"> w for</w:t>
      </w:r>
      <w:r w:rsidRPr="006A22D3">
        <w:rPr>
          <w:noProof/>
          <w:shd w:val="clear" w:color="auto" w:fill="FFFFFF"/>
        </w:rPr>
        <w:t>mie tabeli korelacji.</w:t>
      </w:r>
    </w:p>
    <w:p w:rsidR="001859C1" w:rsidRPr="006A22D3" w:rsidRDefault="001859C1" w:rsidP="000B2095">
      <w:pPr>
        <w:pStyle w:val="ManualHeading2"/>
        <w:rPr>
          <w:b w:val="0"/>
          <w:noProof/>
        </w:rPr>
      </w:pPr>
      <w:r w:rsidRPr="006A22D3">
        <w:rPr>
          <w:noProof/>
        </w:rPr>
        <w:t>Szczegółowe objaśnienia poszczególnych przepisów wniosku</w:t>
      </w:r>
    </w:p>
    <w:p w:rsidR="00F929CB" w:rsidRPr="006A22D3" w:rsidRDefault="00A7667A" w:rsidP="00F929CB">
      <w:pPr>
        <w:rPr>
          <w:noProof/>
        </w:rPr>
      </w:pPr>
      <w:r w:rsidRPr="006A22D3">
        <w:rPr>
          <w:noProof/>
        </w:rPr>
        <w:t>W art.</w:t>
      </w:r>
      <w:r w:rsidR="00192E90" w:rsidRPr="006A22D3">
        <w:rPr>
          <w:noProof/>
        </w:rPr>
        <w:t> </w:t>
      </w:r>
      <w:r w:rsidRPr="006A22D3">
        <w:rPr>
          <w:noProof/>
        </w:rPr>
        <w:t>1 określono przedmiot dyrektywy, tj. ustanowiono zasady dotyczące obowiązków przedsiębiorstw</w:t>
      </w:r>
      <w:r w:rsidR="006A22D3" w:rsidRPr="006A22D3">
        <w:rPr>
          <w:noProof/>
        </w:rPr>
        <w:t xml:space="preserve"> w zak</w:t>
      </w:r>
      <w:r w:rsidRPr="006A22D3">
        <w:rPr>
          <w:noProof/>
        </w:rPr>
        <w:t>resie należytej staranności dotyczących faktycznych</w:t>
      </w:r>
      <w:r w:rsidR="006A22D3" w:rsidRPr="006A22D3">
        <w:rPr>
          <w:noProof/>
        </w:rPr>
        <w:t xml:space="preserve"> i pot</w:t>
      </w:r>
      <w:r w:rsidRPr="006A22D3">
        <w:rPr>
          <w:noProof/>
        </w:rPr>
        <w:t>encjalnych niekorzystnych skutków dla praw człowieka</w:t>
      </w:r>
      <w:r w:rsidR="006A22D3" w:rsidRPr="006A22D3">
        <w:rPr>
          <w:noProof/>
        </w:rPr>
        <w:t xml:space="preserve"> i śro</w:t>
      </w:r>
      <w:r w:rsidRPr="006A22D3">
        <w:rPr>
          <w:noProof/>
        </w:rPr>
        <w:t>dowiska</w:t>
      </w:r>
      <w:r w:rsidR="006A22D3" w:rsidRPr="006A22D3">
        <w:rPr>
          <w:noProof/>
        </w:rPr>
        <w:t xml:space="preserve"> w odn</w:t>
      </w:r>
      <w:r w:rsidRPr="006A22D3">
        <w:rPr>
          <w:noProof/>
        </w:rPr>
        <w:t>iesieniu do ich własnej działalności, działalności jednostek zależnych oraz działalności</w:t>
      </w:r>
      <w:r w:rsidR="006A22D3" w:rsidRPr="006A22D3">
        <w:rPr>
          <w:noProof/>
        </w:rPr>
        <w:t xml:space="preserve"> w ram</w:t>
      </w:r>
      <w:r w:rsidRPr="006A22D3">
        <w:rPr>
          <w:noProof/>
        </w:rPr>
        <w:t>ach łańcucha wartości prowadzonej za pośrednictwem stałych relacji biznesowych; przepis ten precyzuje również, że niniejsza dyrektywa ustanawia zasady dotyczące odpowiedzialności za naruszenie obowiązku</w:t>
      </w:r>
      <w:r w:rsidR="006A22D3" w:rsidRPr="006A22D3">
        <w:rPr>
          <w:noProof/>
        </w:rPr>
        <w:t xml:space="preserve"> w zak</w:t>
      </w:r>
      <w:r w:rsidRPr="006A22D3">
        <w:rPr>
          <w:noProof/>
        </w:rPr>
        <w:t xml:space="preserve">resie należytej staranności. </w:t>
      </w:r>
    </w:p>
    <w:p w:rsidR="00DD60C8" w:rsidRPr="006A22D3" w:rsidRDefault="00A7667A" w:rsidP="00AF49F4">
      <w:pPr>
        <w:rPr>
          <w:noProof/>
        </w:rPr>
      </w:pPr>
      <w:r w:rsidRPr="006A22D3">
        <w:rPr>
          <w:noProof/>
        </w:rPr>
        <w:t>W art.</w:t>
      </w:r>
      <w:r w:rsidR="00192E90" w:rsidRPr="006A22D3">
        <w:rPr>
          <w:noProof/>
        </w:rPr>
        <w:t> </w:t>
      </w:r>
      <w:r w:rsidRPr="006A22D3">
        <w:rPr>
          <w:noProof/>
        </w:rPr>
        <w:t>2 ustanowiono zakres podmiotowy stosowania dyrektywy</w:t>
      </w:r>
      <w:r w:rsidR="006A22D3" w:rsidRPr="006A22D3">
        <w:rPr>
          <w:noProof/>
        </w:rPr>
        <w:t xml:space="preserve"> i okr</w:t>
      </w:r>
      <w:r w:rsidRPr="006A22D3">
        <w:rPr>
          <w:noProof/>
        </w:rPr>
        <w:t>eślono kryteria, na podstawie których państwo członkowskie jest uprawnione do regulowania kwestii objętych niniejszą dyrektywą.</w:t>
      </w:r>
    </w:p>
    <w:p w:rsidR="00A7667A" w:rsidRPr="006A22D3" w:rsidRDefault="00A7667A" w:rsidP="00AF49F4">
      <w:pPr>
        <w:rPr>
          <w:noProof/>
        </w:rPr>
      </w:pPr>
      <w:r w:rsidRPr="006A22D3">
        <w:rPr>
          <w:noProof/>
        </w:rPr>
        <w:t>Art. 3 zawiera definicje stosowane do celów niniejszej dyrektywy.</w:t>
      </w:r>
    </w:p>
    <w:p w:rsidR="00A7667A" w:rsidRPr="006A22D3" w:rsidRDefault="00A7667A">
      <w:pPr>
        <w:rPr>
          <w:noProof/>
        </w:rPr>
      </w:pPr>
      <w:r w:rsidRPr="006A22D3">
        <w:rPr>
          <w:noProof/>
        </w:rPr>
        <w:t>W art.</w:t>
      </w:r>
      <w:r w:rsidR="00192E90" w:rsidRPr="006A22D3">
        <w:rPr>
          <w:noProof/>
        </w:rPr>
        <w:t> </w:t>
      </w:r>
      <w:r w:rsidRPr="006A22D3">
        <w:rPr>
          <w:noProof/>
        </w:rPr>
        <w:t>4 nałożono na państwa członkowskie obowiązek zapewnienia, aby przedsiębiorstwa dochowywały należytej staranności</w:t>
      </w:r>
      <w:r w:rsidR="006A22D3" w:rsidRPr="006A22D3">
        <w:rPr>
          <w:noProof/>
        </w:rPr>
        <w:t xml:space="preserve"> w zak</w:t>
      </w:r>
      <w:r w:rsidRPr="006A22D3">
        <w:rPr>
          <w:noProof/>
        </w:rPr>
        <w:t>resie praw człowieka</w:t>
      </w:r>
      <w:r w:rsidR="006A22D3" w:rsidRPr="006A22D3">
        <w:rPr>
          <w:noProof/>
        </w:rPr>
        <w:t xml:space="preserve"> i och</w:t>
      </w:r>
      <w:r w:rsidRPr="006A22D3">
        <w:rPr>
          <w:noProof/>
        </w:rPr>
        <w:t>rony środowiska poprzez spełnianie wymogów szczegółowych wymienionych</w:t>
      </w:r>
      <w:r w:rsidR="006A22D3" w:rsidRPr="006A22D3">
        <w:rPr>
          <w:noProof/>
        </w:rPr>
        <w:t xml:space="preserve"> w art</w:t>
      </w:r>
      <w:r w:rsidRPr="006A22D3">
        <w:rPr>
          <w:noProof/>
        </w:rPr>
        <w:t>.</w:t>
      </w:r>
      <w:r w:rsidR="00192E90" w:rsidRPr="006A22D3">
        <w:rPr>
          <w:noProof/>
        </w:rPr>
        <w:t> </w:t>
      </w:r>
      <w:r w:rsidRPr="006A22D3">
        <w:rPr>
          <w:noProof/>
        </w:rPr>
        <w:t>5–11 dyrektywy.</w:t>
      </w:r>
    </w:p>
    <w:p w:rsidR="00F575EF" w:rsidRPr="006A22D3" w:rsidRDefault="00A74CB4" w:rsidP="000E1FAC">
      <w:pPr>
        <w:rPr>
          <w:noProof/>
        </w:rPr>
      </w:pPr>
      <w:r w:rsidRPr="006A22D3">
        <w:rPr>
          <w:noProof/>
        </w:rPr>
        <w:t>W art.</w:t>
      </w:r>
      <w:r w:rsidR="00192E90" w:rsidRPr="006A22D3">
        <w:rPr>
          <w:noProof/>
        </w:rPr>
        <w:t> </w:t>
      </w:r>
      <w:r w:rsidRPr="006A22D3">
        <w:rPr>
          <w:noProof/>
        </w:rPr>
        <w:t>5 nałożono na państwa członkowskie obowiązek zapewnienia, aby przedsiębiorstwa uwzględniały należytą staranność we wszystkich obszarach swojej polityki</w:t>
      </w:r>
      <w:r w:rsidR="006A22D3" w:rsidRPr="006A22D3">
        <w:rPr>
          <w:noProof/>
        </w:rPr>
        <w:t xml:space="preserve"> i wdr</w:t>
      </w:r>
      <w:r w:rsidRPr="006A22D3">
        <w:rPr>
          <w:noProof/>
        </w:rPr>
        <w:t>ożyły politykę należytej staranności, która jest corocznie aktualizowana. Przepis ten stanowi, że polityka ta powinna zawierać opis podejścia przedsiębiorstwa</w:t>
      </w:r>
      <w:r w:rsidR="006A22D3" w:rsidRPr="006A22D3">
        <w:rPr>
          <w:noProof/>
        </w:rPr>
        <w:t xml:space="preserve"> w zak</w:t>
      </w:r>
      <w:r w:rsidRPr="006A22D3">
        <w:rPr>
          <w:noProof/>
        </w:rPr>
        <w:t>resie należytej staranności, kodeks postępowania, którego powinni przestrzegać pracownicy przedsiębiorstwa</w:t>
      </w:r>
      <w:r w:rsidR="006A22D3" w:rsidRPr="006A22D3">
        <w:rPr>
          <w:noProof/>
        </w:rPr>
        <w:t xml:space="preserve"> i jed</w:t>
      </w:r>
      <w:r w:rsidRPr="006A22D3">
        <w:rPr>
          <w:noProof/>
        </w:rPr>
        <w:t>nostek zależnych, oraz opis procesów wprowadzonych</w:t>
      </w:r>
      <w:r w:rsidR="006A22D3" w:rsidRPr="006A22D3">
        <w:rPr>
          <w:noProof/>
        </w:rPr>
        <w:t xml:space="preserve"> w cel</w:t>
      </w:r>
      <w:r w:rsidRPr="006A22D3">
        <w:rPr>
          <w:noProof/>
        </w:rPr>
        <w:t>u wdrożenia zasad należytej staranności.</w:t>
      </w:r>
      <w:r w:rsidR="00192E90" w:rsidRPr="006A22D3">
        <w:rPr>
          <w:noProof/>
        </w:rPr>
        <w:t xml:space="preserve"> </w:t>
      </w:r>
    </w:p>
    <w:p w:rsidR="00A7667A" w:rsidRPr="006A22D3" w:rsidRDefault="00A74CB4">
      <w:pPr>
        <w:rPr>
          <w:noProof/>
        </w:rPr>
      </w:pPr>
      <w:r w:rsidRPr="006A22D3">
        <w:rPr>
          <w:noProof/>
        </w:rPr>
        <w:t>W art.</w:t>
      </w:r>
      <w:r w:rsidR="00192E90" w:rsidRPr="006A22D3">
        <w:rPr>
          <w:noProof/>
        </w:rPr>
        <w:t> </w:t>
      </w:r>
      <w:r w:rsidRPr="006A22D3">
        <w:rPr>
          <w:noProof/>
        </w:rPr>
        <w:t>6 nałożono na państwa członkowskie obowiązek zapewnienia, aby przedsiębiorstwa wprowadziły odpowiednie środki</w:t>
      </w:r>
      <w:r w:rsidR="006A22D3" w:rsidRPr="006A22D3">
        <w:rPr>
          <w:noProof/>
        </w:rPr>
        <w:t xml:space="preserve"> w cel</w:t>
      </w:r>
      <w:r w:rsidRPr="006A22D3">
        <w:rPr>
          <w:noProof/>
        </w:rPr>
        <w:t>u zidentyfikowania rzeczywistych lub potencjalnych niekorzystnych skutków dla praw człowieka</w:t>
      </w:r>
      <w:r w:rsidR="006A22D3" w:rsidRPr="006A22D3">
        <w:rPr>
          <w:noProof/>
        </w:rPr>
        <w:t xml:space="preserve"> i dla</w:t>
      </w:r>
      <w:r w:rsidRPr="006A22D3">
        <w:rPr>
          <w:noProof/>
        </w:rPr>
        <w:t xml:space="preserve"> środowiska</w:t>
      </w:r>
      <w:r w:rsidR="006A22D3" w:rsidRPr="006A22D3">
        <w:rPr>
          <w:noProof/>
        </w:rPr>
        <w:t xml:space="preserve"> w ram</w:t>
      </w:r>
      <w:r w:rsidRPr="006A22D3">
        <w:rPr>
          <w:noProof/>
        </w:rPr>
        <w:t>ach własnej działalności,</w:t>
      </w:r>
      <w:r w:rsidR="006A22D3" w:rsidRPr="006A22D3">
        <w:rPr>
          <w:noProof/>
        </w:rPr>
        <w:t xml:space="preserve"> w swo</w:t>
      </w:r>
      <w:r w:rsidRPr="006A22D3">
        <w:rPr>
          <w:noProof/>
        </w:rPr>
        <w:t>ich jednostkach zależnych oraz na poziomie swoich bezpośrednich lub pośrednich stałych relacji biznesowych</w:t>
      </w:r>
      <w:r w:rsidR="006A22D3" w:rsidRPr="006A22D3">
        <w:rPr>
          <w:noProof/>
        </w:rPr>
        <w:t xml:space="preserve"> w swo</w:t>
      </w:r>
      <w:r w:rsidRPr="006A22D3">
        <w:rPr>
          <w:noProof/>
        </w:rPr>
        <w:t>im łańcuchu wartości.</w:t>
      </w:r>
    </w:p>
    <w:p w:rsidR="006C07C5" w:rsidRPr="006A22D3" w:rsidRDefault="00AC2803">
      <w:pPr>
        <w:rPr>
          <w:noProof/>
        </w:rPr>
      </w:pPr>
      <w:r w:rsidRPr="006A22D3">
        <w:rPr>
          <w:noProof/>
        </w:rPr>
        <w:t>W art.</w:t>
      </w:r>
      <w:r w:rsidR="00192E90" w:rsidRPr="006A22D3">
        <w:rPr>
          <w:noProof/>
        </w:rPr>
        <w:t> </w:t>
      </w:r>
      <w:r w:rsidRPr="006A22D3">
        <w:rPr>
          <w:noProof/>
        </w:rPr>
        <w:t>7 określono wymóg, aby państwa członkowskie zapewniły, by przedsiębiorstwa wprowadziły odpowiednie środki</w:t>
      </w:r>
      <w:r w:rsidR="006A22D3" w:rsidRPr="006A22D3">
        <w:rPr>
          <w:noProof/>
        </w:rPr>
        <w:t xml:space="preserve"> w cel</w:t>
      </w:r>
      <w:r w:rsidRPr="006A22D3">
        <w:rPr>
          <w:noProof/>
        </w:rPr>
        <w:t>u zapobieżenia potencjalnym niekorzystnym skutkom zidentyfikowanym zgodnie</w:t>
      </w:r>
      <w:r w:rsidR="006A22D3" w:rsidRPr="006A22D3">
        <w:rPr>
          <w:noProof/>
        </w:rPr>
        <w:t xml:space="preserve"> z art</w:t>
      </w:r>
      <w:r w:rsidRPr="006A22D3">
        <w:rPr>
          <w:noProof/>
        </w:rPr>
        <w:t>.</w:t>
      </w:r>
      <w:r w:rsidR="00192E90" w:rsidRPr="006A22D3">
        <w:rPr>
          <w:noProof/>
        </w:rPr>
        <w:t> </w:t>
      </w:r>
      <w:r w:rsidRPr="006A22D3">
        <w:rPr>
          <w:noProof/>
        </w:rPr>
        <w:t>6 lub</w:t>
      </w:r>
      <w:r w:rsidR="006A22D3" w:rsidRPr="006A22D3">
        <w:rPr>
          <w:noProof/>
        </w:rPr>
        <w:t xml:space="preserve"> w cel</w:t>
      </w:r>
      <w:r w:rsidRPr="006A22D3">
        <w:rPr>
          <w:noProof/>
        </w:rPr>
        <w:t>u odpowiedniego złagodzenia tych skutków,</w:t>
      </w:r>
      <w:r w:rsidR="006A22D3" w:rsidRPr="006A22D3">
        <w:rPr>
          <w:noProof/>
        </w:rPr>
        <w:t xml:space="preserve"> w prz</w:t>
      </w:r>
      <w:r w:rsidRPr="006A22D3">
        <w:rPr>
          <w:noProof/>
        </w:rPr>
        <w:t xml:space="preserve">ypadku gdy zapobieganie nie jest możliwe lub wymaga stopniowego wdrożenia. </w:t>
      </w:r>
    </w:p>
    <w:p w:rsidR="0021712B" w:rsidRPr="006A22D3" w:rsidRDefault="00A74CB4">
      <w:pPr>
        <w:rPr>
          <w:noProof/>
        </w:rPr>
      </w:pPr>
      <w:r w:rsidRPr="006A22D3">
        <w:rPr>
          <w:noProof/>
        </w:rPr>
        <w:t>W art.</w:t>
      </w:r>
      <w:r w:rsidR="00192E90" w:rsidRPr="006A22D3">
        <w:rPr>
          <w:noProof/>
        </w:rPr>
        <w:t> </w:t>
      </w:r>
      <w:r w:rsidRPr="006A22D3">
        <w:rPr>
          <w:noProof/>
        </w:rPr>
        <w:t>8 nałożono na państwa członkowskie obowiązek zapewnienia, aby przedsiębiorstwa wprowadziły odpowiednie środki</w:t>
      </w:r>
      <w:r w:rsidR="006A22D3" w:rsidRPr="006A22D3">
        <w:rPr>
          <w:noProof/>
        </w:rPr>
        <w:t xml:space="preserve"> w cel</w:t>
      </w:r>
      <w:r w:rsidRPr="006A22D3">
        <w:rPr>
          <w:noProof/>
        </w:rPr>
        <w:t>u powstrzymania rzeczywistych niekorzystnych skutków dla praw człowieka</w:t>
      </w:r>
      <w:r w:rsidR="006A22D3" w:rsidRPr="006A22D3">
        <w:rPr>
          <w:noProof/>
        </w:rPr>
        <w:t xml:space="preserve"> i dla</w:t>
      </w:r>
      <w:r w:rsidRPr="006A22D3">
        <w:rPr>
          <w:noProof/>
        </w:rPr>
        <w:t xml:space="preserve"> środowiska, które te przedsiębiorstwa zidentyfikowały lub mogły zidentyfikować na podstawie art.</w:t>
      </w:r>
      <w:r w:rsidR="00192E90" w:rsidRPr="006A22D3">
        <w:rPr>
          <w:noProof/>
        </w:rPr>
        <w:t> </w:t>
      </w:r>
      <w:r w:rsidRPr="006A22D3">
        <w:rPr>
          <w:noProof/>
        </w:rPr>
        <w:t>6</w:t>
      </w:r>
      <w:r w:rsidR="006A22D3" w:rsidRPr="006A22D3">
        <w:rPr>
          <w:noProof/>
        </w:rPr>
        <w:t>. W prz</w:t>
      </w:r>
      <w:r w:rsidRPr="006A22D3">
        <w:rPr>
          <w:noProof/>
        </w:rPr>
        <w:t>ypadku gdy nie można powstrzymać niekorzystnych skutków, które wystąpiły na poziomie pośrednich lub bezpośrednich stałych relacji biznesowych, państwa członkowskie powinny zapewnić, aby przedsiębiorstwa zminimalizowały skalę tych skutków.</w:t>
      </w:r>
    </w:p>
    <w:p w:rsidR="00A7667A" w:rsidRPr="006A22D3" w:rsidRDefault="008873E6">
      <w:pPr>
        <w:rPr>
          <w:noProof/>
        </w:rPr>
      </w:pPr>
      <w:r w:rsidRPr="006A22D3">
        <w:rPr>
          <w:noProof/>
        </w:rPr>
        <w:t>W art.</w:t>
      </w:r>
      <w:r w:rsidR="00192E90" w:rsidRPr="006A22D3">
        <w:rPr>
          <w:noProof/>
        </w:rPr>
        <w:t> </w:t>
      </w:r>
      <w:r w:rsidRPr="006A22D3">
        <w:rPr>
          <w:noProof/>
        </w:rPr>
        <w:t xml:space="preserve">9 nałożono na </w:t>
      </w:r>
      <w:r w:rsidRPr="006A22D3">
        <w:rPr>
          <w:noProof/>
        </w:rPr>
        <w:tab/>
        <w:t>państwa członkowskie obowiązek zapewnienia, aby przedsiębiorstwa przewidziały możliwość składania skarg do tych przedsiębiorstw</w:t>
      </w:r>
      <w:r w:rsidR="006A22D3" w:rsidRPr="006A22D3">
        <w:rPr>
          <w:noProof/>
        </w:rPr>
        <w:t xml:space="preserve"> w prz</w:t>
      </w:r>
      <w:r w:rsidRPr="006A22D3">
        <w:rPr>
          <w:noProof/>
        </w:rPr>
        <w:t>ypadku uzasadnionych obaw dotyczących potencjalnych lub rzeczywistych niekorzystnych skutków,</w:t>
      </w:r>
      <w:r w:rsidR="006A22D3" w:rsidRPr="006A22D3">
        <w:rPr>
          <w:noProof/>
        </w:rPr>
        <w:t xml:space="preserve"> w tym w łań</w:t>
      </w:r>
      <w:r w:rsidRPr="006A22D3">
        <w:rPr>
          <w:noProof/>
        </w:rPr>
        <w:t>cuchu wartości przedsiębiorstwa. Przedsiębiorstwa są zobowiązane do zapewnienia takiej możliwości osobom, które są dotknięte niekorzystnymi skutkami lub mają uzasadnione podstawy, by sądzić, że mogą być nimi dotknięte, związkom zawodowym</w:t>
      </w:r>
      <w:r w:rsidR="006A22D3" w:rsidRPr="006A22D3">
        <w:rPr>
          <w:noProof/>
        </w:rPr>
        <w:t xml:space="preserve"> i inn</w:t>
      </w:r>
      <w:r w:rsidRPr="006A22D3">
        <w:rPr>
          <w:noProof/>
        </w:rPr>
        <w:t>ym przedstawicielom pracowników reprezentującym osoby pracujące</w:t>
      </w:r>
      <w:r w:rsidR="006A22D3" w:rsidRPr="006A22D3">
        <w:rPr>
          <w:noProof/>
        </w:rPr>
        <w:t xml:space="preserve"> w dan</w:t>
      </w:r>
      <w:r w:rsidRPr="006A22D3">
        <w:rPr>
          <w:noProof/>
        </w:rPr>
        <w:t>ym łańcuchu wartości oraz organizacjom społeczeństwa obywatelskiego działającym</w:t>
      </w:r>
      <w:r w:rsidR="006A22D3" w:rsidRPr="006A22D3">
        <w:rPr>
          <w:noProof/>
        </w:rPr>
        <w:t xml:space="preserve"> w dan</w:t>
      </w:r>
      <w:r w:rsidRPr="006A22D3">
        <w:rPr>
          <w:noProof/>
        </w:rPr>
        <w:t xml:space="preserve">ym obszarze. </w:t>
      </w:r>
    </w:p>
    <w:p w:rsidR="00794DB4" w:rsidRPr="006A22D3" w:rsidRDefault="008873E6">
      <w:pPr>
        <w:rPr>
          <w:noProof/>
        </w:rPr>
      </w:pPr>
      <w:r w:rsidRPr="006A22D3">
        <w:rPr>
          <w:noProof/>
        </w:rPr>
        <w:t>W art.</w:t>
      </w:r>
      <w:r w:rsidR="00192E90" w:rsidRPr="006A22D3">
        <w:rPr>
          <w:noProof/>
        </w:rPr>
        <w:t> </w:t>
      </w:r>
      <w:r w:rsidRPr="006A22D3">
        <w:rPr>
          <w:noProof/>
        </w:rPr>
        <w:t>10 nałożono na państwa członkowskie obowiązek wymagania od przedsiębiorstw przeprowadzania okresowej oceny wdrażania środków</w:t>
      </w:r>
      <w:r w:rsidR="006A22D3" w:rsidRPr="006A22D3">
        <w:rPr>
          <w:noProof/>
        </w:rPr>
        <w:t xml:space="preserve"> w zak</w:t>
      </w:r>
      <w:r w:rsidRPr="006A22D3">
        <w:rPr>
          <w:noProof/>
        </w:rPr>
        <w:t>resie należytej staranności</w:t>
      </w:r>
      <w:r w:rsidR="006A22D3" w:rsidRPr="006A22D3">
        <w:rPr>
          <w:noProof/>
        </w:rPr>
        <w:t xml:space="preserve"> w cel</w:t>
      </w:r>
      <w:r w:rsidRPr="006A22D3">
        <w:rPr>
          <w:noProof/>
        </w:rPr>
        <w:t>u sprawdzenia, czy właściwie zidentyfikowano niekorzystne skutki</w:t>
      </w:r>
      <w:r w:rsidR="006A22D3" w:rsidRPr="006A22D3">
        <w:rPr>
          <w:noProof/>
        </w:rPr>
        <w:t xml:space="preserve"> i czy</w:t>
      </w:r>
      <w:r w:rsidRPr="006A22D3">
        <w:rPr>
          <w:noProof/>
        </w:rPr>
        <w:t xml:space="preserve"> wdrożono środki zapobiegawcze lub naprawcze,</w:t>
      </w:r>
      <w:r w:rsidR="006A22D3" w:rsidRPr="006A22D3">
        <w:rPr>
          <w:noProof/>
        </w:rPr>
        <w:t xml:space="preserve"> a tak</w:t>
      </w:r>
      <w:r w:rsidRPr="006A22D3">
        <w:rPr>
          <w:noProof/>
        </w:rPr>
        <w:t>że</w:t>
      </w:r>
      <w:r w:rsidR="006A22D3" w:rsidRPr="006A22D3">
        <w:rPr>
          <w:noProof/>
        </w:rPr>
        <w:t xml:space="preserve"> w cel</w:t>
      </w:r>
      <w:r w:rsidRPr="006A22D3">
        <w:rPr>
          <w:noProof/>
        </w:rPr>
        <w:t>u ustalenia,</w:t>
      </w:r>
      <w:r w:rsidR="006A22D3" w:rsidRPr="006A22D3">
        <w:rPr>
          <w:noProof/>
        </w:rPr>
        <w:t xml:space="preserve"> w jak</w:t>
      </w:r>
      <w:r w:rsidRPr="006A22D3">
        <w:rPr>
          <w:noProof/>
        </w:rPr>
        <w:t xml:space="preserve">im stopniu udało się zapobiec niekorzystnym skutkom, powstrzymać je lub zminimalizować ich skalę. </w:t>
      </w:r>
    </w:p>
    <w:p w:rsidR="003E03C7" w:rsidRPr="006A22D3" w:rsidRDefault="006C44A3">
      <w:pPr>
        <w:rPr>
          <w:noProof/>
        </w:rPr>
      </w:pPr>
      <w:r w:rsidRPr="006A22D3">
        <w:rPr>
          <w:noProof/>
        </w:rPr>
        <w:t>W art.</w:t>
      </w:r>
      <w:r w:rsidR="00192E90" w:rsidRPr="006A22D3">
        <w:rPr>
          <w:noProof/>
        </w:rPr>
        <w:t> </w:t>
      </w:r>
      <w:r w:rsidRPr="006A22D3">
        <w:rPr>
          <w:noProof/>
        </w:rPr>
        <w:t>11 nałożono na państwa członkowskie obowiązek zapewnienia, aby przedsiębiorstwa, które nie podlegają wymogom sprawozdawczym na podstawie dyrektywy 2013/34/UE, składały sprawozdania dotyczące kwestii objętych niniejszą dyrektywą</w:t>
      </w:r>
      <w:r w:rsidR="006A22D3" w:rsidRPr="006A22D3">
        <w:rPr>
          <w:noProof/>
        </w:rPr>
        <w:t xml:space="preserve"> i pub</w:t>
      </w:r>
      <w:r w:rsidRPr="006A22D3">
        <w:rPr>
          <w:noProof/>
        </w:rPr>
        <w:t>likowały sprawozdanie roczne na swojej stronie internetowej.</w:t>
      </w:r>
    </w:p>
    <w:p w:rsidR="00A7667A" w:rsidRPr="006A22D3" w:rsidRDefault="00583B67">
      <w:pPr>
        <w:rPr>
          <w:noProof/>
        </w:rPr>
      </w:pPr>
      <w:r w:rsidRPr="006A22D3">
        <w:rPr>
          <w:noProof/>
        </w:rPr>
        <w:t>W art.</w:t>
      </w:r>
      <w:r w:rsidR="00192E90" w:rsidRPr="006A22D3">
        <w:rPr>
          <w:noProof/>
        </w:rPr>
        <w:t> </w:t>
      </w:r>
      <w:r w:rsidRPr="006A22D3">
        <w:rPr>
          <w:noProof/>
        </w:rPr>
        <w:t>12 nałożono na Komisję obowiązek przyjęcia wytycznych</w:t>
      </w:r>
      <w:r w:rsidR="006A22D3" w:rsidRPr="006A22D3">
        <w:rPr>
          <w:noProof/>
        </w:rPr>
        <w:t xml:space="preserve"> w spr</w:t>
      </w:r>
      <w:r w:rsidRPr="006A22D3">
        <w:rPr>
          <w:noProof/>
        </w:rPr>
        <w:t>awie niewiążących wzorcowych klauzul umownych, aby pomóc przedsiębiorstwom</w:t>
      </w:r>
      <w:r w:rsidR="006A22D3" w:rsidRPr="006A22D3">
        <w:rPr>
          <w:noProof/>
        </w:rPr>
        <w:t xml:space="preserve"> w spe</w:t>
      </w:r>
      <w:r w:rsidRPr="006A22D3">
        <w:rPr>
          <w:noProof/>
        </w:rPr>
        <w:t>łnieniu wymogów art.</w:t>
      </w:r>
      <w:r w:rsidR="00192E90" w:rsidRPr="006A22D3">
        <w:rPr>
          <w:noProof/>
        </w:rPr>
        <w:t> </w:t>
      </w:r>
      <w:r w:rsidRPr="006A22D3">
        <w:rPr>
          <w:noProof/>
        </w:rPr>
        <w:t>7 ust.</w:t>
      </w:r>
      <w:r w:rsidR="00192E90" w:rsidRPr="006A22D3">
        <w:rPr>
          <w:noProof/>
        </w:rPr>
        <w:t> </w:t>
      </w:r>
      <w:r w:rsidRPr="006A22D3">
        <w:rPr>
          <w:noProof/>
        </w:rPr>
        <w:t>2 lit.</w:t>
      </w:r>
      <w:r w:rsidR="00192E90" w:rsidRPr="006A22D3">
        <w:rPr>
          <w:noProof/>
        </w:rPr>
        <w:t> </w:t>
      </w:r>
      <w:r w:rsidRPr="006A22D3">
        <w:rPr>
          <w:noProof/>
        </w:rPr>
        <w:t>b)</w:t>
      </w:r>
      <w:r w:rsidR="006A22D3" w:rsidRPr="006A22D3">
        <w:rPr>
          <w:noProof/>
        </w:rPr>
        <w:t xml:space="preserve"> i art</w:t>
      </w:r>
      <w:r w:rsidRPr="006A22D3">
        <w:rPr>
          <w:noProof/>
        </w:rPr>
        <w:t>.</w:t>
      </w:r>
      <w:r w:rsidR="00192E90" w:rsidRPr="006A22D3">
        <w:rPr>
          <w:noProof/>
        </w:rPr>
        <w:t> </w:t>
      </w:r>
      <w:r w:rsidRPr="006A22D3">
        <w:rPr>
          <w:noProof/>
        </w:rPr>
        <w:t>8 ust.</w:t>
      </w:r>
      <w:r w:rsidR="00192E90" w:rsidRPr="006A22D3">
        <w:rPr>
          <w:noProof/>
        </w:rPr>
        <w:t> </w:t>
      </w:r>
      <w:r w:rsidRPr="006A22D3">
        <w:rPr>
          <w:noProof/>
        </w:rPr>
        <w:t>3 lit.</w:t>
      </w:r>
      <w:r w:rsidR="00192E90" w:rsidRPr="006A22D3">
        <w:rPr>
          <w:noProof/>
        </w:rPr>
        <w:t> </w:t>
      </w:r>
      <w:r w:rsidRPr="006A22D3">
        <w:rPr>
          <w:noProof/>
        </w:rPr>
        <w:t>c).</w:t>
      </w:r>
    </w:p>
    <w:p w:rsidR="00191F2A" w:rsidRPr="006A22D3" w:rsidRDefault="00191F2A" w:rsidP="00191F2A">
      <w:pPr>
        <w:rPr>
          <w:noProof/>
        </w:rPr>
      </w:pPr>
      <w:r w:rsidRPr="006A22D3">
        <w:rPr>
          <w:noProof/>
        </w:rPr>
        <w:t>W art.</w:t>
      </w:r>
      <w:r w:rsidR="00192E90" w:rsidRPr="006A22D3">
        <w:rPr>
          <w:noProof/>
        </w:rPr>
        <w:t> </w:t>
      </w:r>
      <w:r w:rsidRPr="006A22D3">
        <w:rPr>
          <w:noProof/>
        </w:rPr>
        <w:t>13 określono, że</w:t>
      </w:r>
      <w:r w:rsidR="006A22D3" w:rsidRPr="006A22D3">
        <w:rPr>
          <w:noProof/>
        </w:rPr>
        <w:t xml:space="preserve"> w cel</w:t>
      </w:r>
      <w:r w:rsidRPr="006A22D3">
        <w:rPr>
          <w:noProof/>
        </w:rPr>
        <w:t>u zapewnienia wsparcia przedsiębiorstwom lub organom państw członkowskich</w:t>
      </w:r>
      <w:r w:rsidR="006A22D3" w:rsidRPr="006A22D3">
        <w:rPr>
          <w:noProof/>
        </w:rPr>
        <w:t xml:space="preserve"> w zak</w:t>
      </w:r>
      <w:r w:rsidRPr="006A22D3">
        <w:rPr>
          <w:noProof/>
        </w:rPr>
        <w:t>resie sposobu,</w:t>
      </w:r>
      <w:r w:rsidR="006A22D3" w:rsidRPr="006A22D3">
        <w:rPr>
          <w:noProof/>
        </w:rPr>
        <w:t xml:space="preserve"> w jak</w:t>
      </w:r>
      <w:r w:rsidRPr="006A22D3">
        <w:rPr>
          <w:noProof/>
        </w:rPr>
        <w:t>i przedsiębiorstwa powinny wypełniać swoje obowiązki</w:t>
      </w:r>
      <w:r w:rsidR="006A22D3" w:rsidRPr="006A22D3">
        <w:rPr>
          <w:noProof/>
        </w:rPr>
        <w:t xml:space="preserve"> w zak</w:t>
      </w:r>
      <w:r w:rsidRPr="006A22D3">
        <w:rPr>
          <w:noProof/>
        </w:rPr>
        <w:t>resie należytej staranności, Komisja może wydać wytyczne,</w:t>
      </w:r>
      <w:r w:rsidR="006A22D3" w:rsidRPr="006A22D3">
        <w:rPr>
          <w:noProof/>
        </w:rPr>
        <w:t xml:space="preserve"> w tym</w:t>
      </w:r>
      <w:r w:rsidRPr="006A22D3">
        <w:rPr>
          <w:noProof/>
        </w:rPr>
        <w:t xml:space="preserve"> wytyczne dotyczące konkretnych sektorów lub konkretnych niekorzystnych skutków, we współpracy</w:t>
      </w:r>
      <w:r w:rsidR="006A22D3" w:rsidRPr="006A22D3">
        <w:rPr>
          <w:noProof/>
        </w:rPr>
        <w:t xml:space="preserve"> z Age</w:t>
      </w:r>
      <w:r w:rsidRPr="006A22D3">
        <w:rPr>
          <w:noProof/>
        </w:rPr>
        <w:t>ncją Praw Podstawowych Unii Europejskiej, Europejską Agencją Środowiska</w:t>
      </w:r>
      <w:r w:rsidR="006A22D3" w:rsidRPr="006A22D3">
        <w:rPr>
          <w:noProof/>
        </w:rPr>
        <w:t xml:space="preserve"> i w raz</w:t>
      </w:r>
      <w:r w:rsidRPr="006A22D3">
        <w:rPr>
          <w:noProof/>
        </w:rPr>
        <w:t>ie potrzeby organami międzynarodowymi posiadającymi wiedzę specjalistyczną</w:t>
      </w:r>
      <w:r w:rsidR="006A22D3" w:rsidRPr="006A22D3">
        <w:rPr>
          <w:noProof/>
        </w:rPr>
        <w:t xml:space="preserve"> w zak</w:t>
      </w:r>
      <w:r w:rsidRPr="006A22D3">
        <w:rPr>
          <w:noProof/>
        </w:rPr>
        <w:t>resie należytej staranności.</w:t>
      </w:r>
    </w:p>
    <w:p w:rsidR="00542484" w:rsidRPr="006A22D3" w:rsidRDefault="004D279A">
      <w:pPr>
        <w:rPr>
          <w:noProof/>
          <w:szCs w:val="24"/>
        </w:rPr>
      </w:pPr>
      <w:r w:rsidRPr="006A22D3">
        <w:rPr>
          <w:noProof/>
        </w:rPr>
        <w:t>W art.</w:t>
      </w:r>
      <w:r w:rsidR="00192E90" w:rsidRPr="006A22D3">
        <w:rPr>
          <w:noProof/>
        </w:rPr>
        <w:t> </w:t>
      </w:r>
      <w:r w:rsidRPr="006A22D3">
        <w:rPr>
          <w:noProof/>
        </w:rPr>
        <w:t>14 nałożono na państwa członkowskie</w:t>
      </w:r>
      <w:r w:rsidR="006A22D3" w:rsidRPr="006A22D3">
        <w:rPr>
          <w:noProof/>
        </w:rPr>
        <w:t xml:space="preserve"> i Kom</w:t>
      </w:r>
      <w:r w:rsidRPr="006A22D3">
        <w:rPr>
          <w:noProof/>
        </w:rPr>
        <w:t>isję obowiązek zapewnienia środków towarzyszących przedsiębiorstwom objętym zakresem stosowania niniejszej dyrektywy oraz podmiotom</w:t>
      </w:r>
      <w:r w:rsidR="006A22D3" w:rsidRPr="006A22D3">
        <w:rPr>
          <w:noProof/>
        </w:rPr>
        <w:t xml:space="preserve"> w glo</w:t>
      </w:r>
      <w:r w:rsidRPr="006A22D3">
        <w:rPr>
          <w:noProof/>
        </w:rPr>
        <w:t>balnych łańcuchach wartości, na których obowiązki wynikające</w:t>
      </w:r>
      <w:r w:rsidR="006A22D3" w:rsidRPr="006A22D3">
        <w:rPr>
          <w:noProof/>
        </w:rPr>
        <w:t xml:space="preserve"> z dyr</w:t>
      </w:r>
      <w:r w:rsidRPr="006A22D3">
        <w:rPr>
          <w:noProof/>
        </w:rPr>
        <w:t>ektywy mają pośredni wpływ. Takie wsparcie może obejmować prowadzenie specjalnych stron internetowych, portali lub platform, wsparcie finansowe dla MŚP oraz ułatwianie wspólnych inicjatyw zainteresowanych stron</w:t>
      </w:r>
      <w:r w:rsidR="006A22D3" w:rsidRPr="006A22D3">
        <w:rPr>
          <w:noProof/>
        </w:rPr>
        <w:t>. W prz</w:t>
      </w:r>
      <w:r w:rsidRPr="006A22D3">
        <w:rPr>
          <w:noProof/>
        </w:rPr>
        <w:t>episie tym wyjaśniono ponadto, że przedsiębiorstwa mogą wykorzystywać projekty branżowe</w:t>
      </w:r>
      <w:r w:rsidR="006A22D3" w:rsidRPr="006A22D3">
        <w:rPr>
          <w:noProof/>
        </w:rPr>
        <w:t xml:space="preserve"> i ini</w:t>
      </w:r>
      <w:r w:rsidRPr="006A22D3">
        <w:rPr>
          <w:noProof/>
        </w:rPr>
        <w:t>cjatywy</w:t>
      </w:r>
      <w:r w:rsidR="006A22D3" w:rsidRPr="006A22D3">
        <w:rPr>
          <w:noProof/>
        </w:rPr>
        <w:t xml:space="preserve"> z udz</w:t>
      </w:r>
      <w:r w:rsidRPr="006A22D3">
        <w:rPr>
          <w:noProof/>
        </w:rPr>
        <w:t>iałem wielu zainteresowanych stron</w:t>
      </w:r>
      <w:r w:rsidR="006A22D3" w:rsidRPr="006A22D3">
        <w:rPr>
          <w:noProof/>
        </w:rPr>
        <w:t xml:space="preserve"> w cel</w:t>
      </w:r>
      <w:r w:rsidRPr="006A22D3">
        <w:rPr>
          <w:noProof/>
        </w:rPr>
        <w:t>u wspierania wdrażania zasad należytej staranności oraz że Komisja we współpracy</w:t>
      </w:r>
      <w:r w:rsidR="006A22D3" w:rsidRPr="006A22D3">
        <w:rPr>
          <w:noProof/>
        </w:rPr>
        <w:t xml:space="preserve"> z pań</w:t>
      </w:r>
      <w:r w:rsidRPr="006A22D3">
        <w:rPr>
          <w:noProof/>
        </w:rPr>
        <w:t>stwami członkowskimi może wydać wytyczne dotyczące oceny adekwatności takich projektów.</w:t>
      </w:r>
    </w:p>
    <w:p w:rsidR="007236E1" w:rsidRPr="006A22D3" w:rsidRDefault="004D279A" w:rsidP="006F04C2">
      <w:pPr>
        <w:rPr>
          <w:noProof/>
          <w:szCs w:val="24"/>
        </w:rPr>
      </w:pPr>
      <w:r w:rsidRPr="006A22D3">
        <w:rPr>
          <w:noProof/>
        </w:rPr>
        <w:t>W art.</w:t>
      </w:r>
      <w:r w:rsidR="00192E90" w:rsidRPr="006A22D3">
        <w:rPr>
          <w:noProof/>
        </w:rPr>
        <w:t> </w:t>
      </w:r>
      <w:r w:rsidRPr="006A22D3">
        <w:rPr>
          <w:noProof/>
        </w:rPr>
        <w:t xml:space="preserve">15 zobowiązano </w:t>
      </w:r>
      <w:r w:rsidRPr="006A22D3">
        <w:rPr>
          <w:noProof/>
        </w:rPr>
        <w:tab/>
        <w:t>państwa członkowskie do zagwarantowania, aby określone przedsiębiorstwa przyjęły plan służący zapewnieniu, że model biznesowy</w:t>
      </w:r>
      <w:r w:rsidR="006A22D3" w:rsidRPr="006A22D3">
        <w:rPr>
          <w:noProof/>
        </w:rPr>
        <w:t xml:space="preserve"> i str</w:t>
      </w:r>
      <w:r w:rsidRPr="006A22D3">
        <w:rPr>
          <w:noProof/>
        </w:rPr>
        <w:t>ategia przedsiębiorstwa są spójne</w:t>
      </w:r>
      <w:r w:rsidR="006A22D3" w:rsidRPr="006A22D3">
        <w:rPr>
          <w:noProof/>
        </w:rPr>
        <w:t xml:space="preserve"> z zał</w:t>
      </w:r>
      <w:r w:rsidRPr="006A22D3">
        <w:rPr>
          <w:noProof/>
        </w:rPr>
        <w:t>ożeniami procesu przechodzenia na gospodarkę zrównoważoną oraz</w:t>
      </w:r>
      <w:r w:rsidR="006A22D3" w:rsidRPr="006A22D3">
        <w:rPr>
          <w:noProof/>
        </w:rPr>
        <w:t xml:space="preserve"> z cel</w:t>
      </w:r>
      <w:r w:rsidRPr="006A22D3">
        <w:rPr>
          <w:noProof/>
        </w:rPr>
        <w:t>em polegającym na ograniczeniu globalnego ocieplenia do</w:t>
      </w:r>
      <w:r w:rsidR="00192E90" w:rsidRPr="006A22D3">
        <w:rPr>
          <w:noProof/>
        </w:rPr>
        <w:t> </w:t>
      </w:r>
      <w:r w:rsidRPr="006A22D3">
        <w:rPr>
          <w:noProof/>
        </w:rPr>
        <w:t>1,5</w:t>
      </w:r>
      <w:r w:rsidR="00192E90" w:rsidRPr="006A22D3">
        <w:rPr>
          <w:noProof/>
        </w:rPr>
        <w:t> </w:t>
      </w:r>
      <w:r w:rsidRPr="006A22D3">
        <w:rPr>
          <w:noProof/>
        </w:rPr>
        <w:t>°C zgodnie</w:t>
      </w:r>
      <w:r w:rsidR="006A22D3" w:rsidRPr="006A22D3">
        <w:rPr>
          <w:noProof/>
        </w:rPr>
        <w:t xml:space="preserve"> z pos</w:t>
      </w:r>
      <w:r w:rsidRPr="006A22D3">
        <w:rPr>
          <w:noProof/>
        </w:rPr>
        <w:t>tanowieniami porozumienia paryskiego.</w:t>
      </w:r>
    </w:p>
    <w:p w:rsidR="00A7667A" w:rsidRPr="006A22D3" w:rsidRDefault="004D279A">
      <w:pPr>
        <w:rPr>
          <w:noProof/>
        </w:rPr>
      </w:pPr>
      <w:r w:rsidRPr="006A22D3">
        <w:rPr>
          <w:noProof/>
        </w:rPr>
        <w:t>W art.</w:t>
      </w:r>
      <w:r w:rsidR="00192E90" w:rsidRPr="006A22D3">
        <w:rPr>
          <w:noProof/>
        </w:rPr>
        <w:t> </w:t>
      </w:r>
      <w:r w:rsidRPr="006A22D3">
        <w:rPr>
          <w:noProof/>
        </w:rPr>
        <w:t>16 wprowadzono wymóg, aby przedsiębiorstwa utworzone zgodnie</w:t>
      </w:r>
      <w:r w:rsidR="006A22D3" w:rsidRPr="006A22D3">
        <w:rPr>
          <w:noProof/>
        </w:rPr>
        <w:t xml:space="preserve"> z prz</w:t>
      </w:r>
      <w:r w:rsidRPr="006A22D3">
        <w:rPr>
          <w:noProof/>
        </w:rPr>
        <w:t>episami państwa trzeciego</w:t>
      </w:r>
      <w:r w:rsidR="006A22D3" w:rsidRPr="006A22D3">
        <w:rPr>
          <w:noProof/>
        </w:rPr>
        <w:t xml:space="preserve"> i obj</w:t>
      </w:r>
      <w:r w:rsidRPr="006A22D3">
        <w:rPr>
          <w:noProof/>
        </w:rPr>
        <w:t>ęte zakresem stosowania niniejszej dyrektywy zgodnie</w:t>
      </w:r>
      <w:r w:rsidR="006A22D3" w:rsidRPr="006A22D3">
        <w:rPr>
          <w:noProof/>
        </w:rPr>
        <w:t xml:space="preserve"> z art</w:t>
      </w:r>
      <w:r w:rsidRPr="006A22D3">
        <w:rPr>
          <w:noProof/>
        </w:rPr>
        <w:t>.</w:t>
      </w:r>
      <w:r w:rsidR="00192E90" w:rsidRPr="006A22D3">
        <w:rPr>
          <w:noProof/>
        </w:rPr>
        <w:t> </w:t>
      </w:r>
      <w:r w:rsidRPr="006A22D3">
        <w:rPr>
          <w:noProof/>
        </w:rPr>
        <w:t>2 ust.</w:t>
      </w:r>
      <w:r w:rsidR="00192E90" w:rsidRPr="006A22D3">
        <w:rPr>
          <w:noProof/>
        </w:rPr>
        <w:t> </w:t>
      </w:r>
      <w:r w:rsidRPr="006A22D3">
        <w:rPr>
          <w:noProof/>
        </w:rPr>
        <w:t>2 wyznaczyły odpowiednio umocowanego upoważnionego przedstawiciela</w:t>
      </w:r>
      <w:r w:rsidR="006A22D3" w:rsidRPr="006A22D3">
        <w:rPr>
          <w:noProof/>
        </w:rPr>
        <w:t xml:space="preserve"> w Uni</w:t>
      </w:r>
      <w:r w:rsidRPr="006A22D3">
        <w:rPr>
          <w:noProof/>
        </w:rPr>
        <w:t>i, do którego właściwe organy państw członkowskich będą się zwracać we wszystkich kwestiach niezbędnych do odbioru, przestrzegania</w:t>
      </w:r>
      <w:r w:rsidR="006A22D3" w:rsidRPr="006A22D3">
        <w:rPr>
          <w:noProof/>
        </w:rPr>
        <w:t xml:space="preserve"> i egz</w:t>
      </w:r>
      <w:r w:rsidRPr="006A22D3">
        <w:rPr>
          <w:noProof/>
        </w:rPr>
        <w:t>ekwowania aktów prawnych wydanych</w:t>
      </w:r>
      <w:r w:rsidR="006A22D3" w:rsidRPr="006A22D3">
        <w:rPr>
          <w:noProof/>
        </w:rPr>
        <w:t xml:space="preserve"> w zwi</w:t>
      </w:r>
      <w:r w:rsidRPr="006A22D3">
        <w:rPr>
          <w:noProof/>
        </w:rPr>
        <w:t>ązku</w:t>
      </w:r>
      <w:r w:rsidR="006A22D3" w:rsidRPr="006A22D3">
        <w:rPr>
          <w:noProof/>
        </w:rPr>
        <w:t xml:space="preserve"> z nin</w:t>
      </w:r>
      <w:r w:rsidRPr="006A22D3">
        <w:rPr>
          <w:noProof/>
        </w:rPr>
        <w:t>iejszą dyrektywą.</w:t>
      </w:r>
    </w:p>
    <w:p w:rsidR="00A7667A" w:rsidRPr="006A22D3" w:rsidRDefault="001E1220">
      <w:pPr>
        <w:rPr>
          <w:noProof/>
        </w:rPr>
      </w:pPr>
      <w:r w:rsidRPr="006A22D3">
        <w:rPr>
          <w:noProof/>
        </w:rPr>
        <w:t>W art.</w:t>
      </w:r>
      <w:r w:rsidR="00192E90" w:rsidRPr="006A22D3">
        <w:rPr>
          <w:noProof/>
        </w:rPr>
        <w:t> </w:t>
      </w:r>
      <w:r w:rsidRPr="006A22D3">
        <w:rPr>
          <w:noProof/>
        </w:rPr>
        <w:t>17 określono wymóg wyznaczenia przez państwa członkowskie jednego krajowego organu nadzorczego lub większej ich liczby</w:t>
      </w:r>
      <w:r w:rsidR="006A22D3" w:rsidRPr="006A22D3">
        <w:rPr>
          <w:noProof/>
        </w:rPr>
        <w:t xml:space="preserve"> w cel</w:t>
      </w:r>
      <w:r w:rsidRPr="006A22D3">
        <w:rPr>
          <w:noProof/>
        </w:rPr>
        <w:t>u zapewnienia przestrzegania przez przedsiębiorstwa ich obowiązków</w:t>
      </w:r>
      <w:r w:rsidR="006A22D3" w:rsidRPr="006A22D3">
        <w:rPr>
          <w:noProof/>
        </w:rPr>
        <w:t xml:space="preserve"> w zak</w:t>
      </w:r>
      <w:r w:rsidRPr="006A22D3">
        <w:rPr>
          <w:noProof/>
        </w:rPr>
        <w:t>resie należytej staranności oraz obowiązków wynikających</w:t>
      </w:r>
      <w:r w:rsidR="006A22D3" w:rsidRPr="006A22D3">
        <w:rPr>
          <w:noProof/>
        </w:rPr>
        <w:t xml:space="preserve"> z art</w:t>
      </w:r>
      <w:r w:rsidRPr="006A22D3">
        <w:rPr>
          <w:noProof/>
        </w:rPr>
        <w:t>.</w:t>
      </w:r>
      <w:r w:rsidR="00192E90" w:rsidRPr="006A22D3">
        <w:rPr>
          <w:noProof/>
        </w:rPr>
        <w:t> </w:t>
      </w:r>
      <w:r w:rsidRPr="006A22D3">
        <w:rPr>
          <w:noProof/>
        </w:rPr>
        <w:t>15 ust.</w:t>
      </w:r>
      <w:r w:rsidR="00192E90" w:rsidRPr="006A22D3">
        <w:rPr>
          <w:noProof/>
        </w:rPr>
        <w:t> </w:t>
      </w:r>
      <w:r w:rsidRPr="006A22D3">
        <w:rPr>
          <w:noProof/>
        </w:rPr>
        <w:t>1</w:t>
      </w:r>
      <w:r w:rsidR="006A22D3" w:rsidRPr="006A22D3">
        <w:rPr>
          <w:noProof/>
        </w:rPr>
        <w:t xml:space="preserve"> i 2</w:t>
      </w:r>
      <w:r w:rsidRPr="006A22D3">
        <w:rPr>
          <w:noProof/>
        </w:rPr>
        <w:t>,</w:t>
      </w:r>
      <w:r w:rsidR="006A22D3" w:rsidRPr="006A22D3">
        <w:rPr>
          <w:noProof/>
        </w:rPr>
        <w:t xml:space="preserve"> a tak</w:t>
      </w:r>
      <w:r w:rsidRPr="006A22D3">
        <w:rPr>
          <w:noProof/>
        </w:rPr>
        <w:t>że</w:t>
      </w:r>
      <w:r w:rsidR="006A22D3" w:rsidRPr="006A22D3">
        <w:rPr>
          <w:noProof/>
        </w:rPr>
        <w:t xml:space="preserve"> w cel</w:t>
      </w:r>
      <w:r w:rsidRPr="006A22D3">
        <w:rPr>
          <w:noProof/>
        </w:rPr>
        <w:t>u wykonywania uprawnień</w:t>
      </w:r>
      <w:r w:rsidR="006A22D3" w:rsidRPr="006A22D3">
        <w:rPr>
          <w:noProof/>
        </w:rPr>
        <w:t xml:space="preserve"> w zak</w:t>
      </w:r>
      <w:r w:rsidRPr="006A22D3">
        <w:rPr>
          <w:noProof/>
        </w:rPr>
        <w:t>resie egzekwowania tych obowiązków zgodnie</w:t>
      </w:r>
      <w:r w:rsidR="006A22D3" w:rsidRPr="006A22D3">
        <w:rPr>
          <w:noProof/>
        </w:rPr>
        <w:t xml:space="preserve"> z art</w:t>
      </w:r>
      <w:r w:rsidRPr="006A22D3">
        <w:rPr>
          <w:noProof/>
        </w:rPr>
        <w:t>.</w:t>
      </w:r>
      <w:r w:rsidR="00192E90" w:rsidRPr="006A22D3">
        <w:rPr>
          <w:noProof/>
        </w:rPr>
        <w:t> </w:t>
      </w:r>
      <w:r w:rsidRPr="006A22D3">
        <w:rPr>
          <w:noProof/>
        </w:rPr>
        <w:t xml:space="preserve">18. </w:t>
      </w:r>
    </w:p>
    <w:p w:rsidR="00A7667A" w:rsidRPr="006A22D3" w:rsidRDefault="001E1220">
      <w:pPr>
        <w:rPr>
          <w:noProof/>
        </w:rPr>
      </w:pPr>
      <w:r w:rsidRPr="006A22D3">
        <w:rPr>
          <w:noProof/>
        </w:rPr>
        <w:t>W art.</w:t>
      </w:r>
      <w:r w:rsidR="00192E90" w:rsidRPr="006A22D3">
        <w:rPr>
          <w:noProof/>
        </w:rPr>
        <w:t> </w:t>
      </w:r>
      <w:r w:rsidRPr="006A22D3">
        <w:rPr>
          <w:noProof/>
        </w:rPr>
        <w:t>18 określono odpowiednie uprawnienia</w:t>
      </w:r>
      <w:r w:rsidR="006A22D3" w:rsidRPr="006A22D3">
        <w:rPr>
          <w:noProof/>
        </w:rPr>
        <w:t xml:space="preserve"> i zas</w:t>
      </w:r>
      <w:r w:rsidRPr="006A22D3">
        <w:rPr>
          <w:noProof/>
        </w:rPr>
        <w:t>oby organów nadzorczych wyznaczonych przez państwa członkowskie do wykonywania ich zadań</w:t>
      </w:r>
      <w:r w:rsidR="006A22D3" w:rsidRPr="006A22D3">
        <w:rPr>
          <w:noProof/>
        </w:rPr>
        <w:t xml:space="preserve"> w zak</w:t>
      </w:r>
      <w:r w:rsidRPr="006A22D3">
        <w:rPr>
          <w:noProof/>
        </w:rPr>
        <w:t>resie nadzoru</w:t>
      </w:r>
      <w:r w:rsidR="006A22D3" w:rsidRPr="006A22D3">
        <w:rPr>
          <w:noProof/>
        </w:rPr>
        <w:t xml:space="preserve"> i egz</w:t>
      </w:r>
      <w:r w:rsidRPr="006A22D3">
        <w:rPr>
          <w:noProof/>
        </w:rPr>
        <w:t xml:space="preserve">ekwowania. </w:t>
      </w:r>
    </w:p>
    <w:p w:rsidR="008A0E0B" w:rsidRPr="006A22D3" w:rsidRDefault="00255299">
      <w:pPr>
        <w:rPr>
          <w:noProof/>
        </w:rPr>
      </w:pPr>
      <w:r w:rsidRPr="006A22D3">
        <w:rPr>
          <w:noProof/>
        </w:rPr>
        <w:t>W art.</w:t>
      </w:r>
      <w:r w:rsidR="00192E90" w:rsidRPr="006A22D3">
        <w:rPr>
          <w:noProof/>
        </w:rPr>
        <w:t> </w:t>
      </w:r>
      <w:r w:rsidRPr="006A22D3">
        <w:rPr>
          <w:noProof/>
        </w:rPr>
        <w:t xml:space="preserve">19 nałożono na </w:t>
      </w:r>
      <w:r w:rsidRPr="006A22D3">
        <w:rPr>
          <w:noProof/>
        </w:rPr>
        <w:tab/>
        <w:t>państwa członkowskie wymóg zapewnienia, aby każda osoba fizyczna lub prawna, która ma powody, by sądzić, na podstawie obiektywnych okoliczności, że przedsiębiorstwo nie przestrzega przepisów niniejszej dyrektywy</w:t>
      </w:r>
      <w:r w:rsidR="006A22D3" w:rsidRPr="006A22D3">
        <w:rPr>
          <w:noProof/>
        </w:rPr>
        <w:t xml:space="preserve"> w spo</w:t>
      </w:r>
      <w:r w:rsidRPr="006A22D3">
        <w:rPr>
          <w:noProof/>
        </w:rPr>
        <w:t>sób właściwy, była uprawniona do zgłaszania organom nadzorczym uzasadnionych obaw,</w:t>
      </w:r>
      <w:r w:rsidR="006A22D3" w:rsidRPr="006A22D3">
        <w:rPr>
          <w:noProof/>
        </w:rPr>
        <w:t xml:space="preserve"> w szc</w:t>
      </w:r>
      <w:r w:rsidRPr="006A22D3">
        <w:rPr>
          <w:noProof/>
        </w:rPr>
        <w:t>zególności</w:t>
      </w:r>
      <w:r w:rsidR="006A22D3" w:rsidRPr="006A22D3">
        <w:rPr>
          <w:noProof/>
        </w:rPr>
        <w:t xml:space="preserve"> w pań</w:t>
      </w:r>
      <w:r w:rsidRPr="006A22D3">
        <w:rPr>
          <w:noProof/>
        </w:rPr>
        <w:t>stwie członkowskim miejsca zwykłego pobytu, siedziby statutowej, miejsca pracy lub miejsca domniemanego naruszenia.</w:t>
      </w:r>
    </w:p>
    <w:p w:rsidR="00A7667A" w:rsidRPr="006A22D3" w:rsidRDefault="00AF7F58">
      <w:pPr>
        <w:rPr>
          <w:noProof/>
        </w:rPr>
      </w:pPr>
      <w:r w:rsidRPr="006A22D3">
        <w:rPr>
          <w:noProof/>
        </w:rPr>
        <w:t>W art.</w:t>
      </w:r>
      <w:r w:rsidR="00192E90" w:rsidRPr="006A22D3">
        <w:rPr>
          <w:noProof/>
        </w:rPr>
        <w:t> </w:t>
      </w:r>
      <w:r w:rsidRPr="006A22D3">
        <w:rPr>
          <w:noProof/>
        </w:rPr>
        <w:t>20 określono, że państwa członkowskie ustanawiają przepisy dotyczące sankcji mających zastosowanie</w:t>
      </w:r>
      <w:r w:rsidR="006A22D3" w:rsidRPr="006A22D3">
        <w:rPr>
          <w:noProof/>
        </w:rPr>
        <w:t xml:space="preserve"> w prz</w:t>
      </w:r>
      <w:r w:rsidRPr="006A22D3">
        <w:rPr>
          <w:noProof/>
        </w:rPr>
        <w:t>ypadku naruszeń przepisów krajowych przyjętych na podstawie niniejszej dyrektywy</w:t>
      </w:r>
      <w:r w:rsidR="006A22D3" w:rsidRPr="006A22D3">
        <w:rPr>
          <w:noProof/>
        </w:rPr>
        <w:t xml:space="preserve"> i pod</w:t>
      </w:r>
      <w:r w:rsidRPr="006A22D3">
        <w:rPr>
          <w:noProof/>
        </w:rPr>
        <w:t>ejmują wszelkie niezbędne środki</w:t>
      </w:r>
      <w:r w:rsidR="006A22D3" w:rsidRPr="006A22D3">
        <w:rPr>
          <w:noProof/>
        </w:rPr>
        <w:t xml:space="preserve"> w cel</w:t>
      </w:r>
      <w:r w:rsidRPr="006A22D3">
        <w:rPr>
          <w:noProof/>
        </w:rPr>
        <w:t>u zapewnienia ich wykonywania. Sankcje są skuteczne, odstraszające</w:t>
      </w:r>
      <w:r w:rsidR="006A22D3" w:rsidRPr="006A22D3">
        <w:rPr>
          <w:noProof/>
        </w:rPr>
        <w:t xml:space="preserve"> i pro</w:t>
      </w:r>
      <w:r w:rsidRPr="006A22D3">
        <w:rPr>
          <w:noProof/>
        </w:rPr>
        <w:t xml:space="preserve">porcjonalne. </w:t>
      </w:r>
      <w:r w:rsidRPr="006A22D3">
        <w:rPr>
          <w:noProof/>
        </w:rPr>
        <w:tab/>
        <w:t>Państwa członkowskie zapewniają publikację decyzji organów nadzorczych</w:t>
      </w:r>
      <w:r w:rsidR="006A22D3" w:rsidRPr="006A22D3">
        <w:rPr>
          <w:noProof/>
        </w:rPr>
        <w:t xml:space="preserve"> o nał</w:t>
      </w:r>
      <w:r w:rsidRPr="006A22D3">
        <w:rPr>
          <w:noProof/>
        </w:rPr>
        <w:t>ożeniu sankcji</w:t>
      </w:r>
      <w:r w:rsidR="006A22D3" w:rsidRPr="006A22D3">
        <w:rPr>
          <w:noProof/>
        </w:rPr>
        <w:t xml:space="preserve"> z tyt</w:t>
      </w:r>
      <w:r w:rsidRPr="006A22D3">
        <w:rPr>
          <w:noProof/>
        </w:rPr>
        <w:t>ułu naruszenia przepisów niniejszej dyrektywy.</w:t>
      </w:r>
    </w:p>
    <w:p w:rsidR="00A7667A" w:rsidRPr="006A22D3" w:rsidRDefault="000A05D0">
      <w:pPr>
        <w:rPr>
          <w:noProof/>
        </w:rPr>
      </w:pPr>
      <w:r w:rsidRPr="006A22D3">
        <w:rPr>
          <w:noProof/>
        </w:rPr>
        <w:t>W art.</w:t>
      </w:r>
      <w:r w:rsidR="00192E90" w:rsidRPr="006A22D3">
        <w:rPr>
          <w:noProof/>
        </w:rPr>
        <w:t> </w:t>
      </w:r>
      <w:r w:rsidRPr="006A22D3">
        <w:rPr>
          <w:noProof/>
        </w:rPr>
        <w:t>21 wprowadzono Europejską Sieć Organów Nadzorczych składającą się</w:t>
      </w:r>
      <w:r w:rsidR="006A22D3" w:rsidRPr="006A22D3">
        <w:rPr>
          <w:noProof/>
        </w:rPr>
        <w:t xml:space="preserve"> z prz</w:t>
      </w:r>
      <w:r w:rsidRPr="006A22D3">
        <w:rPr>
          <w:noProof/>
        </w:rPr>
        <w:t>edstawicieli krajowych organów nadzorczych,</w:t>
      </w:r>
      <w:r w:rsidR="006A22D3" w:rsidRPr="006A22D3">
        <w:rPr>
          <w:noProof/>
        </w:rPr>
        <w:t xml:space="preserve"> o któ</w:t>
      </w:r>
      <w:r w:rsidRPr="006A22D3">
        <w:rPr>
          <w:noProof/>
        </w:rPr>
        <w:t>rych mowa</w:t>
      </w:r>
      <w:r w:rsidR="006A22D3" w:rsidRPr="006A22D3">
        <w:rPr>
          <w:noProof/>
        </w:rPr>
        <w:t xml:space="preserve"> w art</w:t>
      </w:r>
      <w:r w:rsidRPr="006A22D3">
        <w:rPr>
          <w:noProof/>
        </w:rPr>
        <w:t>.</w:t>
      </w:r>
      <w:r w:rsidR="00192E90" w:rsidRPr="006A22D3">
        <w:rPr>
          <w:noProof/>
        </w:rPr>
        <w:t> </w:t>
      </w:r>
      <w:r w:rsidRPr="006A22D3">
        <w:rPr>
          <w:noProof/>
        </w:rPr>
        <w:t>16,</w:t>
      </w:r>
      <w:r w:rsidR="006A22D3" w:rsidRPr="006A22D3">
        <w:rPr>
          <w:noProof/>
        </w:rPr>
        <w:t xml:space="preserve"> w cel</w:t>
      </w:r>
      <w:r w:rsidRPr="006A22D3">
        <w:rPr>
          <w:noProof/>
        </w:rPr>
        <w:t>u ułatwienia</w:t>
      </w:r>
      <w:r w:rsidR="006A22D3" w:rsidRPr="006A22D3">
        <w:rPr>
          <w:noProof/>
        </w:rPr>
        <w:t xml:space="preserve"> i zap</w:t>
      </w:r>
      <w:r w:rsidRPr="006A22D3">
        <w:rPr>
          <w:noProof/>
        </w:rPr>
        <w:t>ewnienia koordynacji</w:t>
      </w:r>
      <w:r w:rsidR="006A22D3" w:rsidRPr="006A22D3">
        <w:rPr>
          <w:noProof/>
        </w:rPr>
        <w:t xml:space="preserve"> i dos</w:t>
      </w:r>
      <w:r w:rsidRPr="006A22D3">
        <w:rPr>
          <w:noProof/>
        </w:rPr>
        <w:t>tosowania praktyk</w:t>
      </w:r>
      <w:r w:rsidR="006A22D3" w:rsidRPr="006A22D3">
        <w:rPr>
          <w:noProof/>
        </w:rPr>
        <w:t xml:space="preserve"> w zak</w:t>
      </w:r>
      <w:r w:rsidRPr="006A22D3">
        <w:rPr>
          <w:noProof/>
        </w:rPr>
        <w:t>resie regulacji, prowadzenia postępowań wyjaśniających, nakładania sankcji</w:t>
      </w:r>
      <w:r w:rsidR="006A22D3" w:rsidRPr="006A22D3">
        <w:rPr>
          <w:noProof/>
        </w:rPr>
        <w:t xml:space="preserve"> i nad</w:t>
      </w:r>
      <w:r w:rsidRPr="006A22D3">
        <w:rPr>
          <w:noProof/>
        </w:rPr>
        <w:t>zoru,</w:t>
      </w:r>
      <w:r w:rsidR="006A22D3" w:rsidRPr="006A22D3">
        <w:rPr>
          <w:noProof/>
        </w:rPr>
        <w:t xml:space="preserve"> a tak</w:t>
      </w:r>
      <w:r w:rsidRPr="006A22D3">
        <w:rPr>
          <w:noProof/>
        </w:rPr>
        <w:t>że wymiany informacji między tymi organami nadzorczymi.</w:t>
      </w:r>
    </w:p>
    <w:p w:rsidR="00181859" w:rsidRPr="006A22D3" w:rsidRDefault="001B4EC7" w:rsidP="00C45C01">
      <w:pPr>
        <w:rPr>
          <w:noProof/>
        </w:rPr>
      </w:pPr>
      <w:r w:rsidRPr="006A22D3">
        <w:rPr>
          <w:noProof/>
        </w:rPr>
        <w:t>W art.</w:t>
      </w:r>
      <w:r w:rsidR="00192E90" w:rsidRPr="006A22D3">
        <w:rPr>
          <w:noProof/>
        </w:rPr>
        <w:t> </w:t>
      </w:r>
      <w:r w:rsidRPr="006A22D3">
        <w:rPr>
          <w:noProof/>
        </w:rPr>
        <w:t>22 nałożono na państwa członkowskie wymóg ustanowienia przepisów regulujących odpowiedzialność cywilną przedsiębiorstwa za szkody powstałe</w:t>
      </w:r>
      <w:r w:rsidR="006A22D3" w:rsidRPr="006A22D3">
        <w:rPr>
          <w:noProof/>
        </w:rPr>
        <w:t xml:space="preserve"> w wyn</w:t>
      </w:r>
      <w:r w:rsidRPr="006A22D3">
        <w:rPr>
          <w:noProof/>
        </w:rPr>
        <w:t>iku niedopełnienia przez nie obowiązku</w:t>
      </w:r>
      <w:r w:rsidR="006A22D3" w:rsidRPr="006A22D3">
        <w:rPr>
          <w:noProof/>
        </w:rPr>
        <w:t xml:space="preserve"> w zak</w:t>
      </w:r>
      <w:r w:rsidRPr="006A22D3">
        <w:rPr>
          <w:noProof/>
        </w:rPr>
        <w:t>resie należytej staranności</w:t>
      </w:r>
      <w:r w:rsidR="006A22D3" w:rsidRPr="006A22D3">
        <w:rPr>
          <w:noProof/>
        </w:rPr>
        <w:t xml:space="preserve"> w okr</w:t>
      </w:r>
      <w:r w:rsidRPr="006A22D3">
        <w:rPr>
          <w:noProof/>
        </w:rPr>
        <w:t>eślonych sytuacjach. Wprowadzono</w:t>
      </w:r>
      <w:r w:rsidR="006A22D3" w:rsidRPr="006A22D3">
        <w:rPr>
          <w:noProof/>
        </w:rPr>
        <w:t xml:space="preserve"> w nim</w:t>
      </w:r>
      <w:r w:rsidRPr="006A22D3">
        <w:rPr>
          <w:noProof/>
        </w:rPr>
        <w:t xml:space="preserve"> również obowiązek zapewnienia przez państwa członkowskie, aby odpowiedzialność przewidziana</w:t>
      </w:r>
      <w:r w:rsidR="006A22D3" w:rsidRPr="006A22D3">
        <w:rPr>
          <w:noProof/>
        </w:rPr>
        <w:t xml:space="preserve"> w ust</w:t>
      </w:r>
      <w:r w:rsidRPr="006A22D3">
        <w:rPr>
          <w:noProof/>
        </w:rPr>
        <w:t>.</w:t>
      </w:r>
      <w:r w:rsidR="00192E90" w:rsidRPr="006A22D3">
        <w:rPr>
          <w:noProof/>
        </w:rPr>
        <w:t> </w:t>
      </w:r>
      <w:r w:rsidRPr="006A22D3">
        <w:rPr>
          <w:noProof/>
        </w:rPr>
        <w:t>1–3 tego artykułu nie została wyłączona jedynie na podstawie tego, że prawo właściwe dla roszczeń</w:t>
      </w:r>
      <w:r w:rsidR="006A22D3" w:rsidRPr="006A22D3">
        <w:rPr>
          <w:noProof/>
        </w:rPr>
        <w:t xml:space="preserve"> w tym</w:t>
      </w:r>
      <w:r w:rsidRPr="006A22D3">
        <w:rPr>
          <w:noProof/>
        </w:rPr>
        <w:t xml:space="preserve"> zakresie nie jest prawem państwa członkowskiego.</w:t>
      </w:r>
    </w:p>
    <w:p w:rsidR="0026775D" w:rsidRPr="006A22D3" w:rsidRDefault="001B4EC7" w:rsidP="00C45C01">
      <w:pPr>
        <w:rPr>
          <w:noProof/>
        </w:rPr>
      </w:pPr>
      <w:r w:rsidRPr="006A22D3">
        <w:rPr>
          <w:noProof/>
        </w:rPr>
        <w:t>W art.</w:t>
      </w:r>
      <w:r w:rsidR="00192E90" w:rsidRPr="006A22D3">
        <w:rPr>
          <w:noProof/>
        </w:rPr>
        <w:t> </w:t>
      </w:r>
      <w:r w:rsidRPr="006A22D3">
        <w:rPr>
          <w:noProof/>
        </w:rPr>
        <w:t>23 ustanowiono, że dyrektywa Parlamentu Europejskiego</w:t>
      </w:r>
      <w:r w:rsidR="006A22D3" w:rsidRPr="006A22D3">
        <w:rPr>
          <w:noProof/>
        </w:rPr>
        <w:t xml:space="preserve"> i Rad</w:t>
      </w:r>
      <w:r w:rsidRPr="006A22D3">
        <w:rPr>
          <w:noProof/>
        </w:rPr>
        <w:t>y (UE) 2019/1937</w:t>
      </w:r>
      <w:r w:rsidR="006A22D3" w:rsidRPr="006A22D3">
        <w:rPr>
          <w:noProof/>
        </w:rPr>
        <w:t xml:space="preserve"> z dni</w:t>
      </w:r>
      <w:r w:rsidRPr="006A22D3">
        <w:rPr>
          <w:noProof/>
        </w:rPr>
        <w:t>a 23 października 2019</w:t>
      </w:r>
      <w:r w:rsidR="00192E90" w:rsidRPr="006A22D3">
        <w:rPr>
          <w:noProof/>
        </w:rPr>
        <w:t> </w:t>
      </w:r>
      <w:r w:rsidRPr="006A22D3">
        <w:rPr>
          <w:noProof/>
        </w:rPr>
        <w:t>r.</w:t>
      </w:r>
      <w:r w:rsidR="006A22D3" w:rsidRPr="006A22D3">
        <w:rPr>
          <w:noProof/>
        </w:rPr>
        <w:t xml:space="preserve"> w spr</w:t>
      </w:r>
      <w:r w:rsidRPr="006A22D3">
        <w:rPr>
          <w:noProof/>
        </w:rPr>
        <w:t xml:space="preserve">awie ochrony osób zgłaszających naruszenia prawa Unii ma zastosowanie do zgłaszania wszystkich naruszeń niniejszej dyrektywy oraz ochrony osób zgłaszających takie naruszenia. </w:t>
      </w:r>
    </w:p>
    <w:p w:rsidR="006575A4" w:rsidRPr="006A22D3" w:rsidRDefault="001B4EC7">
      <w:pPr>
        <w:rPr>
          <w:noProof/>
        </w:rPr>
      </w:pPr>
      <w:r w:rsidRPr="006A22D3">
        <w:rPr>
          <w:noProof/>
        </w:rPr>
        <w:t>W art.</w:t>
      </w:r>
      <w:r w:rsidR="00192E90" w:rsidRPr="006A22D3">
        <w:rPr>
          <w:noProof/>
        </w:rPr>
        <w:t> </w:t>
      </w:r>
      <w:r w:rsidRPr="006A22D3">
        <w:rPr>
          <w:noProof/>
        </w:rPr>
        <w:t xml:space="preserve">23 sprecyzowano warunki udzielania wsparcia publicznego przedsiębiorstwom. </w:t>
      </w:r>
    </w:p>
    <w:p w:rsidR="00C615AA" w:rsidRPr="006A22D3" w:rsidRDefault="000B769C">
      <w:pPr>
        <w:rPr>
          <w:noProof/>
        </w:rPr>
      </w:pPr>
      <w:r w:rsidRPr="006A22D3">
        <w:rPr>
          <w:noProof/>
        </w:rPr>
        <w:t>W art.</w:t>
      </w:r>
      <w:r w:rsidR="00192E90" w:rsidRPr="006A22D3">
        <w:rPr>
          <w:noProof/>
        </w:rPr>
        <w:t> </w:t>
      </w:r>
      <w:r w:rsidRPr="006A22D3">
        <w:rPr>
          <w:noProof/>
        </w:rPr>
        <w:t>25 wyjaśniono obowiązek dyrektorów</w:t>
      </w:r>
      <w:r w:rsidR="006A22D3" w:rsidRPr="006A22D3">
        <w:rPr>
          <w:noProof/>
        </w:rPr>
        <w:t xml:space="preserve"> w zak</w:t>
      </w:r>
      <w:r w:rsidRPr="006A22D3">
        <w:rPr>
          <w:noProof/>
        </w:rPr>
        <w:t xml:space="preserve">resie dbałości. </w:t>
      </w:r>
    </w:p>
    <w:p w:rsidR="000B769C" w:rsidRPr="006A22D3" w:rsidRDefault="001B4EC7">
      <w:pPr>
        <w:rPr>
          <w:noProof/>
        </w:rPr>
      </w:pPr>
      <w:r w:rsidRPr="006A22D3">
        <w:rPr>
          <w:noProof/>
        </w:rPr>
        <w:t>W art.</w:t>
      </w:r>
      <w:r w:rsidR="00192E90" w:rsidRPr="006A22D3">
        <w:rPr>
          <w:noProof/>
        </w:rPr>
        <w:t> </w:t>
      </w:r>
      <w:r w:rsidRPr="006A22D3">
        <w:rPr>
          <w:noProof/>
        </w:rPr>
        <w:t>26 nałożono na dyrektorów przedsiębiorstw unijnych obowiązek stworzenia</w:t>
      </w:r>
      <w:r w:rsidR="006A22D3" w:rsidRPr="006A22D3">
        <w:rPr>
          <w:noProof/>
        </w:rPr>
        <w:t xml:space="preserve"> i nad</w:t>
      </w:r>
      <w:r w:rsidRPr="006A22D3">
        <w:rPr>
          <w:noProof/>
        </w:rPr>
        <w:t>zorowania wdrażania procedur</w:t>
      </w:r>
      <w:r w:rsidR="006A22D3" w:rsidRPr="006A22D3">
        <w:rPr>
          <w:noProof/>
        </w:rPr>
        <w:t xml:space="preserve"> i śro</w:t>
      </w:r>
      <w:r w:rsidRPr="006A22D3">
        <w:rPr>
          <w:noProof/>
        </w:rPr>
        <w:t>dków dotyczących należytej staranności przedsiębiorstw</w:t>
      </w:r>
      <w:r w:rsidR="006A22D3" w:rsidRPr="006A22D3">
        <w:rPr>
          <w:noProof/>
        </w:rPr>
        <w:t xml:space="preserve"> w zak</w:t>
      </w:r>
      <w:r w:rsidRPr="006A22D3">
        <w:rPr>
          <w:noProof/>
        </w:rPr>
        <w:t>resie zrównoważonego rozwoju oraz dostosowania strategii przedsiębiorstwa do zasad należytej staranności.</w:t>
      </w:r>
    </w:p>
    <w:p w:rsidR="00A7667A" w:rsidRPr="006A22D3" w:rsidRDefault="002A3105">
      <w:pPr>
        <w:rPr>
          <w:bCs/>
          <w:noProof/>
        </w:rPr>
      </w:pPr>
      <w:r w:rsidRPr="006A22D3">
        <w:rPr>
          <w:noProof/>
        </w:rPr>
        <w:t>W art.</w:t>
      </w:r>
      <w:r w:rsidR="00192E90" w:rsidRPr="006A22D3">
        <w:rPr>
          <w:noProof/>
        </w:rPr>
        <w:t> </w:t>
      </w:r>
      <w:r w:rsidRPr="006A22D3">
        <w:rPr>
          <w:noProof/>
        </w:rPr>
        <w:t>27 wprowadzono zmiany</w:t>
      </w:r>
      <w:r w:rsidR="006A22D3" w:rsidRPr="006A22D3">
        <w:rPr>
          <w:noProof/>
        </w:rPr>
        <w:t xml:space="preserve"> w zał</w:t>
      </w:r>
      <w:r w:rsidRPr="006A22D3">
        <w:rPr>
          <w:noProof/>
        </w:rPr>
        <w:t>ączniku do dyrektywy (UE) 2019/1937.</w:t>
      </w:r>
    </w:p>
    <w:p w:rsidR="002B0C57" w:rsidRPr="006A22D3" w:rsidRDefault="002B0C57">
      <w:pPr>
        <w:rPr>
          <w:bCs/>
          <w:noProof/>
        </w:rPr>
      </w:pPr>
      <w:r w:rsidRPr="006A22D3">
        <w:rPr>
          <w:noProof/>
        </w:rPr>
        <w:t>W art.</w:t>
      </w:r>
      <w:r w:rsidR="00192E90" w:rsidRPr="006A22D3">
        <w:rPr>
          <w:noProof/>
        </w:rPr>
        <w:t> </w:t>
      </w:r>
      <w:r w:rsidRPr="006A22D3">
        <w:rPr>
          <w:noProof/>
        </w:rPr>
        <w:t>28 określono zasady dotyczące aktów delegowanych.</w:t>
      </w:r>
    </w:p>
    <w:p w:rsidR="00A7667A" w:rsidRPr="006A22D3" w:rsidRDefault="002A3105">
      <w:pPr>
        <w:rPr>
          <w:noProof/>
        </w:rPr>
      </w:pPr>
      <w:r w:rsidRPr="006A22D3">
        <w:rPr>
          <w:noProof/>
        </w:rPr>
        <w:t>Art. 29 zawiera przepis dotyczący przeglądu niniejszej dyrektywy.</w:t>
      </w:r>
    </w:p>
    <w:p w:rsidR="00A7667A" w:rsidRPr="006A22D3" w:rsidRDefault="002A3105" w:rsidP="00B12C0B">
      <w:pPr>
        <w:rPr>
          <w:b/>
          <w:noProof/>
        </w:rPr>
      </w:pPr>
      <w:r w:rsidRPr="006A22D3">
        <w:rPr>
          <w:noProof/>
        </w:rPr>
        <w:t>Art. 30 zawiera przepisy dotyczące transpozycji dyrektywy.</w:t>
      </w:r>
    </w:p>
    <w:p w:rsidR="00A7667A" w:rsidRPr="006A22D3" w:rsidRDefault="002A3105">
      <w:pPr>
        <w:rPr>
          <w:bCs/>
          <w:noProof/>
        </w:rPr>
      </w:pPr>
      <w:r w:rsidRPr="006A22D3">
        <w:rPr>
          <w:noProof/>
        </w:rPr>
        <w:t>W art.</w:t>
      </w:r>
      <w:r w:rsidR="00192E90" w:rsidRPr="006A22D3">
        <w:rPr>
          <w:noProof/>
        </w:rPr>
        <w:t> </w:t>
      </w:r>
      <w:r w:rsidRPr="006A22D3">
        <w:rPr>
          <w:noProof/>
        </w:rPr>
        <w:t>31 określono datę wejścia</w:t>
      </w:r>
      <w:r w:rsidR="006A22D3" w:rsidRPr="006A22D3">
        <w:rPr>
          <w:noProof/>
        </w:rPr>
        <w:t xml:space="preserve"> w życ</w:t>
      </w:r>
      <w:r w:rsidRPr="006A22D3">
        <w:rPr>
          <w:noProof/>
        </w:rPr>
        <w:t>ie niniejszej dyrektywy.</w:t>
      </w:r>
    </w:p>
    <w:p w:rsidR="00A7667A" w:rsidRPr="006A22D3" w:rsidRDefault="002A3105">
      <w:pPr>
        <w:rPr>
          <w:bCs/>
          <w:noProof/>
        </w:rPr>
      </w:pPr>
      <w:r w:rsidRPr="006A22D3">
        <w:rPr>
          <w:noProof/>
        </w:rPr>
        <w:t>W art.</w:t>
      </w:r>
      <w:r w:rsidR="00192E90" w:rsidRPr="006A22D3">
        <w:rPr>
          <w:noProof/>
        </w:rPr>
        <w:t> </w:t>
      </w:r>
      <w:r w:rsidRPr="006A22D3">
        <w:rPr>
          <w:noProof/>
        </w:rPr>
        <w:t>32 określono adresatów niniejszej dyrektywy.</w:t>
      </w:r>
    </w:p>
    <w:p w:rsidR="00A7667A" w:rsidRPr="00D077E4" w:rsidRDefault="00A864C8" w:rsidP="00616E4D">
      <w:r w:rsidRPr="006A22D3">
        <w:rPr>
          <w:noProof/>
        </w:rPr>
        <w:t>W wykazach zawartych</w:t>
      </w:r>
      <w:r w:rsidR="006A22D3" w:rsidRPr="006A22D3">
        <w:rPr>
          <w:noProof/>
        </w:rPr>
        <w:t xml:space="preserve"> w zał</w:t>
      </w:r>
      <w:r w:rsidRPr="006A22D3">
        <w:rPr>
          <w:noProof/>
        </w:rPr>
        <w:t>ączniku określono niekorzystne skutki dla środowiska</w:t>
      </w:r>
      <w:r w:rsidR="006A22D3" w:rsidRPr="006A22D3">
        <w:rPr>
          <w:noProof/>
        </w:rPr>
        <w:t xml:space="preserve"> i nie</w:t>
      </w:r>
      <w:r w:rsidRPr="006A22D3">
        <w:rPr>
          <w:noProof/>
        </w:rPr>
        <w:t>korzystne skutki dla praw człowieka istotne</w:t>
      </w:r>
      <w:r w:rsidR="006A22D3" w:rsidRPr="006A22D3">
        <w:rPr>
          <w:noProof/>
        </w:rPr>
        <w:t xml:space="preserve"> w kon</w:t>
      </w:r>
      <w:r w:rsidRPr="006A22D3">
        <w:rPr>
          <w:noProof/>
        </w:rPr>
        <w:t>tekście niniejszej dyrektywy, obejmujące naruszenia praw</w:t>
      </w:r>
      <w:r w:rsidR="006A22D3" w:rsidRPr="006A22D3">
        <w:rPr>
          <w:noProof/>
        </w:rPr>
        <w:t xml:space="preserve"> i zak</w:t>
      </w:r>
      <w:r w:rsidRPr="006A22D3">
        <w:rPr>
          <w:noProof/>
        </w:rPr>
        <w:t>azów zawartych</w:t>
      </w:r>
      <w:r w:rsidR="006A22D3" w:rsidRPr="006A22D3">
        <w:rPr>
          <w:noProof/>
        </w:rPr>
        <w:t xml:space="preserve"> w mię</w:t>
      </w:r>
      <w:r w:rsidRPr="006A22D3">
        <w:rPr>
          <w:noProof/>
        </w:rPr>
        <w:t>dzynarodowych umowach dotyczących praw człowieka (część I sekcja 1), konwencjach dotyczących praw człowieka</w:t>
      </w:r>
      <w:r w:rsidR="006A22D3" w:rsidRPr="006A22D3">
        <w:rPr>
          <w:noProof/>
        </w:rPr>
        <w:t xml:space="preserve"> i pod</w:t>
      </w:r>
      <w:r w:rsidRPr="006A22D3">
        <w:rPr>
          <w:noProof/>
        </w:rPr>
        <w:t>stawowych wolności (część I sekcja 2) oraz naruszenia uznanych na forum międzynarodowym celów</w:t>
      </w:r>
      <w:r w:rsidR="006A22D3" w:rsidRPr="006A22D3">
        <w:rPr>
          <w:noProof/>
        </w:rPr>
        <w:t xml:space="preserve"> i zak</w:t>
      </w:r>
      <w:r w:rsidRPr="006A22D3">
        <w:rPr>
          <w:noProof/>
        </w:rPr>
        <w:t>azów uwzględnionych</w:t>
      </w:r>
      <w:r w:rsidR="006A22D3" w:rsidRPr="006A22D3">
        <w:rPr>
          <w:noProof/>
        </w:rPr>
        <w:t xml:space="preserve"> w kon</w:t>
      </w:r>
      <w:r w:rsidRPr="006A22D3">
        <w:rPr>
          <w:noProof/>
        </w:rPr>
        <w:t>wencjach</w:t>
      </w:r>
      <w:r w:rsidR="006A22D3" w:rsidRPr="006A22D3">
        <w:rPr>
          <w:noProof/>
        </w:rPr>
        <w:t xml:space="preserve"> w zak</w:t>
      </w:r>
      <w:r w:rsidRPr="006A22D3">
        <w:rPr>
          <w:noProof/>
        </w:rPr>
        <w:t xml:space="preserve">resie ochrony środowiska (część II). </w:t>
      </w:r>
    </w:p>
    <w:p w:rsidR="001859C1" w:rsidRPr="006A22D3" w:rsidRDefault="001859C1" w:rsidP="001859C1">
      <w:pPr>
        <w:spacing w:before="0" w:after="0"/>
        <w:jc w:val="left"/>
        <w:rPr>
          <w:noProof/>
        </w:rPr>
        <w:sectPr w:rsidR="001859C1" w:rsidRPr="006A22D3" w:rsidSect="002F79ED">
          <w:footerReference w:type="default" r:id="rId35"/>
          <w:footerReference w:type="first" r:id="rId36"/>
          <w:pgSz w:w="11907" w:h="16839"/>
          <w:pgMar w:top="1134" w:right="1417" w:bottom="1134" w:left="1417" w:header="709" w:footer="709" w:gutter="0"/>
          <w:cols w:space="708"/>
          <w:docGrid w:linePitch="360"/>
        </w:sectPr>
      </w:pPr>
    </w:p>
    <w:p w:rsidR="002F59BF" w:rsidRPr="006A22D3" w:rsidRDefault="00D014E7" w:rsidP="00D014E7">
      <w:pPr>
        <w:pStyle w:val="Rfrenceinterinstitutionnelle"/>
        <w:rPr>
          <w:noProof/>
        </w:rPr>
      </w:pPr>
      <w:r w:rsidRPr="00D014E7">
        <w:t>2022/0051 (COD)</w:t>
      </w:r>
    </w:p>
    <w:p w:rsidR="0080592F" w:rsidRPr="006A22D3" w:rsidRDefault="006A22D3" w:rsidP="006A22D3">
      <w:pPr>
        <w:pStyle w:val="Statut"/>
        <w:rPr>
          <w:noProof/>
        </w:rPr>
      </w:pPr>
      <w:r w:rsidRPr="006A22D3">
        <w:rPr>
          <w:noProof/>
        </w:rPr>
        <w:t>Wniosek</w:t>
      </w:r>
    </w:p>
    <w:p w:rsidR="006808F4" w:rsidRPr="006A22D3" w:rsidRDefault="006A22D3" w:rsidP="006A22D3">
      <w:pPr>
        <w:pStyle w:val="Typedudocument"/>
        <w:rPr>
          <w:noProof/>
        </w:rPr>
      </w:pPr>
      <w:r w:rsidRPr="006A22D3">
        <w:rPr>
          <w:noProof/>
        </w:rPr>
        <w:t>DYREKTYWA PARLAMENTU EUROPEJSKIEGO I RADY</w:t>
      </w:r>
    </w:p>
    <w:p w:rsidR="0064170B" w:rsidRPr="006A22D3" w:rsidRDefault="006A22D3" w:rsidP="006A22D3">
      <w:pPr>
        <w:pStyle w:val="Titreobjet"/>
        <w:rPr>
          <w:noProof/>
        </w:rPr>
      </w:pPr>
      <w:r w:rsidRPr="006A22D3">
        <w:rPr>
          <w:noProof/>
        </w:rPr>
        <w:t>w sprawie należytej staranności przedsiębiorstw w zakresie zrównoważonego rozwoju oraz zmieniająca dyrektywę (UE) 2019/1937</w:t>
      </w:r>
    </w:p>
    <w:p w:rsidR="00224DDB" w:rsidRPr="006A22D3" w:rsidRDefault="006A22D3" w:rsidP="006A22D3">
      <w:pPr>
        <w:pStyle w:val="IntrtEEE"/>
        <w:rPr>
          <w:noProof/>
        </w:rPr>
      </w:pPr>
      <w:r w:rsidRPr="006A22D3">
        <w:rPr>
          <w:noProof/>
        </w:rPr>
        <w:t>(Tekst mający znaczenie dla EOG)</w:t>
      </w:r>
    </w:p>
    <w:p w:rsidR="0080592F" w:rsidRPr="006A22D3" w:rsidRDefault="4DE26774" w:rsidP="00F325D4">
      <w:pPr>
        <w:pStyle w:val="Institutionquiagit"/>
        <w:rPr>
          <w:noProof/>
        </w:rPr>
      </w:pPr>
      <w:r w:rsidRPr="006A22D3">
        <w:rPr>
          <w:noProof/>
        </w:rPr>
        <w:t>PARLAMENT EUROPEJSKI I RADA UNII EUROPEJSKIEJ,</w:t>
      </w:r>
    </w:p>
    <w:p w:rsidR="0080592F" w:rsidRPr="006A22D3" w:rsidRDefault="4DE26774" w:rsidP="00807C60">
      <w:pPr>
        <w:rPr>
          <w:noProof/>
        </w:rPr>
      </w:pPr>
      <w:r w:rsidRPr="006A22D3">
        <w:rPr>
          <w:noProof/>
        </w:rPr>
        <w:t>uwzględniając Traktat</w:t>
      </w:r>
      <w:r w:rsidR="006A22D3" w:rsidRPr="006A22D3">
        <w:rPr>
          <w:noProof/>
        </w:rPr>
        <w:t xml:space="preserve"> o fun</w:t>
      </w:r>
      <w:r w:rsidRPr="006A22D3">
        <w:rPr>
          <w:noProof/>
        </w:rPr>
        <w:t>kcjonowaniu Unii Europejskiej,</w:t>
      </w:r>
      <w:r w:rsidR="006A22D3" w:rsidRPr="006A22D3">
        <w:rPr>
          <w:noProof/>
        </w:rPr>
        <w:t xml:space="preserve"> w szc</w:t>
      </w:r>
      <w:r w:rsidRPr="006A22D3">
        <w:rPr>
          <w:noProof/>
        </w:rPr>
        <w:t>zególności jego art.</w:t>
      </w:r>
      <w:r w:rsidR="00192E90" w:rsidRPr="006A22D3">
        <w:rPr>
          <w:noProof/>
        </w:rPr>
        <w:t> </w:t>
      </w:r>
      <w:r w:rsidRPr="006A22D3">
        <w:rPr>
          <w:noProof/>
        </w:rPr>
        <w:t>50 ust.</w:t>
      </w:r>
      <w:r w:rsidR="00192E90" w:rsidRPr="006A22D3">
        <w:rPr>
          <w:noProof/>
        </w:rPr>
        <w:t> </w:t>
      </w:r>
      <w:r w:rsidRPr="006A22D3">
        <w:rPr>
          <w:noProof/>
        </w:rPr>
        <w:t>1, art.</w:t>
      </w:r>
      <w:r w:rsidR="00192E90" w:rsidRPr="006A22D3">
        <w:rPr>
          <w:noProof/>
        </w:rPr>
        <w:t> </w:t>
      </w:r>
      <w:r w:rsidRPr="006A22D3">
        <w:rPr>
          <w:noProof/>
        </w:rPr>
        <w:t>50 ust.</w:t>
      </w:r>
      <w:r w:rsidR="00192E90" w:rsidRPr="006A22D3">
        <w:rPr>
          <w:noProof/>
        </w:rPr>
        <w:t> </w:t>
      </w:r>
      <w:r w:rsidRPr="006A22D3">
        <w:rPr>
          <w:noProof/>
        </w:rPr>
        <w:t>2 lit.</w:t>
      </w:r>
      <w:r w:rsidR="00192E90" w:rsidRPr="006A22D3">
        <w:rPr>
          <w:noProof/>
        </w:rPr>
        <w:t> </w:t>
      </w:r>
      <w:r w:rsidRPr="006A22D3">
        <w:rPr>
          <w:noProof/>
        </w:rPr>
        <w:t>g) oraz art.</w:t>
      </w:r>
      <w:r w:rsidR="00192E90" w:rsidRPr="006A22D3">
        <w:rPr>
          <w:noProof/>
        </w:rPr>
        <w:t> </w:t>
      </w:r>
      <w:r w:rsidRPr="006A22D3">
        <w:rPr>
          <w:noProof/>
        </w:rPr>
        <w:t>114,</w:t>
      </w:r>
    </w:p>
    <w:p w:rsidR="0080592F" w:rsidRPr="006A22D3" w:rsidRDefault="4DE26774" w:rsidP="00807C60">
      <w:pPr>
        <w:rPr>
          <w:noProof/>
        </w:rPr>
      </w:pPr>
      <w:r w:rsidRPr="006A22D3">
        <w:rPr>
          <w:noProof/>
        </w:rPr>
        <w:t>uwzględniając wniosek Komisji Europejskiej,</w:t>
      </w:r>
    </w:p>
    <w:p w:rsidR="0080592F" w:rsidRPr="006A22D3" w:rsidRDefault="4DE26774" w:rsidP="00807C60">
      <w:pPr>
        <w:rPr>
          <w:noProof/>
        </w:rPr>
      </w:pPr>
      <w:r w:rsidRPr="006A22D3">
        <w:rPr>
          <w:noProof/>
        </w:rPr>
        <w:t>po przekazaniu projektu aktu ustawodawczego parlamentom narodowym,</w:t>
      </w:r>
    </w:p>
    <w:p w:rsidR="0080592F" w:rsidRPr="006A22D3" w:rsidRDefault="0080592F" w:rsidP="00807C60">
      <w:pPr>
        <w:rPr>
          <w:noProof/>
        </w:rPr>
      </w:pPr>
      <w:r w:rsidRPr="006A22D3">
        <w:rPr>
          <w:noProof/>
        </w:rPr>
        <w:t>uwzględniając opinię Europejskiego Komitetu Ekonomiczno-Społecznego</w:t>
      </w:r>
      <w:r w:rsidRPr="006A22D3">
        <w:rPr>
          <w:rStyle w:val="FootnoteReference"/>
          <w:noProof/>
        </w:rPr>
        <w:footnoteReference w:id="74"/>
      </w:r>
      <w:r w:rsidRPr="006A22D3">
        <w:rPr>
          <w:noProof/>
        </w:rPr>
        <w:t xml:space="preserve">, </w:t>
      </w:r>
    </w:p>
    <w:p w:rsidR="0059612B" w:rsidRPr="006A22D3" w:rsidRDefault="4DE26774" w:rsidP="00807C60">
      <w:pPr>
        <w:rPr>
          <w:noProof/>
        </w:rPr>
      </w:pPr>
      <w:r w:rsidRPr="006A22D3">
        <w:rPr>
          <w:noProof/>
        </w:rPr>
        <w:t>stanowiąc zgodnie ze zwykłą procedurą ustawodawczą,</w:t>
      </w:r>
    </w:p>
    <w:p w:rsidR="004C6B2A" w:rsidRPr="006A22D3" w:rsidRDefault="004C6B2A" w:rsidP="00807C60">
      <w:pPr>
        <w:rPr>
          <w:noProof/>
        </w:rPr>
      </w:pPr>
      <w:r w:rsidRPr="006A22D3">
        <w:rPr>
          <w:noProof/>
        </w:rPr>
        <w:t>a także mając na uwadze, co następuje:</w:t>
      </w:r>
    </w:p>
    <w:p w:rsidR="005A4938" w:rsidRPr="006A22D3" w:rsidRDefault="00D91F29" w:rsidP="00D91F29">
      <w:pPr>
        <w:pStyle w:val="ManualConsidrant"/>
        <w:rPr>
          <w:noProof/>
        </w:rPr>
      </w:pPr>
      <w:r w:rsidRPr="00D91F29">
        <w:t>(1)</w:t>
      </w:r>
      <w:r w:rsidRPr="00D91F29">
        <w:tab/>
      </w:r>
      <w:r w:rsidR="009D6F1B" w:rsidRPr="006A22D3">
        <w:rPr>
          <w:noProof/>
        </w:rPr>
        <w:t>Unia opiera się na poszanowaniu godności osoby ludzkiej, wolności, demokracji, równości, państwa prawnego, jak również poszanowaniu praw człowieka, zapisanych</w:t>
      </w:r>
      <w:r w:rsidR="006A22D3" w:rsidRPr="006A22D3">
        <w:rPr>
          <w:noProof/>
        </w:rPr>
        <w:t xml:space="preserve"> w Kar</w:t>
      </w:r>
      <w:r w:rsidR="009D6F1B" w:rsidRPr="006A22D3">
        <w:rPr>
          <w:noProof/>
        </w:rPr>
        <w:t>cie praw podstawowych Unii Europejskiej.</w:t>
      </w:r>
      <w:r w:rsidR="009D6F1B" w:rsidRPr="006A22D3">
        <w:rPr>
          <w:noProof/>
        </w:rPr>
        <w:tab/>
        <w:t xml:space="preserve"> Te podstawowe wartości, które zainspirowały powstanie Unii,</w:t>
      </w:r>
      <w:r w:rsidR="006A22D3" w:rsidRPr="006A22D3">
        <w:rPr>
          <w:noProof/>
        </w:rPr>
        <w:t xml:space="preserve"> a tak</w:t>
      </w:r>
      <w:r w:rsidR="009D6F1B" w:rsidRPr="006A22D3">
        <w:rPr>
          <w:noProof/>
        </w:rPr>
        <w:t>że powszechność</w:t>
      </w:r>
      <w:r w:rsidR="006A22D3" w:rsidRPr="006A22D3">
        <w:rPr>
          <w:noProof/>
        </w:rPr>
        <w:t xml:space="preserve"> i nie</w:t>
      </w:r>
      <w:r w:rsidR="009D6F1B" w:rsidRPr="006A22D3">
        <w:rPr>
          <w:noProof/>
        </w:rPr>
        <w:t>podzielność praw człowieka oraz poszanowanie zasad Karty Narodów Zjednoczonych</w:t>
      </w:r>
      <w:r w:rsidR="006A22D3" w:rsidRPr="006A22D3">
        <w:rPr>
          <w:noProof/>
        </w:rPr>
        <w:t xml:space="preserve"> i pra</w:t>
      </w:r>
      <w:r w:rsidR="009D6F1B" w:rsidRPr="006A22D3">
        <w:rPr>
          <w:noProof/>
        </w:rPr>
        <w:t>wa międzynarodowego powinny przyświecać działaniom Unii na arenie międzynarodowej. Takie działania obejmują wspieranie trwałego rozwoju gospodarczego</w:t>
      </w:r>
      <w:r w:rsidR="006A22D3" w:rsidRPr="006A22D3">
        <w:rPr>
          <w:noProof/>
        </w:rPr>
        <w:t xml:space="preserve"> i spo</w:t>
      </w:r>
      <w:r w:rsidR="009D6F1B" w:rsidRPr="006A22D3">
        <w:rPr>
          <w:noProof/>
        </w:rPr>
        <w:t xml:space="preserve">łecznego oraz środowiskowego krajów rozwijających się. </w:t>
      </w:r>
    </w:p>
    <w:p w:rsidR="00ED3016" w:rsidRPr="006A22D3" w:rsidRDefault="00D91F29" w:rsidP="00D91F29">
      <w:pPr>
        <w:pStyle w:val="ManualConsidrant"/>
        <w:rPr>
          <w:noProof/>
        </w:rPr>
      </w:pPr>
      <w:r w:rsidRPr="00D91F29">
        <w:t>(2)</w:t>
      </w:r>
      <w:r w:rsidRPr="00D91F29">
        <w:tab/>
      </w:r>
      <w:r w:rsidR="00364F23" w:rsidRPr="006A22D3">
        <w:rPr>
          <w:noProof/>
        </w:rPr>
        <w:t>Wysoki poziom ochrony środowiska naturalnego</w:t>
      </w:r>
      <w:r w:rsidR="006A22D3" w:rsidRPr="006A22D3">
        <w:rPr>
          <w:noProof/>
        </w:rPr>
        <w:t xml:space="preserve"> i pop</w:t>
      </w:r>
      <w:r w:rsidR="00364F23" w:rsidRPr="006A22D3">
        <w:rPr>
          <w:noProof/>
        </w:rPr>
        <w:t>rawa jego jakości oraz propagowanie podstawowych wartości europejskich należą do priorytetów Unii, jak określono</w:t>
      </w:r>
      <w:r w:rsidR="006A22D3" w:rsidRPr="006A22D3">
        <w:rPr>
          <w:noProof/>
        </w:rPr>
        <w:t xml:space="preserve"> w kom</w:t>
      </w:r>
      <w:r w:rsidR="00364F23" w:rsidRPr="006A22D3">
        <w:rPr>
          <w:noProof/>
        </w:rPr>
        <w:t>unikacie Komisji dotyczącym Europejskiego Zielonego Ładu</w:t>
      </w:r>
      <w:r w:rsidR="00364F23" w:rsidRPr="006A22D3">
        <w:rPr>
          <w:rStyle w:val="FootnoteReference"/>
          <w:noProof/>
        </w:rPr>
        <w:footnoteReference w:id="75"/>
      </w:r>
      <w:r w:rsidR="00364F23" w:rsidRPr="006A22D3">
        <w:rPr>
          <w:noProof/>
        </w:rPr>
        <w:t>. Cele te wymagają zaangażowania nie tylko organów publicznych, ale także podmiotów prywatnych,</w:t>
      </w:r>
      <w:r w:rsidR="006A22D3" w:rsidRPr="006A22D3">
        <w:rPr>
          <w:noProof/>
        </w:rPr>
        <w:t xml:space="preserve"> w szc</w:t>
      </w:r>
      <w:r w:rsidR="00364F23" w:rsidRPr="006A22D3">
        <w:rPr>
          <w:noProof/>
        </w:rPr>
        <w:t xml:space="preserve">zególności przedsiębiorstw. </w:t>
      </w:r>
    </w:p>
    <w:p w:rsidR="00776FF8" w:rsidRPr="006A22D3" w:rsidRDefault="00D91F29" w:rsidP="00D91F29">
      <w:pPr>
        <w:pStyle w:val="ManualConsidrant"/>
        <w:rPr>
          <w:noProof/>
        </w:rPr>
      </w:pPr>
      <w:r w:rsidRPr="00D91F29">
        <w:t>(3)</w:t>
      </w:r>
      <w:r w:rsidRPr="00D91F29">
        <w:tab/>
      </w:r>
      <w:r w:rsidR="00776FF8" w:rsidRPr="006A22D3">
        <w:rPr>
          <w:noProof/>
        </w:rPr>
        <w:t>W swoim komunikacie „Silna Europa socjalna na rzecz sprawiedliwej transformacji”</w:t>
      </w:r>
      <w:r w:rsidR="00776FF8" w:rsidRPr="006A22D3">
        <w:rPr>
          <w:rStyle w:val="FootnoteReference"/>
          <w:noProof/>
        </w:rPr>
        <w:footnoteReference w:id="76"/>
      </w:r>
      <w:r w:rsidR="00776FF8" w:rsidRPr="006A22D3">
        <w:rPr>
          <w:noProof/>
        </w:rPr>
        <w:t xml:space="preserve"> Komisja zobowiązała się do udoskonalenia europejskiej społecznej gospodarki rynkowej</w:t>
      </w:r>
      <w:r w:rsidR="006A22D3" w:rsidRPr="006A22D3">
        <w:rPr>
          <w:noProof/>
        </w:rPr>
        <w:t xml:space="preserve"> w cel</w:t>
      </w:r>
      <w:r w:rsidR="00776FF8" w:rsidRPr="006A22D3">
        <w:rPr>
          <w:noProof/>
        </w:rPr>
        <w:t>u przeprowadzenia sprawiedliwej transformacji</w:t>
      </w:r>
      <w:r w:rsidR="006A22D3" w:rsidRPr="006A22D3">
        <w:rPr>
          <w:noProof/>
        </w:rPr>
        <w:t xml:space="preserve"> w kie</w:t>
      </w:r>
      <w:r w:rsidR="00776FF8" w:rsidRPr="006A22D3">
        <w:rPr>
          <w:noProof/>
        </w:rPr>
        <w:t>runku zrównoważonego rozwoju. Niniejsza dyrektywa przyczyni się również do realizacji Europejskiego filaru praw socjalnych, który wspiera prawa zapewniające uczciwe warunki pracy. Stanowi ona część polityki</w:t>
      </w:r>
      <w:r w:rsidR="006A22D3" w:rsidRPr="006A22D3">
        <w:rPr>
          <w:noProof/>
        </w:rPr>
        <w:t xml:space="preserve"> i str</w:t>
      </w:r>
      <w:r w:rsidR="00776FF8" w:rsidRPr="006A22D3">
        <w:rPr>
          <w:noProof/>
        </w:rPr>
        <w:t>ategii UE związanych</w:t>
      </w:r>
      <w:r w:rsidR="006A22D3" w:rsidRPr="006A22D3">
        <w:rPr>
          <w:noProof/>
        </w:rPr>
        <w:t xml:space="preserve"> z pro</w:t>
      </w:r>
      <w:r w:rsidR="00776FF8" w:rsidRPr="006A22D3">
        <w:rPr>
          <w:noProof/>
        </w:rPr>
        <w:t>pagowaniem zapewniania godnej pracy na całym świecie,</w:t>
      </w:r>
      <w:r w:rsidR="006A22D3" w:rsidRPr="006A22D3">
        <w:rPr>
          <w:noProof/>
        </w:rPr>
        <w:t xml:space="preserve"> w tym w glo</w:t>
      </w:r>
      <w:r w:rsidR="00776FF8" w:rsidRPr="006A22D3">
        <w:rPr>
          <w:noProof/>
        </w:rPr>
        <w:t>balnych łańcuchach wartości,</w:t>
      </w:r>
      <w:r w:rsidR="006A22D3" w:rsidRPr="006A22D3">
        <w:rPr>
          <w:noProof/>
        </w:rPr>
        <w:t xml:space="preserve"> o czy</w:t>
      </w:r>
      <w:r w:rsidR="00776FF8" w:rsidRPr="006A22D3">
        <w:rPr>
          <w:noProof/>
        </w:rPr>
        <w:t>m mowa</w:t>
      </w:r>
      <w:r w:rsidR="006A22D3" w:rsidRPr="006A22D3">
        <w:rPr>
          <w:noProof/>
        </w:rPr>
        <w:t xml:space="preserve"> w kom</w:t>
      </w:r>
      <w:r w:rsidR="00776FF8" w:rsidRPr="006A22D3">
        <w:rPr>
          <w:noProof/>
        </w:rPr>
        <w:t>unikacie Komisji</w:t>
      </w:r>
      <w:r w:rsidR="006A22D3" w:rsidRPr="006A22D3">
        <w:rPr>
          <w:noProof/>
        </w:rPr>
        <w:t xml:space="preserve"> w spr</w:t>
      </w:r>
      <w:r w:rsidR="00776FF8" w:rsidRPr="006A22D3">
        <w:rPr>
          <w:noProof/>
        </w:rPr>
        <w:t>awie godnej pracy na całym świecie</w:t>
      </w:r>
      <w:r w:rsidR="000C3A7F" w:rsidRPr="006A22D3">
        <w:rPr>
          <w:rStyle w:val="FootnoteReference"/>
          <w:noProof/>
        </w:rPr>
        <w:footnoteReference w:id="77"/>
      </w:r>
      <w:r w:rsidR="00776FF8" w:rsidRPr="006A22D3">
        <w:rPr>
          <w:noProof/>
        </w:rPr>
        <w:t xml:space="preserve">. </w:t>
      </w:r>
    </w:p>
    <w:p w:rsidR="008067EA" w:rsidRPr="006A22D3" w:rsidRDefault="00D91F29" w:rsidP="00D91F29">
      <w:pPr>
        <w:pStyle w:val="ManualConsidrant"/>
        <w:rPr>
          <w:noProof/>
        </w:rPr>
      </w:pPr>
      <w:r w:rsidRPr="00D91F29">
        <w:t>(4)</w:t>
      </w:r>
      <w:r w:rsidRPr="00D91F29">
        <w:tab/>
      </w:r>
      <w:r w:rsidR="00ED3016" w:rsidRPr="006A22D3">
        <w:rPr>
          <w:noProof/>
        </w:rPr>
        <w:t>Kluczem do sukcesu</w:t>
      </w:r>
      <w:r w:rsidR="006A22D3" w:rsidRPr="006A22D3">
        <w:rPr>
          <w:noProof/>
        </w:rPr>
        <w:t xml:space="preserve"> w rea</w:t>
      </w:r>
      <w:r w:rsidR="00ED3016" w:rsidRPr="006A22D3">
        <w:rPr>
          <w:noProof/>
        </w:rPr>
        <w:t>lizacji celów Unii</w:t>
      </w:r>
      <w:r w:rsidR="006A22D3" w:rsidRPr="006A22D3">
        <w:rPr>
          <w:noProof/>
        </w:rPr>
        <w:t xml:space="preserve"> w zak</w:t>
      </w:r>
      <w:r w:rsidR="00ED3016" w:rsidRPr="006A22D3">
        <w:rPr>
          <w:noProof/>
        </w:rPr>
        <w:t>resie zrównoważonego rozwoju jest postępowanie przedsiębiorstw działających we wszystkich sektorach gospodarki, ponieważ przedsiębiorstwa unijne,</w:t>
      </w:r>
      <w:r w:rsidR="006A22D3" w:rsidRPr="006A22D3">
        <w:rPr>
          <w:noProof/>
        </w:rPr>
        <w:t xml:space="preserve"> w szc</w:t>
      </w:r>
      <w:r w:rsidR="00ED3016" w:rsidRPr="006A22D3">
        <w:rPr>
          <w:noProof/>
        </w:rPr>
        <w:t>zególności duże, polegają na globalnych łańcuchach wartości. Ochrona praw człowieka</w:t>
      </w:r>
      <w:r w:rsidR="006A22D3" w:rsidRPr="006A22D3">
        <w:rPr>
          <w:noProof/>
        </w:rPr>
        <w:t xml:space="preserve"> i och</w:t>
      </w:r>
      <w:r w:rsidR="00ED3016" w:rsidRPr="006A22D3">
        <w:rPr>
          <w:noProof/>
        </w:rPr>
        <w:t>rona środowiska również leżą</w:t>
      </w:r>
      <w:r w:rsidR="006A22D3" w:rsidRPr="006A22D3">
        <w:rPr>
          <w:noProof/>
        </w:rPr>
        <w:t xml:space="preserve"> w int</w:t>
      </w:r>
      <w:r w:rsidR="00ED3016" w:rsidRPr="006A22D3">
        <w:rPr>
          <w:noProof/>
        </w:rPr>
        <w:t>eresie przedsiębiorstw,</w:t>
      </w:r>
      <w:r w:rsidR="006A22D3" w:rsidRPr="006A22D3">
        <w:rPr>
          <w:noProof/>
        </w:rPr>
        <w:t xml:space="preserve"> w szc</w:t>
      </w:r>
      <w:r w:rsidR="00ED3016" w:rsidRPr="006A22D3">
        <w:rPr>
          <w:noProof/>
        </w:rPr>
        <w:t>zególności biorąc pod uwagę rosnącą świadomość konsumentów</w:t>
      </w:r>
      <w:r w:rsidR="006A22D3" w:rsidRPr="006A22D3">
        <w:rPr>
          <w:noProof/>
        </w:rPr>
        <w:t xml:space="preserve"> i inw</w:t>
      </w:r>
      <w:r w:rsidR="00ED3016" w:rsidRPr="006A22D3">
        <w:rPr>
          <w:noProof/>
        </w:rPr>
        <w:t>estorów</w:t>
      </w:r>
      <w:r w:rsidR="006A22D3" w:rsidRPr="006A22D3">
        <w:rPr>
          <w:noProof/>
        </w:rPr>
        <w:t xml:space="preserve"> w tyc</w:t>
      </w:r>
      <w:r w:rsidR="00ED3016" w:rsidRPr="006A22D3">
        <w:rPr>
          <w:noProof/>
        </w:rPr>
        <w:t>h obszarach. Na poziomie unijnym</w:t>
      </w:r>
      <w:r w:rsidR="008067EA" w:rsidRPr="006A22D3">
        <w:rPr>
          <w:rStyle w:val="FootnoteReference"/>
          <w:noProof/>
        </w:rPr>
        <w:footnoteReference w:id="78"/>
      </w:r>
      <w:r w:rsidR="00ED3016" w:rsidRPr="006A22D3">
        <w:rPr>
          <w:noProof/>
        </w:rPr>
        <w:t xml:space="preserve"> oraz krajowym</w:t>
      </w:r>
      <w:r w:rsidR="008067EA" w:rsidRPr="006A22D3">
        <w:rPr>
          <w:rStyle w:val="FootnoteReference"/>
          <w:noProof/>
        </w:rPr>
        <w:footnoteReference w:id="79"/>
      </w:r>
      <w:r w:rsidR="00ED3016" w:rsidRPr="006A22D3">
        <w:rPr>
          <w:noProof/>
        </w:rPr>
        <w:t xml:space="preserve"> istnieje już szereg inicjatyw wspierających przedsiębiorstwa działające na rzecz transformacji zorientowanej na wartości. </w:t>
      </w:r>
    </w:p>
    <w:p w:rsidR="00ED3016" w:rsidRPr="006A22D3" w:rsidRDefault="00D91F29" w:rsidP="00D91F29">
      <w:pPr>
        <w:pStyle w:val="ManualConsidrant"/>
        <w:rPr>
          <w:noProof/>
        </w:rPr>
      </w:pPr>
      <w:r w:rsidRPr="00D91F29">
        <w:t>(5)</w:t>
      </w:r>
      <w:r w:rsidRPr="00D91F29">
        <w:tab/>
      </w:r>
      <w:r w:rsidR="0035509D" w:rsidRPr="006A22D3">
        <w:rPr>
          <w:noProof/>
        </w:rPr>
        <w:t>Istniejące normy międzynarodowe dotyczące odpowiedzialnego prowadzenia działalności gospodarczej stanowią, że przedsiębiorstwa powinny chronić prawa człowieka,</w:t>
      </w:r>
      <w:r w:rsidR="006A22D3" w:rsidRPr="006A22D3">
        <w:rPr>
          <w:noProof/>
        </w:rPr>
        <w:t xml:space="preserve"> i okr</w:t>
      </w:r>
      <w:r w:rsidR="0035509D" w:rsidRPr="006A22D3">
        <w:rPr>
          <w:noProof/>
        </w:rPr>
        <w:t>eślają,</w:t>
      </w:r>
      <w:r w:rsidR="006A22D3" w:rsidRPr="006A22D3">
        <w:rPr>
          <w:noProof/>
        </w:rPr>
        <w:t xml:space="preserve"> w jak</w:t>
      </w:r>
      <w:r w:rsidR="0035509D" w:rsidRPr="006A22D3">
        <w:rPr>
          <w:noProof/>
        </w:rPr>
        <w:t>i sposób przedsiębiorstwa powinny dbać</w:t>
      </w:r>
      <w:r w:rsidR="006A22D3" w:rsidRPr="006A22D3">
        <w:rPr>
          <w:noProof/>
        </w:rPr>
        <w:t xml:space="preserve"> o och</w:t>
      </w:r>
      <w:r w:rsidR="0035509D" w:rsidRPr="006A22D3">
        <w:rPr>
          <w:noProof/>
        </w:rPr>
        <w:t>ronę środowiska we wszystkich swoich działaniach</w:t>
      </w:r>
      <w:r w:rsidR="006A22D3" w:rsidRPr="006A22D3">
        <w:rPr>
          <w:noProof/>
        </w:rPr>
        <w:t xml:space="preserve"> i łań</w:t>
      </w:r>
      <w:r w:rsidR="0035509D" w:rsidRPr="006A22D3">
        <w:rPr>
          <w:noProof/>
        </w:rPr>
        <w:t>cuchach wartości. W Wytycznych ONZ dotyczących biznesu</w:t>
      </w:r>
      <w:r w:rsidR="006A22D3" w:rsidRPr="006A22D3">
        <w:rPr>
          <w:noProof/>
        </w:rPr>
        <w:t xml:space="preserve"> i pra</w:t>
      </w:r>
      <w:r w:rsidR="0035509D" w:rsidRPr="006A22D3">
        <w:rPr>
          <w:noProof/>
        </w:rPr>
        <w:t>w człowieka</w:t>
      </w:r>
      <w:r w:rsidR="00ED3016" w:rsidRPr="006A22D3">
        <w:rPr>
          <w:rStyle w:val="FootnoteReference"/>
          <w:noProof/>
        </w:rPr>
        <w:footnoteReference w:id="80"/>
      </w:r>
      <w:r w:rsidR="0035509D" w:rsidRPr="006A22D3">
        <w:rPr>
          <w:noProof/>
        </w:rPr>
        <w:t xml:space="preserve"> stwierdzono, że przedsiębiorstwa odpowiadają za dochowanie należytej staranności</w:t>
      </w:r>
      <w:r w:rsidR="006A22D3" w:rsidRPr="006A22D3">
        <w:rPr>
          <w:noProof/>
        </w:rPr>
        <w:t xml:space="preserve"> w zak</w:t>
      </w:r>
      <w:r w:rsidR="0035509D" w:rsidRPr="006A22D3">
        <w:rPr>
          <w:noProof/>
        </w:rPr>
        <w:t>resie praw człowieka poprzez identyfikowanie niekorzystnych skutków ich działalności dla praw człowieka, zapobieganie tym skutkom</w:t>
      </w:r>
      <w:r w:rsidR="006A22D3" w:rsidRPr="006A22D3">
        <w:rPr>
          <w:noProof/>
        </w:rPr>
        <w:t xml:space="preserve"> i ich</w:t>
      </w:r>
      <w:r w:rsidR="0035509D" w:rsidRPr="006A22D3">
        <w:rPr>
          <w:noProof/>
        </w:rPr>
        <w:t xml:space="preserve"> łagodzenie oraz poprzez ponoszenia odpowiedzialności za to,</w:t>
      </w:r>
      <w:r w:rsidR="006A22D3" w:rsidRPr="006A22D3">
        <w:rPr>
          <w:noProof/>
        </w:rPr>
        <w:t xml:space="preserve"> w jak</w:t>
      </w:r>
      <w:r w:rsidR="0035509D" w:rsidRPr="006A22D3">
        <w:rPr>
          <w:noProof/>
        </w:rPr>
        <w:t>i sposób reagują na te skutki. Zgodnie</w:t>
      </w:r>
      <w:r w:rsidR="006A22D3" w:rsidRPr="006A22D3">
        <w:rPr>
          <w:noProof/>
        </w:rPr>
        <w:t xml:space="preserve"> z tym</w:t>
      </w:r>
      <w:r w:rsidR="0035509D" w:rsidRPr="006A22D3">
        <w:rPr>
          <w:noProof/>
        </w:rPr>
        <w:t>i wytycznymi przedsiębiorstwa powinny unikać naruszania praw człowieka</w:t>
      </w:r>
      <w:r w:rsidR="006A22D3" w:rsidRPr="006A22D3">
        <w:rPr>
          <w:noProof/>
        </w:rPr>
        <w:t xml:space="preserve"> i rea</w:t>
      </w:r>
      <w:r w:rsidR="0035509D" w:rsidRPr="006A22D3">
        <w:rPr>
          <w:noProof/>
        </w:rPr>
        <w:t>gować na niekorzystne skutki dla praw człowieka, które to skutki te przedsiębiorstwa spowodowały, do których się przyczyniły lub</w:t>
      </w:r>
      <w:r w:rsidR="006A22D3" w:rsidRPr="006A22D3">
        <w:rPr>
          <w:noProof/>
        </w:rPr>
        <w:t xml:space="preserve"> z któ</w:t>
      </w:r>
      <w:r w:rsidR="0035509D" w:rsidRPr="006A22D3">
        <w:rPr>
          <w:noProof/>
        </w:rPr>
        <w:t>rymi są związane</w:t>
      </w:r>
      <w:r w:rsidR="006A22D3" w:rsidRPr="006A22D3">
        <w:rPr>
          <w:noProof/>
        </w:rPr>
        <w:t xml:space="preserve"> w ram</w:t>
      </w:r>
      <w:r w:rsidR="0035509D" w:rsidRPr="006A22D3">
        <w:rPr>
          <w:noProof/>
        </w:rPr>
        <w:t>ach własnej działalności,</w:t>
      </w:r>
      <w:r w:rsidR="006A22D3" w:rsidRPr="006A22D3">
        <w:rPr>
          <w:noProof/>
        </w:rPr>
        <w:t xml:space="preserve"> w jed</w:t>
      </w:r>
      <w:r w:rsidR="0035509D" w:rsidRPr="006A22D3">
        <w:rPr>
          <w:noProof/>
        </w:rPr>
        <w:t>nostkach zależnych oraz za pośrednictwem bezpośrednich</w:t>
      </w:r>
      <w:r w:rsidR="006A22D3" w:rsidRPr="006A22D3">
        <w:rPr>
          <w:noProof/>
        </w:rPr>
        <w:t xml:space="preserve"> i poś</w:t>
      </w:r>
      <w:r w:rsidR="0035509D" w:rsidRPr="006A22D3">
        <w:rPr>
          <w:noProof/>
        </w:rPr>
        <w:t xml:space="preserve">rednich relacji biznesowych. </w:t>
      </w:r>
    </w:p>
    <w:p w:rsidR="00ED3016" w:rsidRPr="006A22D3" w:rsidRDefault="00D91F29" w:rsidP="00D91F29">
      <w:pPr>
        <w:pStyle w:val="ManualConsidrant"/>
        <w:rPr>
          <w:noProof/>
        </w:rPr>
      </w:pPr>
      <w:r w:rsidRPr="00D91F29">
        <w:t>(6)</w:t>
      </w:r>
      <w:r w:rsidRPr="00D91F29">
        <w:tab/>
      </w:r>
      <w:r w:rsidR="00ED3016" w:rsidRPr="006A22D3">
        <w:rPr>
          <w:noProof/>
        </w:rPr>
        <w:t>Koncepcję należytej staranności</w:t>
      </w:r>
      <w:r w:rsidR="006A22D3" w:rsidRPr="006A22D3">
        <w:rPr>
          <w:noProof/>
        </w:rPr>
        <w:t xml:space="preserve"> w zak</w:t>
      </w:r>
      <w:r w:rsidR="00ED3016" w:rsidRPr="006A22D3">
        <w:rPr>
          <w:noProof/>
        </w:rPr>
        <w:t>resie praw człowieka sprecyzowano</w:t>
      </w:r>
      <w:r w:rsidR="006A22D3" w:rsidRPr="006A22D3">
        <w:rPr>
          <w:noProof/>
        </w:rPr>
        <w:t xml:space="preserve"> i roz</w:t>
      </w:r>
      <w:r w:rsidR="00ED3016" w:rsidRPr="006A22D3">
        <w:rPr>
          <w:noProof/>
        </w:rPr>
        <w:t>winięto</w:t>
      </w:r>
      <w:r w:rsidR="006A22D3" w:rsidRPr="006A22D3">
        <w:rPr>
          <w:noProof/>
        </w:rPr>
        <w:t xml:space="preserve"> w Wyt</w:t>
      </w:r>
      <w:r w:rsidR="00ED3016" w:rsidRPr="006A22D3">
        <w:rPr>
          <w:noProof/>
        </w:rPr>
        <w:t>ycznych OECD dla przedsiębiorstw wielonarodowych</w:t>
      </w:r>
      <w:r w:rsidR="005731C2" w:rsidRPr="006A22D3">
        <w:rPr>
          <w:rStyle w:val="FootnoteReference"/>
          <w:noProof/>
        </w:rPr>
        <w:footnoteReference w:id="81"/>
      </w:r>
      <w:r w:rsidR="00ED3016" w:rsidRPr="006A22D3">
        <w:rPr>
          <w:noProof/>
        </w:rPr>
        <w:t>,</w:t>
      </w:r>
      <w:r w:rsidR="006A22D3" w:rsidRPr="006A22D3">
        <w:rPr>
          <w:noProof/>
        </w:rPr>
        <w:t xml:space="preserve"> w któ</w:t>
      </w:r>
      <w:r w:rsidR="00ED3016" w:rsidRPr="006A22D3">
        <w:rPr>
          <w:noProof/>
        </w:rPr>
        <w:t>rych rozszerzono stosowanie zasad należytej staranności na kwestie związane ze środowiskiem</w:t>
      </w:r>
      <w:r w:rsidR="006A22D3" w:rsidRPr="006A22D3">
        <w:rPr>
          <w:noProof/>
        </w:rPr>
        <w:t xml:space="preserve"> i spr</w:t>
      </w:r>
      <w:r w:rsidR="00ED3016" w:rsidRPr="006A22D3">
        <w:rPr>
          <w:noProof/>
        </w:rPr>
        <w:t>awowaniem rządów. Wytyczne OECD dotyczące odpowiedzialnego prowadzenia działalności gospodarczej oraz wytyczne sektorowe</w:t>
      </w:r>
      <w:r w:rsidR="001A7911" w:rsidRPr="006A22D3">
        <w:rPr>
          <w:rStyle w:val="FootnoteReference"/>
          <w:noProof/>
        </w:rPr>
        <w:footnoteReference w:id="82"/>
      </w:r>
      <w:r w:rsidR="00ED3016" w:rsidRPr="006A22D3">
        <w:rPr>
          <w:noProof/>
        </w:rPr>
        <w:t xml:space="preserve"> stanowią uznane na arenie międzynarodowej ramy określające praktyczne kroki</w:t>
      </w:r>
      <w:r w:rsidR="006A22D3" w:rsidRPr="006A22D3">
        <w:rPr>
          <w:noProof/>
        </w:rPr>
        <w:t xml:space="preserve"> w zak</w:t>
      </w:r>
      <w:r w:rsidR="00ED3016" w:rsidRPr="006A22D3">
        <w:rPr>
          <w:noProof/>
        </w:rPr>
        <w:t>resie należytej staranności, które mają pomóc przedsiębiorstwom</w:t>
      </w:r>
      <w:r w:rsidR="006A22D3" w:rsidRPr="006A22D3">
        <w:rPr>
          <w:noProof/>
        </w:rPr>
        <w:t xml:space="preserve"> w ide</w:t>
      </w:r>
      <w:r w:rsidR="00ED3016" w:rsidRPr="006A22D3">
        <w:rPr>
          <w:noProof/>
        </w:rPr>
        <w:t>ntyfikowaniu rzeczywistych</w:t>
      </w:r>
      <w:r w:rsidR="006A22D3" w:rsidRPr="006A22D3">
        <w:rPr>
          <w:noProof/>
        </w:rPr>
        <w:t xml:space="preserve"> i pot</w:t>
      </w:r>
      <w:r w:rsidR="00ED3016" w:rsidRPr="006A22D3">
        <w:rPr>
          <w:noProof/>
        </w:rPr>
        <w:t>encjalnych skutków</w:t>
      </w:r>
      <w:r w:rsidR="006A22D3" w:rsidRPr="006A22D3">
        <w:rPr>
          <w:noProof/>
        </w:rPr>
        <w:t xml:space="preserve"> w ram</w:t>
      </w:r>
      <w:r w:rsidR="00ED3016" w:rsidRPr="006A22D3">
        <w:rPr>
          <w:noProof/>
        </w:rPr>
        <w:t>ach swoich działań, łańcuchów wartości</w:t>
      </w:r>
      <w:r w:rsidR="006A22D3" w:rsidRPr="006A22D3">
        <w:rPr>
          <w:noProof/>
        </w:rPr>
        <w:t xml:space="preserve"> i inn</w:t>
      </w:r>
      <w:r w:rsidR="00ED3016" w:rsidRPr="006A22D3">
        <w:rPr>
          <w:noProof/>
        </w:rPr>
        <w:t>ych relacji biznesowych, zapobieganiu tym skutkom, łagodzeniu ich</w:t>
      </w:r>
      <w:r w:rsidR="006A22D3" w:rsidRPr="006A22D3">
        <w:rPr>
          <w:noProof/>
        </w:rPr>
        <w:t xml:space="preserve"> i roz</w:t>
      </w:r>
      <w:r w:rsidR="00ED3016" w:rsidRPr="006A22D3">
        <w:rPr>
          <w:noProof/>
        </w:rPr>
        <w:t>liczaniu się</w:t>
      </w:r>
      <w:r w:rsidR="006A22D3" w:rsidRPr="006A22D3">
        <w:rPr>
          <w:noProof/>
        </w:rPr>
        <w:t xml:space="preserve"> z teg</w:t>
      </w:r>
      <w:r w:rsidR="00ED3016" w:rsidRPr="006A22D3">
        <w:rPr>
          <w:noProof/>
        </w:rPr>
        <w:t>o, jak na te skutki reagują. Koncepcja należytej staranności stanowi również integralną część zaleceń zawartych</w:t>
      </w:r>
      <w:r w:rsidR="006A22D3" w:rsidRPr="006A22D3">
        <w:rPr>
          <w:noProof/>
        </w:rPr>
        <w:t xml:space="preserve"> w Tró</w:t>
      </w:r>
      <w:r w:rsidR="00ED3016" w:rsidRPr="006A22D3">
        <w:rPr>
          <w:noProof/>
        </w:rPr>
        <w:t>jstronnej deklaracji zasad dotyczących przedsiębiorstw wielonarodowych</w:t>
      </w:r>
      <w:r w:rsidR="006A22D3" w:rsidRPr="006A22D3">
        <w:rPr>
          <w:noProof/>
        </w:rPr>
        <w:t xml:space="preserve"> i pol</w:t>
      </w:r>
      <w:r w:rsidR="00ED3016" w:rsidRPr="006A22D3">
        <w:rPr>
          <w:noProof/>
        </w:rPr>
        <w:t>ityki społecznej przyjętej przez Międzynarodową Organizację Pracy</w:t>
      </w:r>
      <w:r w:rsidR="00ED3016" w:rsidRPr="006A22D3">
        <w:rPr>
          <w:rStyle w:val="FootnoteReference"/>
          <w:noProof/>
        </w:rPr>
        <w:footnoteReference w:id="83"/>
      </w:r>
      <w:r w:rsidR="00ED3016" w:rsidRPr="006A22D3">
        <w:rPr>
          <w:noProof/>
        </w:rPr>
        <w:t xml:space="preserve">. </w:t>
      </w:r>
    </w:p>
    <w:p w:rsidR="007771D1" w:rsidRPr="006A22D3" w:rsidRDefault="00D91F29" w:rsidP="00D91F29">
      <w:pPr>
        <w:pStyle w:val="ManualConsidrant"/>
        <w:rPr>
          <w:noProof/>
        </w:rPr>
      </w:pPr>
      <w:r w:rsidRPr="00D91F29">
        <w:t>(7)</w:t>
      </w:r>
      <w:r w:rsidRPr="00D91F29">
        <w:tab/>
      </w:r>
      <w:r w:rsidR="00ED3016" w:rsidRPr="006A22D3">
        <w:rPr>
          <w:noProof/>
        </w:rPr>
        <w:t>Cele ONZ</w:t>
      </w:r>
      <w:r w:rsidR="006A22D3" w:rsidRPr="006A22D3">
        <w:rPr>
          <w:noProof/>
        </w:rPr>
        <w:t xml:space="preserve"> w zak</w:t>
      </w:r>
      <w:r w:rsidR="00ED3016" w:rsidRPr="006A22D3">
        <w:rPr>
          <w:noProof/>
        </w:rPr>
        <w:t>resie zrównoważonego rozwoju</w:t>
      </w:r>
      <w:r w:rsidR="00ED3016" w:rsidRPr="006A22D3">
        <w:rPr>
          <w:rStyle w:val="FootnoteReference"/>
          <w:noProof/>
        </w:rPr>
        <w:footnoteReference w:id="84"/>
      </w:r>
      <w:r w:rsidR="00ED3016" w:rsidRPr="006A22D3">
        <w:rPr>
          <w:noProof/>
        </w:rPr>
        <w:t>, przyjęte</w:t>
      </w:r>
      <w:r w:rsidR="006A22D3" w:rsidRPr="006A22D3">
        <w:rPr>
          <w:noProof/>
        </w:rPr>
        <w:t xml:space="preserve"> w 2</w:t>
      </w:r>
      <w:r w:rsidR="00ED3016" w:rsidRPr="006A22D3">
        <w:rPr>
          <w:noProof/>
        </w:rPr>
        <w:t>015</w:t>
      </w:r>
      <w:r w:rsidR="00192E90" w:rsidRPr="006A22D3">
        <w:rPr>
          <w:noProof/>
        </w:rPr>
        <w:t> </w:t>
      </w:r>
      <w:r w:rsidR="00ED3016" w:rsidRPr="006A22D3">
        <w:rPr>
          <w:noProof/>
        </w:rPr>
        <w:t>r. przez wszystkie państwa członkowskie Organizacji Narodów Zjednoczonych, obejmują cele służące osiągnięciu trwałego, inkluzywnego</w:t>
      </w:r>
      <w:r w:rsidR="006A22D3" w:rsidRPr="006A22D3">
        <w:rPr>
          <w:noProof/>
        </w:rPr>
        <w:t xml:space="preserve"> i zró</w:t>
      </w:r>
      <w:r w:rsidR="00ED3016" w:rsidRPr="006A22D3">
        <w:rPr>
          <w:noProof/>
        </w:rPr>
        <w:t>wnoważonego wzrostu gospodarczego. Unia zobowiązała się do realizacji celów ONZ</w:t>
      </w:r>
      <w:r w:rsidR="006A22D3" w:rsidRPr="006A22D3">
        <w:rPr>
          <w:noProof/>
        </w:rPr>
        <w:t xml:space="preserve"> w zak</w:t>
      </w:r>
      <w:r w:rsidR="00ED3016" w:rsidRPr="006A22D3">
        <w:rPr>
          <w:noProof/>
        </w:rPr>
        <w:t xml:space="preserve">resie zrównoważonego rozwoju. Sektor prywatny przyczynia się do realizacji tych celów. </w:t>
      </w:r>
    </w:p>
    <w:p w:rsidR="00C75A72" w:rsidRPr="006A22D3" w:rsidRDefault="00D91F29" w:rsidP="00D91F29">
      <w:pPr>
        <w:pStyle w:val="ManualConsidrant"/>
        <w:rPr>
          <w:noProof/>
        </w:rPr>
      </w:pPr>
      <w:r w:rsidRPr="00D91F29">
        <w:t>(8)</w:t>
      </w:r>
      <w:r w:rsidRPr="00D91F29">
        <w:tab/>
      </w:r>
      <w:r w:rsidR="00C75A72" w:rsidRPr="006A22D3">
        <w:rPr>
          <w:noProof/>
        </w:rPr>
        <w:t>W porozumieniach międzynarodowych zawartych na podstawie Ramowej konwencji Narodów Zjednoczonych</w:t>
      </w:r>
      <w:r w:rsidR="006A22D3" w:rsidRPr="006A22D3">
        <w:rPr>
          <w:noProof/>
        </w:rPr>
        <w:t xml:space="preserve"> w spr</w:t>
      </w:r>
      <w:r w:rsidR="00C75A72" w:rsidRPr="006A22D3">
        <w:rPr>
          <w:noProof/>
        </w:rPr>
        <w:t>awie zmian klimatu, których Unia</w:t>
      </w:r>
      <w:r w:rsidR="006A22D3" w:rsidRPr="006A22D3">
        <w:rPr>
          <w:noProof/>
        </w:rPr>
        <w:t xml:space="preserve"> i pań</w:t>
      </w:r>
      <w:r w:rsidR="00C75A72" w:rsidRPr="006A22D3">
        <w:rPr>
          <w:noProof/>
        </w:rPr>
        <w:t>stwa członkowskie są stronami, takich jak porozumienie paryskie</w:t>
      </w:r>
      <w:r w:rsidR="005940D3" w:rsidRPr="006A22D3">
        <w:rPr>
          <w:rStyle w:val="FootnoteReference"/>
          <w:noProof/>
        </w:rPr>
        <w:footnoteReference w:id="85"/>
      </w:r>
      <w:r w:rsidR="006A22D3" w:rsidRPr="006A22D3">
        <w:rPr>
          <w:noProof/>
        </w:rPr>
        <w:t xml:space="preserve"> i nie</w:t>
      </w:r>
      <w:r w:rsidR="00C75A72" w:rsidRPr="006A22D3">
        <w:rPr>
          <w:noProof/>
        </w:rPr>
        <w:t>dawny pakt klimatyczny</w:t>
      </w:r>
      <w:r w:rsidR="006A22D3" w:rsidRPr="006A22D3">
        <w:rPr>
          <w:noProof/>
        </w:rPr>
        <w:t xml:space="preserve"> z Gla</w:t>
      </w:r>
      <w:r w:rsidR="00C75A72" w:rsidRPr="006A22D3">
        <w:rPr>
          <w:noProof/>
        </w:rPr>
        <w:t>sgow</w:t>
      </w:r>
      <w:r w:rsidR="00CC7E70" w:rsidRPr="006A22D3">
        <w:rPr>
          <w:rStyle w:val="FootnoteReference"/>
          <w:noProof/>
        </w:rPr>
        <w:footnoteReference w:id="86"/>
      </w:r>
      <w:r w:rsidR="00C75A72" w:rsidRPr="006A22D3">
        <w:rPr>
          <w:noProof/>
        </w:rPr>
        <w:t>, wskazano konkretne sposoby przeciwdziałania zmianie klimatu</w:t>
      </w:r>
      <w:r w:rsidR="006A22D3" w:rsidRPr="006A22D3">
        <w:rPr>
          <w:noProof/>
        </w:rPr>
        <w:t xml:space="preserve"> i utr</w:t>
      </w:r>
      <w:r w:rsidR="00C75A72" w:rsidRPr="006A22D3">
        <w:rPr>
          <w:noProof/>
        </w:rPr>
        <w:t>zymania globalnego ocieplenia na poziomie 1,5 stopnia Celsjusza. Oprócz konkretnych działań, których podjęcia oczekuje się od wszystkich sygnatariuszy, za kluczową dla osiągnięcia tych celów postrzega się rolę sektora prywatnego,</w:t>
      </w:r>
      <w:r w:rsidR="006A22D3" w:rsidRPr="006A22D3">
        <w:rPr>
          <w:noProof/>
        </w:rPr>
        <w:t xml:space="preserve"> w szc</w:t>
      </w:r>
      <w:r w:rsidR="00C75A72" w:rsidRPr="006A22D3">
        <w:rPr>
          <w:noProof/>
        </w:rPr>
        <w:t>zególności jego strategie inwestycyjne.</w:t>
      </w:r>
    </w:p>
    <w:p w:rsidR="00ED3016" w:rsidRPr="006A22D3" w:rsidRDefault="00D91F29" w:rsidP="00D91F29">
      <w:pPr>
        <w:pStyle w:val="ManualConsidrant"/>
        <w:rPr>
          <w:noProof/>
        </w:rPr>
      </w:pPr>
      <w:r w:rsidRPr="00D91F29">
        <w:t>(9)</w:t>
      </w:r>
      <w:r w:rsidRPr="00D91F29">
        <w:tab/>
      </w:r>
      <w:r w:rsidR="00ED3016" w:rsidRPr="006A22D3">
        <w:rPr>
          <w:noProof/>
        </w:rPr>
        <w:t>W Europejskim prawie</w:t>
      </w:r>
      <w:r w:rsidR="006A22D3" w:rsidRPr="006A22D3">
        <w:rPr>
          <w:noProof/>
        </w:rPr>
        <w:t xml:space="preserve"> o kli</w:t>
      </w:r>
      <w:r w:rsidR="00ED3016" w:rsidRPr="006A22D3">
        <w:rPr>
          <w:noProof/>
        </w:rPr>
        <w:t>macie</w:t>
      </w:r>
      <w:r w:rsidR="00ED3016" w:rsidRPr="006A22D3">
        <w:rPr>
          <w:rStyle w:val="FootnoteReference"/>
          <w:noProof/>
        </w:rPr>
        <w:footnoteReference w:id="87"/>
      </w:r>
      <w:r w:rsidR="00ED3016" w:rsidRPr="006A22D3">
        <w:rPr>
          <w:noProof/>
        </w:rPr>
        <w:t xml:space="preserve"> Unia zobowiązała się prawnie również do osiągnięcia neutralności klimatycznej do</w:t>
      </w:r>
      <w:r w:rsidR="00192E90" w:rsidRPr="006A22D3">
        <w:rPr>
          <w:noProof/>
        </w:rPr>
        <w:t> </w:t>
      </w:r>
      <w:r w:rsidR="00ED3016" w:rsidRPr="006A22D3">
        <w:rPr>
          <w:noProof/>
        </w:rPr>
        <w:t>2050</w:t>
      </w:r>
      <w:r w:rsidR="00192E90" w:rsidRPr="006A22D3">
        <w:rPr>
          <w:noProof/>
        </w:rPr>
        <w:t> </w:t>
      </w:r>
      <w:r w:rsidR="00ED3016" w:rsidRPr="006A22D3">
        <w:rPr>
          <w:noProof/>
        </w:rPr>
        <w:t>r. oraz do zredukowania emisji o co najmniej 55</w:t>
      </w:r>
      <w:r w:rsidR="00192E90" w:rsidRPr="006A22D3">
        <w:rPr>
          <w:noProof/>
        </w:rPr>
        <w:t> </w:t>
      </w:r>
      <w:r w:rsidR="00ED3016" w:rsidRPr="006A22D3">
        <w:rPr>
          <w:noProof/>
        </w:rPr>
        <w:t>% do</w:t>
      </w:r>
      <w:r w:rsidR="00192E90" w:rsidRPr="006A22D3">
        <w:rPr>
          <w:noProof/>
        </w:rPr>
        <w:t> </w:t>
      </w:r>
      <w:r w:rsidR="00ED3016" w:rsidRPr="006A22D3">
        <w:rPr>
          <w:noProof/>
        </w:rPr>
        <w:t>2030</w:t>
      </w:r>
      <w:r w:rsidR="00192E90" w:rsidRPr="006A22D3">
        <w:rPr>
          <w:noProof/>
        </w:rPr>
        <w:t> </w:t>
      </w:r>
      <w:r w:rsidR="00ED3016" w:rsidRPr="006A22D3">
        <w:rPr>
          <w:noProof/>
        </w:rPr>
        <w:t>r. Oba te zobowiązania wymagają zmiany sposobu,</w:t>
      </w:r>
      <w:r w:rsidR="006A22D3" w:rsidRPr="006A22D3">
        <w:rPr>
          <w:noProof/>
        </w:rPr>
        <w:t xml:space="preserve"> w jak</w:t>
      </w:r>
      <w:r w:rsidR="00ED3016" w:rsidRPr="006A22D3">
        <w:rPr>
          <w:noProof/>
        </w:rPr>
        <w:t>i przedsiębiorstwa prowadzą produkcję</w:t>
      </w:r>
      <w:r w:rsidR="006A22D3" w:rsidRPr="006A22D3">
        <w:rPr>
          <w:noProof/>
        </w:rPr>
        <w:t xml:space="preserve"> i zao</w:t>
      </w:r>
      <w:r w:rsidR="00ED3016" w:rsidRPr="006A22D3">
        <w:rPr>
          <w:noProof/>
        </w:rPr>
        <w:t>patrują się</w:t>
      </w:r>
      <w:r w:rsidR="006A22D3" w:rsidRPr="006A22D3">
        <w:rPr>
          <w:noProof/>
        </w:rPr>
        <w:t>. W prz</w:t>
      </w:r>
      <w:r w:rsidR="00ED3016" w:rsidRPr="006A22D3">
        <w:rPr>
          <w:noProof/>
        </w:rPr>
        <w:t>ygotowanym przez Komisję Planie</w:t>
      </w:r>
      <w:r w:rsidR="006A22D3" w:rsidRPr="006A22D3">
        <w:rPr>
          <w:noProof/>
        </w:rPr>
        <w:t xml:space="preserve"> w zak</w:t>
      </w:r>
      <w:r w:rsidR="00ED3016" w:rsidRPr="006A22D3">
        <w:rPr>
          <w:noProof/>
        </w:rPr>
        <w:t>resie celów klimatycznych na</w:t>
      </w:r>
      <w:r w:rsidR="00192E90" w:rsidRPr="006A22D3">
        <w:rPr>
          <w:noProof/>
        </w:rPr>
        <w:t> </w:t>
      </w:r>
      <w:r w:rsidR="00ED3016" w:rsidRPr="006A22D3">
        <w:rPr>
          <w:noProof/>
        </w:rPr>
        <w:t>2030</w:t>
      </w:r>
      <w:r w:rsidR="00192E90" w:rsidRPr="006A22D3">
        <w:rPr>
          <w:noProof/>
        </w:rPr>
        <w:t> </w:t>
      </w:r>
      <w:r w:rsidR="00ED3016" w:rsidRPr="006A22D3">
        <w:rPr>
          <w:noProof/>
        </w:rPr>
        <w:t>r.</w:t>
      </w:r>
      <w:r w:rsidR="000035CB" w:rsidRPr="006A22D3">
        <w:rPr>
          <w:rStyle w:val="FootnoteReference"/>
          <w:noProof/>
        </w:rPr>
        <w:footnoteReference w:id="88"/>
      </w:r>
      <w:r w:rsidR="00ED3016" w:rsidRPr="006A22D3">
        <w:rPr>
          <w:noProof/>
        </w:rPr>
        <w:t xml:space="preserve"> przedstawiono modele obejmujące różne poziomy redukcji emisji wymagane</w:t>
      </w:r>
      <w:r w:rsidR="006A22D3" w:rsidRPr="006A22D3">
        <w:rPr>
          <w:noProof/>
        </w:rPr>
        <w:t xml:space="preserve"> w róż</w:t>
      </w:r>
      <w:r w:rsidR="00ED3016" w:rsidRPr="006A22D3">
        <w:rPr>
          <w:noProof/>
        </w:rPr>
        <w:t>nych sektorach gospodarki – chociaż we wszystkich scenariuszach należy dokonać znacznych redukcji we wszystkich sektorach, jeżeli Unia ma osiągnąć swoje cele klimatyczne</w:t>
      </w:r>
      <w:r w:rsidR="006A22D3" w:rsidRPr="006A22D3">
        <w:rPr>
          <w:noProof/>
        </w:rPr>
        <w:t>. W pla</w:t>
      </w:r>
      <w:r w:rsidR="00ED3016" w:rsidRPr="006A22D3">
        <w:rPr>
          <w:noProof/>
        </w:rPr>
        <w:t>nie podkreślono również, że „zmiany</w:t>
      </w:r>
      <w:r w:rsidR="006A22D3" w:rsidRPr="006A22D3">
        <w:rPr>
          <w:noProof/>
        </w:rPr>
        <w:t xml:space="preserve"> w zas</w:t>
      </w:r>
      <w:r w:rsidR="00ED3016" w:rsidRPr="006A22D3">
        <w:rPr>
          <w:noProof/>
        </w:rPr>
        <w:t>adach</w:t>
      </w:r>
      <w:r w:rsidR="006A22D3" w:rsidRPr="006A22D3">
        <w:rPr>
          <w:noProof/>
        </w:rPr>
        <w:t xml:space="preserve"> i pra</w:t>
      </w:r>
      <w:r w:rsidR="00ED3016" w:rsidRPr="006A22D3">
        <w:rPr>
          <w:noProof/>
        </w:rPr>
        <w:t>ktykach ładu korporacyjnego,</w:t>
      </w:r>
      <w:r w:rsidR="006A22D3" w:rsidRPr="006A22D3">
        <w:rPr>
          <w:noProof/>
        </w:rPr>
        <w:t xml:space="preserve"> w tym w zak</w:t>
      </w:r>
      <w:r w:rsidR="00ED3016" w:rsidRPr="006A22D3">
        <w:rPr>
          <w:noProof/>
        </w:rPr>
        <w:t>resie zrównoważonych finansów, sprawią, że właściciele</w:t>
      </w:r>
      <w:r w:rsidR="006A22D3" w:rsidRPr="006A22D3">
        <w:rPr>
          <w:noProof/>
        </w:rPr>
        <w:t xml:space="preserve"> i kie</w:t>
      </w:r>
      <w:r w:rsidR="00ED3016" w:rsidRPr="006A22D3">
        <w:rPr>
          <w:noProof/>
        </w:rPr>
        <w:t>rownicy przedsiębiorstw będą</w:t>
      </w:r>
      <w:r w:rsidR="006A22D3" w:rsidRPr="006A22D3">
        <w:rPr>
          <w:noProof/>
        </w:rPr>
        <w:t xml:space="preserve"> w swo</w:t>
      </w:r>
      <w:r w:rsidR="00ED3016" w:rsidRPr="006A22D3">
        <w:rPr>
          <w:noProof/>
        </w:rPr>
        <w:t>ich działaniach</w:t>
      </w:r>
      <w:r w:rsidR="006A22D3" w:rsidRPr="006A22D3">
        <w:rPr>
          <w:noProof/>
        </w:rPr>
        <w:t xml:space="preserve"> i str</w:t>
      </w:r>
      <w:r w:rsidR="00ED3016" w:rsidRPr="006A22D3">
        <w:rPr>
          <w:noProof/>
        </w:rPr>
        <w:t>ategiach nadawać priorytetowe znaczenie celom</w:t>
      </w:r>
      <w:r w:rsidR="006A22D3" w:rsidRPr="006A22D3">
        <w:rPr>
          <w:noProof/>
        </w:rPr>
        <w:t xml:space="preserve"> w zak</w:t>
      </w:r>
      <w:r w:rsidR="00ED3016" w:rsidRPr="006A22D3">
        <w:rPr>
          <w:noProof/>
        </w:rPr>
        <w:t>resie zrównoważonego rozwoju”</w:t>
      </w:r>
      <w:r w:rsidR="006A22D3" w:rsidRPr="006A22D3">
        <w:rPr>
          <w:noProof/>
        </w:rPr>
        <w:t>. W kom</w:t>
      </w:r>
      <w:r w:rsidR="00ED3016" w:rsidRPr="006A22D3">
        <w:rPr>
          <w:noProof/>
        </w:rPr>
        <w:t>unikacie</w:t>
      </w:r>
      <w:r w:rsidR="006A22D3" w:rsidRPr="006A22D3">
        <w:rPr>
          <w:noProof/>
        </w:rPr>
        <w:t xml:space="preserve"> z 2</w:t>
      </w:r>
      <w:r w:rsidR="00ED3016" w:rsidRPr="006A22D3">
        <w:rPr>
          <w:noProof/>
        </w:rPr>
        <w:t>019</w:t>
      </w:r>
      <w:r w:rsidR="00192E90" w:rsidRPr="006A22D3">
        <w:rPr>
          <w:noProof/>
        </w:rPr>
        <w:t> </w:t>
      </w:r>
      <w:r w:rsidR="00ED3016" w:rsidRPr="006A22D3">
        <w:rPr>
          <w:noProof/>
        </w:rPr>
        <w:t>r.</w:t>
      </w:r>
      <w:r w:rsidR="006A22D3" w:rsidRPr="006A22D3">
        <w:rPr>
          <w:noProof/>
        </w:rPr>
        <w:t xml:space="preserve"> w spr</w:t>
      </w:r>
      <w:r w:rsidR="00ED3016" w:rsidRPr="006A22D3">
        <w:rPr>
          <w:noProof/>
        </w:rPr>
        <w:t>awie Europejskiego Zielonego Ładu</w:t>
      </w:r>
      <w:r w:rsidR="00ED3016" w:rsidRPr="006A22D3">
        <w:rPr>
          <w:rStyle w:val="FootnoteReference"/>
          <w:noProof/>
        </w:rPr>
        <w:footnoteReference w:id="89"/>
      </w:r>
      <w:r w:rsidR="00ED3016" w:rsidRPr="006A22D3">
        <w:rPr>
          <w:noProof/>
        </w:rPr>
        <w:t xml:space="preserve"> określono, że wszystkie działania</w:t>
      </w:r>
      <w:r w:rsidR="006A22D3" w:rsidRPr="006A22D3">
        <w:rPr>
          <w:noProof/>
        </w:rPr>
        <w:t xml:space="preserve"> i pol</w:t>
      </w:r>
      <w:r w:rsidR="00ED3016" w:rsidRPr="006A22D3">
        <w:rPr>
          <w:noProof/>
        </w:rPr>
        <w:t>ityki UE powinny zostać połączone, aby pomóc Unii</w:t>
      </w:r>
      <w:r w:rsidR="006A22D3" w:rsidRPr="006A22D3">
        <w:rPr>
          <w:noProof/>
        </w:rPr>
        <w:t xml:space="preserve"> w osi</w:t>
      </w:r>
      <w:r w:rsidR="00ED3016" w:rsidRPr="006A22D3">
        <w:rPr>
          <w:noProof/>
        </w:rPr>
        <w:t>ągnięciu pomyślnej</w:t>
      </w:r>
      <w:r w:rsidR="006A22D3" w:rsidRPr="006A22D3">
        <w:rPr>
          <w:noProof/>
        </w:rPr>
        <w:t xml:space="preserve"> i spr</w:t>
      </w:r>
      <w:r w:rsidR="00ED3016" w:rsidRPr="006A22D3">
        <w:rPr>
          <w:noProof/>
        </w:rPr>
        <w:t>awiedliwej transformacji ku zrównoważonej przyszłości. Określono</w:t>
      </w:r>
      <w:r w:rsidR="006A22D3" w:rsidRPr="006A22D3">
        <w:rPr>
          <w:noProof/>
        </w:rPr>
        <w:t xml:space="preserve"> w nim</w:t>
      </w:r>
      <w:r w:rsidR="00ED3016" w:rsidRPr="006A22D3">
        <w:rPr>
          <w:noProof/>
        </w:rPr>
        <w:t xml:space="preserve"> również, że ramy ładu korporacyjnego powinny</w:t>
      </w:r>
      <w:r w:rsidR="006A22D3" w:rsidRPr="006A22D3">
        <w:rPr>
          <w:noProof/>
        </w:rPr>
        <w:t xml:space="preserve"> w wię</w:t>
      </w:r>
      <w:r w:rsidR="00ED3016" w:rsidRPr="006A22D3">
        <w:rPr>
          <w:noProof/>
        </w:rPr>
        <w:t xml:space="preserve">kszym stopniu uwzględniać zrównoważony charakter działalności. </w:t>
      </w:r>
    </w:p>
    <w:p w:rsidR="00C75A72" w:rsidRPr="006A22D3" w:rsidRDefault="00D91F29" w:rsidP="00D91F29">
      <w:pPr>
        <w:pStyle w:val="ManualConsidrant"/>
        <w:rPr>
          <w:noProof/>
        </w:rPr>
      </w:pPr>
      <w:r w:rsidRPr="00D91F29">
        <w:t>(10)</w:t>
      </w:r>
      <w:r w:rsidRPr="00D91F29">
        <w:tab/>
      </w:r>
      <w:r w:rsidR="00E14092" w:rsidRPr="006A22D3">
        <w:rPr>
          <w:noProof/>
        </w:rPr>
        <w:t>Zgodnie</w:t>
      </w:r>
      <w:r w:rsidR="006A22D3" w:rsidRPr="006A22D3">
        <w:rPr>
          <w:noProof/>
        </w:rPr>
        <w:t xml:space="preserve"> z kom</w:t>
      </w:r>
      <w:r w:rsidR="00E14092" w:rsidRPr="006A22D3">
        <w:rPr>
          <w:noProof/>
        </w:rPr>
        <w:t>unikatem Komisji</w:t>
      </w:r>
      <w:r w:rsidR="006A22D3" w:rsidRPr="006A22D3">
        <w:rPr>
          <w:noProof/>
        </w:rPr>
        <w:t xml:space="preserve"> w spr</w:t>
      </w:r>
      <w:r w:rsidR="00E14092" w:rsidRPr="006A22D3">
        <w:rPr>
          <w:noProof/>
        </w:rPr>
        <w:t>awie budowy Europy odpornej na zmianę klimatu</w:t>
      </w:r>
      <w:r w:rsidR="0016037D" w:rsidRPr="006A22D3">
        <w:rPr>
          <w:rStyle w:val="FootnoteReference"/>
          <w:noProof/>
        </w:rPr>
        <w:footnoteReference w:id="90"/>
      </w:r>
      <w:r w:rsidR="00E14092" w:rsidRPr="006A22D3">
        <w:rPr>
          <w:noProof/>
        </w:rPr>
        <w:t>,</w:t>
      </w:r>
      <w:r w:rsidR="006A22D3" w:rsidRPr="006A22D3">
        <w:rPr>
          <w:noProof/>
        </w:rPr>
        <w:t xml:space="preserve"> w któ</w:t>
      </w:r>
      <w:r w:rsidR="00E14092" w:rsidRPr="006A22D3">
        <w:rPr>
          <w:noProof/>
        </w:rPr>
        <w:t>rym przedstawiono unijną strategię przystosowania się do zmiany klimatu, nowe inwestycje</w:t>
      </w:r>
      <w:r w:rsidR="006A22D3" w:rsidRPr="006A22D3">
        <w:rPr>
          <w:noProof/>
        </w:rPr>
        <w:t xml:space="preserve"> i dec</w:t>
      </w:r>
      <w:r w:rsidR="00E14092" w:rsidRPr="006A22D3">
        <w:rPr>
          <w:noProof/>
        </w:rPr>
        <w:t>yzje polityczne powinny być podejmowane</w:t>
      </w:r>
      <w:r w:rsidR="006A22D3" w:rsidRPr="006A22D3">
        <w:rPr>
          <w:noProof/>
        </w:rPr>
        <w:t xml:space="preserve"> z uwz</w:t>
      </w:r>
      <w:r w:rsidR="00E14092" w:rsidRPr="006A22D3">
        <w:rPr>
          <w:noProof/>
        </w:rPr>
        <w:t>ględnieniem kwestii klimatu</w:t>
      </w:r>
      <w:r w:rsidR="006A22D3" w:rsidRPr="006A22D3">
        <w:rPr>
          <w:noProof/>
        </w:rPr>
        <w:t xml:space="preserve"> i dos</w:t>
      </w:r>
      <w:r w:rsidR="00E14092" w:rsidRPr="006A22D3">
        <w:rPr>
          <w:noProof/>
        </w:rPr>
        <w:t>tosowane do przyszłych wyzwań, także</w:t>
      </w:r>
      <w:r w:rsidR="006A22D3" w:rsidRPr="006A22D3">
        <w:rPr>
          <w:noProof/>
        </w:rPr>
        <w:t xml:space="preserve"> w prz</w:t>
      </w:r>
      <w:r w:rsidR="00E14092" w:rsidRPr="006A22D3">
        <w:rPr>
          <w:noProof/>
        </w:rPr>
        <w:t>ypadku większych przedsiębiorstw zarządzających łańcuchami wartości. Niniejsza dyrektywa powinna być spójna z tą strategią. Należy również zapewnić spójność</w:t>
      </w:r>
      <w:r w:rsidR="006A22D3" w:rsidRPr="006A22D3">
        <w:rPr>
          <w:noProof/>
        </w:rPr>
        <w:t xml:space="preserve"> z dyr</w:t>
      </w:r>
      <w:r w:rsidR="00E14092" w:rsidRPr="006A22D3">
        <w:rPr>
          <w:noProof/>
        </w:rPr>
        <w:t>ektywą Komisji [...] zmieniającą dyrektywę 2013/36/UE</w:t>
      </w:r>
      <w:r w:rsidR="006A22D3" w:rsidRPr="006A22D3">
        <w:rPr>
          <w:noProof/>
        </w:rPr>
        <w:t xml:space="preserve"> w odn</w:t>
      </w:r>
      <w:r w:rsidR="00E14092" w:rsidRPr="006A22D3">
        <w:rPr>
          <w:noProof/>
        </w:rPr>
        <w:t>iesieniu do uprawnień nadzorczych, sankcji, oddziałów</w:t>
      </w:r>
      <w:r w:rsidR="006A22D3" w:rsidRPr="006A22D3">
        <w:rPr>
          <w:noProof/>
        </w:rPr>
        <w:t xml:space="preserve"> z pań</w:t>
      </w:r>
      <w:r w:rsidR="00E14092" w:rsidRPr="006A22D3">
        <w:rPr>
          <w:noProof/>
        </w:rPr>
        <w:t>stw trzecich</w:t>
      </w:r>
      <w:r w:rsidR="006A22D3" w:rsidRPr="006A22D3">
        <w:rPr>
          <w:noProof/>
        </w:rPr>
        <w:t xml:space="preserve"> i ryz</w:t>
      </w:r>
      <w:r w:rsidR="00E14092" w:rsidRPr="006A22D3">
        <w:rPr>
          <w:noProof/>
        </w:rPr>
        <w:t>yka</w:t>
      </w:r>
      <w:r w:rsidR="006A22D3" w:rsidRPr="006A22D3">
        <w:rPr>
          <w:noProof/>
        </w:rPr>
        <w:t xml:space="preserve"> z zak</w:t>
      </w:r>
      <w:r w:rsidR="00E14092" w:rsidRPr="006A22D3">
        <w:rPr>
          <w:noProof/>
        </w:rPr>
        <w:t>resu ochrony środowiska, polityki społecznej</w:t>
      </w:r>
      <w:r w:rsidR="006A22D3" w:rsidRPr="006A22D3">
        <w:rPr>
          <w:noProof/>
        </w:rPr>
        <w:t xml:space="preserve"> i ład</w:t>
      </w:r>
      <w:r w:rsidR="00E14092" w:rsidRPr="006A22D3">
        <w:rPr>
          <w:noProof/>
        </w:rPr>
        <w:t>u korporacyjnego (dyrektywa</w:t>
      </w:r>
      <w:r w:rsidR="006A22D3" w:rsidRPr="006A22D3">
        <w:rPr>
          <w:noProof/>
        </w:rPr>
        <w:t xml:space="preserve"> w spr</w:t>
      </w:r>
      <w:r w:rsidR="00E14092" w:rsidRPr="006A22D3">
        <w:rPr>
          <w:noProof/>
        </w:rPr>
        <w:t>awie wymogów kapitałowych)</w:t>
      </w:r>
      <w:r w:rsidR="002B3FDB" w:rsidRPr="006A22D3">
        <w:rPr>
          <w:rStyle w:val="FootnoteReference"/>
          <w:noProof/>
        </w:rPr>
        <w:footnoteReference w:id="91"/>
      </w:r>
      <w:r w:rsidR="00E14092" w:rsidRPr="006A22D3">
        <w:rPr>
          <w:noProof/>
        </w:rPr>
        <w:t>,</w:t>
      </w:r>
      <w:r w:rsidR="006A22D3" w:rsidRPr="006A22D3">
        <w:rPr>
          <w:noProof/>
        </w:rPr>
        <w:t xml:space="preserve"> w któ</w:t>
      </w:r>
      <w:r w:rsidR="00E14092" w:rsidRPr="006A22D3">
        <w:rPr>
          <w:noProof/>
        </w:rPr>
        <w:t>rej określono jasne wymogi dotyczące zasad zarządzania bankami,</w:t>
      </w:r>
      <w:r w:rsidR="006A22D3" w:rsidRPr="006A22D3">
        <w:rPr>
          <w:noProof/>
        </w:rPr>
        <w:t xml:space="preserve"> w tym</w:t>
      </w:r>
      <w:r w:rsidR="00E14092" w:rsidRPr="006A22D3">
        <w:rPr>
          <w:noProof/>
        </w:rPr>
        <w:t xml:space="preserve"> wiedzy na temat ryzyka</w:t>
      </w:r>
      <w:r w:rsidR="006A22D3" w:rsidRPr="006A22D3">
        <w:rPr>
          <w:noProof/>
        </w:rPr>
        <w:t xml:space="preserve"> z zak</w:t>
      </w:r>
      <w:r w:rsidR="00E14092" w:rsidRPr="006A22D3">
        <w:rPr>
          <w:noProof/>
        </w:rPr>
        <w:t>resu ochrony środowiska, polityki społecznej</w:t>
      </w:r>
      <w:r w:rsidR="006A22D3" w:rsidRPr="006A22D3">
        <w:rPr>
          <w:noProof/>
        </w:rPr>
        <w:t xml:space="preserve"> i ład</w:t>
      </w:r>
      <w:r w:rsidR="00E14092" w:rsidRPr="006A22D3">
        <w:rPr>
          <w:noProof/>
        </w:rPr>
        <w:t xml:space="preserve">u korporacyjnego na poziomie rady dyrektorów. </w:t>
      </w:r>
    </w:p>
    <w:p w:rsidR="00ED3016" w:rsidRPr="006A22D3" w:rsidRDefault="00D91F29" w:rsidP="00D91F29">
      <w:pPr>
        <w:pStyle w:val="ManualConsidrant"/>
        <w:rPr>
          <w:noProof/>
        </w:rPr>
      </w:pPr>
      <w:r w:rsidRPr="00D91F29">
        <w:t>(11)</w:t>
      </w:r>
      <w:r w:rsidRPr="00D91F29">
        <w:tab/>
      </w:r>
      <w:r w:rsidR="00187023" w:rsidRPr="006A22D3">
        <w:rPr>
          <w:noProof/>
        </w:rPr>
        <w:t>Inicjatywy dotyczące zrównoważonego ładu korporacyjnego znalazły się wśród elementów następujących strategii: Plan działania dotyczący gospodarki</w:t>
      </w:r>
      <w:r w:rsidR="006A22D3" w:rsidRPr="006A22D3">
        <w:rPr>
          <w:noProof/>
        </w:rPr>
        <w:t xml:space="preserve"> o obi</w:t>
      </w:r>
      <w:r w:rsidR="00187023" w:rsidRPr="006A22D3">
        <w:rPr>
          <w:noProof/>
        </w:rPr>
        <w:t>egu zamkniętym</w:t>
      </w:r>
      <w:r w:rsidR="00ED3016" w:rsidRPr="006A22D3">
        <w:rPr>
          <w:rStyle w:val="FootnoteReference"/>
          <w:noProof/>
        </w:rPr>
        <w:footnoteReference w:id="92"/>
      </w:r>
      <w:r w:rsidR="00187023" w:rsidRPr="006A22D3">
        <w:rPr>
          <w:noProof/>
        </w:rPr>
        <w:t>, unijna strategia na rzecz bioróżnorodności 2030</w:t>
      </w:r>
      <w:r w:rsidR="00ED3016" w:rsidRPr="006A22D3">
        <w:rPr>
          <w:rStyle w:val="FootnoteReference"/>
          <w:noProof/>
        </w:rPr>
        <w:footnoteReference w:id="93"/>
      </w:r>
      <w:r w:rsidR="00187023" w:rsidRPr="006A22D3">
        <w:rPr>
          <w:noProof/>
        </w:rPr>
        <w:t>, strategia „Od pola do stołu”</w:t>
      </w:r>
      <w:r w:rsidR="00ED3016" w:rsidRPr="006A22D3">
        <w:rPr>
          <w:rStyle w:val="FootnoteReference"/>
          <w:noProof/>
        </w:rPr>
        <w:footnoteReference w:id="94"/>
      </w:r>
      <w:r w:rsidR="00187023" w:rsidRPr="006A22D3">
        <w:rPr>
          <w:noProof/>
        </w:rPr>
        <w:t>, strategia</w:t>
      </w:r>
      <w:r w:rsidR="006A22D3" w:rsidRPr="006A22D3">
        <w:rPr>
          <w:noProof/>
        </w:rPr>
        <w:t xml:space="preserve"> w zak</w:t>
      </w:r>
      <w:r w:rsidR="00187023" w:rsidRPr="006A22D3">
        <w:rPr>
          <w:noProof/>
        </w:rPr>
        <w:t>resie chemikaliów</w:t>
      </w:r>
      <w:r w:rsidR="00ED3016" w:rsidRPr="006A22D3">
        <w:rPr>
          <w:rStyle w:val="FootnoteReference"/>
          <w:noProof/>
        </w:rPr>
        <w:footnoteReference w:id="95"/>
      </w:r>
      <w:r w:rsidR="00187023" w:rsidRPr="006A22D3">
        <w:rPr>
          <w:noProof/>
        </w:rPr>
        <w:t>, „Aktualizacja nowej strategii przemysłowej</w:t>
      </w:r>
      <w:r w:rsidR="006A22D3" w:rsidRPr="006A22D3">
        <w:rPr>
          <w:noProof/>
        </w:rPr>
        <w:t xml:space="preserve"> z 2</w:t>
      </w:r>
      <w:r w:rsidR="00187023" w:rsidRPr="006A22D3">
        <w:rPr>
          <w:noProof/>
        </w:rPr>
        <w:t>020</w:t>
      </w:r>
      <w:r w:rsidR="00192E90" w:rsidRPr="006A22D3">
        <w:rPr>
          <w:noProof/>
        </w:rPr>
        <w:t> </w:t>
      </w:r>
      <w:r w:rsidR="00187023" w:rsidRPr="006A22D3">
        <w:rPr>
          <w:noProof/>
        </w:rPr>
        <w:t>r. – tworzenie silniejszego jednolitego rynku sprzyjającego odbudowie Europy”</w:t>
      </w:r>
      <w:r w:rsidR="00ED3016" w:rsidRPr="006A22D3">
        <w:rPr>
          <w:rStyle w:val="FootnoteReference"/>
          <w:noProof/>
        </w:rPr>
        <w:footnoteReference w:id="96"/>
      </w:r>
      <w:r w:rsidR="00187023" w:rsidRPr="006A22D3">
        <w:rPr>
          <w:noProof/>
        </w:rPr>
        <w:t>, przemysł 5.0</w:t>
      </w:r>
      <w:r w:rsidR="0006227E" w:rsidRPr="006A22D3">
        <w:rPr>
          <w:rStyle w:val="FootnoteReference"/>
          <w:noProof/>
        </w:rPr>
        <w:footnoteReference w:id="97"/>
      </w:r>
      <w:r w:rsidR="00187023" w:rsidRPr="006A22D3">
        <w:rPr>
          <w:noProof/>
        </w:rPr>
        <w:t>, Plan działania na rzecz Europejskiego filaru praw socjalnych</w:t>
      </w:r>
      <w:r w:rsidR="000F3391" w:rsidRPr="006A22D3">
        <w:rPr>
          <w:rStyle w:val="FootnoteReference"/>
          <w:noProof/>
        </w:rPr>
        <w:footnoteReference w:id="98"/>
      </w:r>
      <w:r w:rsidR="006A22D3" w:rsidRPr="006A22D3">
        <w:rPr>
          <w:noProof/>
        </w:rPr>
        <w:t xml:space="preserve"> i prz</w:t>
      </w:r>
      <w:r w:rsidR="00187023" w:rsidRPr="006A22D3">
        <w:rPr>
          <w:noProof/>
        </w:rPr>
        <w:t>egląd polityki handlowej</w:t>
      </w:r>
      <w:r w:rsidR="006A22D3" w:rsidRPr="006A22D3">
        <w:rPr>
          <w:noProof/>
        </w:rPr>
        <w:t xml:space="preserve"> z 2</w:t>
      </w:r>
      <w:r w:rsidR="00187023" w:rsidRPr="006A22D3">
        <w:rPr>
          <w:noProof/>
        </w:rPr>
        <w:t>021</w:t>
      </w:r>
      <w:r w:rsidR="00192E90" w:rsidRPr="006A22D3">
        <w:rPr>
          <w:noProof/>
        </w:rPr>
        <w:t> </w:t>
      </w:r>
      <w:r w:rsidR="00187023" w:rsidRPr="006A22D3">
        <w:rPr>
          <w:noProof/>
        </w:rPr>
        <w:t>r.</w:t>
      </w:r>
      <w:r w:rsidR="00B63539" w:rsidRPr="006A22D3">
        <w:rPr>
          <w:rStyle w:val="FootnoteReference"/>
          <w:noProof/>
        </w:rPr>
        <w:footnoteReference w:id="99"/>
      </w:r>
      <w:r w:rsidR="00187023" w:rsidRPr="006A22D3">
        <w:rPr>
          <w:noProof/>
        </w:rPr>
        <w:t xml:space="preserve"> </w:t>
      </w:r>
    </w:p>
    <w:p w:rsidR="00D3469C" w:rsidRPr="006A22D3" w:rsidRDefault="00D91F29" w:rsidP="00D91F29">
      <w:pPr>
        <w:pStyle w:val="ManualConsidrant"/>
        <w:rPr>
          <w:noProof/>
        </w:rPr>
      </w:pPr>
      <w:r w:rsidRPr="00D91F29">
        <w:t>(12)</w:t>
      </w:r>
      <w:r w:rsidRPr="00D91F29">
        <w:tab/>
      </w:r>
      <w:r w:rsidR="00D3469C" w:rsidRPr="006A22D3">
        <w:rPr>
          <w:noProof/>
        </w:rPr>
        <w:t>Niniejsza dyrektywa jest spójna</w:t>
      </w:r>
      <w:r w:rsidR="006A22D3" w:rsidRPr="006A22D3">
        <w:rPr>
          <w:noProof/>
        </w:rPr>
        <w:t xml:space="preserve"> z Pla</w:t>
      </w:r>
      <w:r w:rsidR="00D3469C" w:rsidRPr="006A22D3">
        <w:rPr>
          <w:noProof/>
        </w:rPr>
        <w:t>nem działania UE dotyczącym praw człowieka</w:t>
      </w:r>
      <w:r w:rsidR="006A22D3" w:rsidRPr="006A22D3">
        <w:rPr>
          <w:noProof/>
        </w:rPr>
        <w:t xml:space="preserve"> i dem</w:t>
      </w:r>
      <w:r w:rsidR="00D3469C" w:rsidRPr="006A22D3">
        <w:rPr>
          <w:noProof/>
        </w:rPr>
        <w:t>okracji na lata 2020–2024</w:t>
      </w:r>
      <w:r w:rsidR="000B50D7" w:rsidRPr="006A22D3">
        <w:rPr>
          <w:rStyle w:val="FootnoteReference"/>
          <w:noProof/>
        </w:rPr>
        <w:footnoteReference w:id="100"/>
      </w:r>
      <w:r w:rsidR="00D3469C" w:rsidRPr="006A22D3">
        <w:rPr>
          <w:noProof/>
        </w:rPr>
        <w:t>. Jako priorytet wskazano</w:t>
      </w:r>
      <w:r w:rsidR="006A22D3" w:rsidRPr="006A22D3">
        <w:rPr>
          <w:noProof/>
        </w:rPr>
        <w:t xml:space="preserve"> w tym</w:t>
      </w:r>
      <w:r w:rsidR="00D3469C" w:rsidRPr="006A22D3">
        <w:rPr>
          <w:noProof/>
        </w:rPr>
        <w:t xml:space="preserve"> planie działania wzmocnienie zaangażowania Unii</w:t>
      </w:r>
      <w:r w:rsidR="006A22D3" w:rsidRPr="006A22D3">
        <w:rPr>
          <w:noProof/>
        </w:rPr>
        <w:t xml:space="preserve"> w akt</w:t>
      </w:r>
      <w:r w:rsidR="00D3469C" w:rsidRPr="006A22D3">
        <w:rPr>
          <w:noProof/>
        </w:rPr>
        <w:t>ywne promowanie wdrożenia na całym świecie wytycznych ONZ dotyczących biznesu</w:t>
      </w:r>
      <w:r w:rsidR="006A22D3" w:rsidRPr="006A22D3">
        <w:rPr>
          <w:noProof/>
        </w:rPr>
        <w:t xml:space="preserve"> i pra</w:t>
      </w:r>
      <w:r w:rsidR="00D3469C" w:rsidRPr="006A22D3">
        <w:rPr>
          <w:noProof/>
        </w:rPr>
        <w:t>w człowieka oraz innych odpowiednich wytycznych międzynarodowych, takich jak Wytyczne OECD dla przedsiębiorstw wielonarodowych,</w:t>
      </w:r>
      <w:r w:rsidR="006A22D3" w:rsidRPr="006A22D3">
        <w:rPr>
          <w:noProof/>
        </w:rPr>
        <w:t xml:space="preserve"> w tym</w:t>
      </w:r>
      <w:r w:rsidR="00D3469C" w:rsidRPr="006A22D3">
        <w:rPr>
          <w:noProof/>
        </w:rPr>
        <w:t xml:space="preserve"> poprzez propagowanie odpowiednich norm</w:t>
      </w:r>
      <w:r w:rsidR="006A22D3" w:rsidRPr="006A22D3">
        <w:rPr>
          <w:noProof/>
        </w:rPr>
        <w:t xml:space="preserve"> w zak</w:t>
      </w:r>
      <w:r w:rsidR="00D3469C" w:rsidRPr="006A22D3">
        <w:rPr>
          <w:noProof/>
        </w:rPr>
        <w:t>resie należytej staranności.</w:t>
      </w:r>
    </w:p>
    <w:p w:rsidR="00ED3016" w:rsidRPr="006A22D3" w:rsidRDefault="00D91F29" w:rsidP="00D91F29">
      <w:pPr>
        <w:pStyle w:val="ManualConsidrant"/>
        <w:rPr>
          <w:noProof/>
        </w:rPr>
      </w:pPr>
      <w:r w:rsidRPr="00D91F29">
        <w:t>(13)</w:t>
      </w:r>
      <w:r w:rsidRPr="00D91F29">
        <w:tab/>
      </w:r>
      <w:r w:rsidR="004F7F53" w:rsidRPr="006A22D3">
        <w:rPr>
          <w:noProof/>
        </w:rPr>
        <w:t>W rezolucji</w:t>
      </w:r>
      <w:r w:rsidR="006A22D3" w:rsidRPr="006A22D3">
        <w:rPr>
          <w:noProof/>
        </w:rPr>
        <w:t xml:space="preserve"> z 1</w:t>
      </w:r>
      <w:r w:rsidR="004F7F53" w:rsidRPr="006A22D3">
        <w:rPr>
          <w:noProof/>
        </w:rPr>
        <w:t>0 marca 2021</w:t>
      </w:r>
      <w:r w:rsidR="00192E90" w:rsidRPr="006A22D3">
        <w:rPr>
          <w:noProof/>
        </w:rPr>
        <w:t> </w:t>
      </w:r>
      <w:r w:rsidR="004F7F53" w:rsidRPr="006A22D3">
        <w:rPr>
          <w:noProof/>
        </w:rPr>
        <w:t>r. Parlament Europejski wezwał Komisję do zaproponowania unijnych przepisów dotyczących kompleksowego obowiązku przedsiębiorstw</w:t>
      </w:r>
      <w:r w:rsidR="006A22D3" w:rsidRPr="006A22D3">
        <w:rPr>
          <w:noProof/>
        </w:rPr>
        <w:t xml:space="preserve"> w zak</w:t>
      </w:r>
      <w:r w:rsidR="004F7F53" w:rsidRPr="006A22D3">
        <w:rPr>
          <w:noProof/>
        </w:rPr>
        <w:t>resie należytej staranności</w:t>
      </w:r>
      <w:r w:rsidR="00ED3016" w:rsidRPr="006A22D3">
        <w:rPr>
          <w:rStyle w:val="FootnoteReference"/>
          <w:noProof/>
        </w:rPr>
        <w:footnoteReference w:id="101"/>
      </w:r>
      <w:r w:rsidR="006A22D3" w:rsidRPr="006A22D3">
        <w:rPr>
          <w:noProof/>
        </w:rPr>
        <w:t>. W kon</w:t>
      </w:r>
      <w:r w:rsidR="004F7F53" w:rsidRPr="006A22D3">
        <w:rPr>
          <w:noProof/>
        </w:rPr>
        <w:t>kluzjach Rady</w:t>
      </w:r>
      <w:r w:rsidR="006A22D3" w:rsidRPr="006A22D3">
        <w:rPr>
          <w:noProof/>
        </w:rPr>
        <w:t xml:space="preserve"> w spr</w:t>
      </w:r>
      <w:r w:rsidR="004F7F53" w:rsidRPr="006A22D3">
        <w:rPr>
          <w:noProof/>
        </w:rPr>
        <w:t>awie praw człowieka</w:t>
      </w:r>
      <w:r w:rsidR="006A22D3" w:rsidRPr="006A22D3">
        <w:rPr>
          <w:noProof/>
        </w:rPr>
        <w:t xml:space="preserve"> i god</w:t>
      </w:r>
      <w:r w:rsidR="004F7F53" w:rsidRPr="006A22D3">
        <w:rPr>
          <w:noProof/>
        </w:rPr>
        <w:t>nej pracy</w:t>
      </w:r>
      <w:r w:rsidR="006A22D3" w:rsidRPr="006A22D3">
        <w:rPr>
          <w:noProof/>
        </w:rPr>
        <w:t xml:space="preserve"> w glo</w:t>
      </w:r>
      <w:r w:rsidR="004F7F53" w:rsidRPr="006A22D3">
        <w:rPr>
          <w:noProof/>
        </w:rPr>
        <w:t>balnych łańcuchach dostaw</w:t>
      </w:r>
      <w:r w:rsidR="006A22D3" w:rsidRPr="006A22D3">
        <w:rPr>
          <w:noProof/>
        </w:rPr>
        <w:t xml:space="preserve"> z 1</w:t>
      </w:r>
      <w:r w:rsidR="004F7F53" w:rsidRPr="006A22D3">
        <w:rPr>
          <w:noProof/>
        </w:rPr>
        <w:t xml:space="preserve"> grudnia 2020</w:t>
      </w:r>
      <w:r w:rsidR="00192E90" w:rsidRPr="006A22D3">
        <w:rPr>
          <w:noProof/>
        </w:rPr>
        <w:t> </w:t>
      </w:r>
      <w:r w:rsidR="004F7F53" w:rsidRPr="006A22D3">
        <w:rPr>
          <w:noProof/>
        </w:rPr>
        <w:t>r. wezwano Komisję do przedstawienia wniosku dotyczącego unijnych ram prawnych</w:t>
      </w:r>
      <w:r w:rsidR="006A22D3" w:rsidRPr="006A22D3">
        <w:rPr>
          <w:noProof/>
        </w:rPr>
        <w:t xml:space="preserve"> w zak</w:t>
      </w:r>
      <w:r w:rsidR="004F7F53" w:rsidRPr="006A22D3">
        <w:rPr>
          <w:noProof/>
        </w:rPr>
        <w:t>resie zrównoważonego ładu korporacyjnego,</w:t>
      </w:r>
      <w:r w:rsidR="006A22D3" w:rsidRPr="006A22D3">
        <w:rPr>
          <w:noProof/>
        </w:rPr>
        <w:t xml:space="preserve"> w tym</w:t>
      </w:r>
      <w:r w:rsidR="004F7F53" w:rsidRPr="006A22D3">
        <w:rPr>
          <w:noProof/>
        </w:rPr>
        <w:t xml:space="preserve"> międzysektorowych obowiązków przedsiębiorstw</w:t>
      </w:r>
      <w:r w:rsidR="006A22D3" w:rsidRPr="006A22D3">
        <w:rPr>
          <w:noProof/>
        </w:rPr>
        <w:t xml:space="preserve"> w zak</w:t>
      </w:r>
      <w:r w:rsidR="004F7F53" w:rsidRPr="006A22D3">
        <w:rPr>
          <w:noProof/>
        </w:rPr>
        <w:t>resie należytej staranności</w:t>
      </w:r>
      <w:r w:rsidR="006A22D3" w:rsidRPr="006A22D3">
        <w:rPr>
          <w:noProof/>
        </w:rPr>
        <w:t xml:space="preserve"> w glo</w:t>
      </w:r>
      <w:r w:rsidR="004F7F53" w:rsidRPr="006A22D3">
        <w:rPr>
          <w:noProof/>
        </w:rPr>
        <w:t>balnych łańcuchach dostaw</w:t>
      </w:r>
      <w:r w:rsidR="00ED3016" w:rsidRPr="006A22D3">
        <w:rPr>
          <w:rStyle w:val="FootnoteReference"/>
          <w:noProof/>
        </w:rPr>
        <w:footnoteReference w:id="102"/>
      </w:r>
      <w:r w:rsidR="004F7F53" w:rsidRPr="006A22D3">
        <w:rPr>
          <w:noProof/>
        </w:rPr>
        <w:t>. Parlament Europejski wzywa do objaśnienia obowiązków dyrektorów również</w:t>
      </w:r>
      <w:r w:rsidR="006A22D3" w:rsidRPr="006A22D3">
        <w:rPr>
          <w:noProof/>
        </w:rPr>
        <w:t xml:space="preserve"> w swo</w:t>
      </w:r>
      <w:r w:rsidR="004F7F53" w:rsidRPr="006A22D3">
        <w:rPr>
          <w:noProof/>
        </w:rPr>
        <w:t>im sprawozdaniu</w:t>
      </w:r>
      <w:r w:rsidR="006A22D3" w:rsidRPr="006A22D3">
        <w:rPr>
          <w:noProof/>
        </w:rPr>
        <w:t xml:space="preserve"> z wła</w:t>
      </w:r>
      <w:r w:rsidR="004F7F53" w:rsidRPr="006A22D3">
        <w:rPr>
          <w:noProof/>
        </w:rPr>
        <w:t>snej inicjatywy</w:t>
      </w:r>
      <w:r w:rsidR="006A22D3" w:rsidRPr="006A22D3">
        <w:rPr>
          <w:noProof/>
        </w:rPr>
        <w:t xml:space="preserve"> w spr</w:t>
      </w:r>
      <w:r w:rsidR="004F7F53" w:rsidRPr="006A22D3">
        <w:rPr>
          <w:noProof/>
        </w:rPr>
        <w:t>awie zrównoważonego ładu korporacyjnego przyjętym 2 grudnia 2020</w:t>
      </w:r>
      <w:r w:rsidR="00192E90" w:rsidRPr="006A22D3">
        <w:rPr>
          <w:noProof/>
        </w:rPr>
        <w:t> </w:t>
      </w:r>
      <w:r w:rsidR="004F7F53" w:rsidRPr="006A22D3">
        <w:rPr>
          <w:noProof/>
        </w:rPr>
        <w:t>r. We wspólnej deklaracji dotyczącej priorytetów legislacyjnych UE na</w:t>
      </w:r>
      <w:r w:rsidR="00192E90" w:rsidRPr="006A22D3">
        <w:rPr>
          <w:noProof/>
        </w:rPr>
        <w:t> </w:t>
      </w:r>
      <w:r w:rsidR="004F7F53" w:rsidRPr="006A22D3">
        <w:rPr>
          <w:noProof/>
        </w:rPr>
        <w:t>2022</w:t>
      </w:r>
      <w:r w:rsidR="00192E90" w:rsidRPr="006A22D3">
        <w:rPr>
          <w:noProof/>
        </w:rPr>
        <w:t> </w:t>
      </w:r>
      <w:r w:rsidR="004F7F53" w:rsidRPr="006A22D3">
        <w:rPr>
          <w:noProof/>
        </w:rPr>
        <w:t>r.</w:t>
      </w:r>
      <w:r w:rsidR="00ED3016" w:rsidRPr="006A22D3">
        <w:rPr>
          <w:rStyle w:val="FootnoteReference"/>
          <w:noProof/>
        </w:rPr>
        <w:footnoteReference w:id="103"/>
      </w:r>
      <w:r w:rsidR="004F7F53" w:rsidRPr="006A22D3">
        <w:rPr>
          <w:noProof/>
        </w:rPr>
        <w:t xml:space="preserve"> Parlament Europejski, Rada Unii Europejskiej</w:t>
      </w:r>
      <w:r w:rsidR="006A22D3" w:rsidRPr="006A22D3">
        <w:rPr>
          <w:noProof/>
        </w:rPr>
        <w:t xml:space="preserve"> i Kom</w:t>
      </w:r>
      <w:r w:rsidR="004F7F53" w:rsidRPr="006A22D3">
        <w:rPr>
          <w:noProof/>
        </w:rPr>
        <w:t>isja zobowiązały się do stworzenia gospodarki służącej ludziom oraz do udoskonalenia ram regulacyjnych dotyczących zrównoważonego ładu korporacyjnego.</w:t>
      </w:r>
    </w:p>
    <w:p w:rsidR="003569D7" w:rsidRPr="006A22D3" w:rsidRDefault="00D91F29" w:rsidP="00D91F29">
      <w:pPr>
        <w:pStyle w:val="ManualConsidrant"/>
        <w:rPr>
          <w:noProof/>
        </w:rPr>
      </w:pPr>
      <w:r w:rsidRPr="00D91F29">
        <w:t>(14)</w:t>
      </w:r>
      <w:r w:rsidRPr="00D91F29">
        <w:tab/>
      </w:r>
      <w:r w:rsidR="000A49FA" w:rsidRPr="006A22D3">
        <w:rPr>
          <w:noProof/>
        </w:rPr>
        <w:tab/>
        <w:t>Niniejsza dyrektywa ma na celu zapewnienie, aby przedsiębiorstwa działające na rynku wewnętrznym przyczyniły się do zrównoważonego rozwoju</w:t>
      </w:r>
      <w:r w:rsidR="006A22D3" w:rsidRPr="006A22D3">
        <w:rPr>
          <w:noProof/>
        </w:rPr>
        <w:t xml:space="preserve"> i tra</w:t>
      </w:r>
      <w:r w:rsidR="000A49FA" w:rsidRPr="006A22D3">
        <w:rPr>
          <w:noProof/>
        </w:rPr>
        <w:t>nsformacji gospodarek</w:t>
      </w:r>
      <w:r w:rsidR="006A22D3" w:rsidRPr="006A22D3">
        <w:rPr>
          <w:noProof/>
        </w:rPr>
        <w:t xml:space="preserve"> i spo</w:t>
      </w:r>
      <w:r w:rsidR="000A49FA" w:rsidRPr="006A22D3">
        <w:rPr>
          <w:noProof/>
        </w:rPr>
        <w:t>łeczeństw</w:t>
      </w:r>
      <w:r w:rsidR="006A22D3" w:rsidRPr="006A22D3">
        <w:rPr>
          <w:noProof/>
        </w:rPr>
        <w:t xml:space="preserve"> w str</w:t>
      </w:r>
      <w:r w:rsidR="000A49FA" w:rsidRPr="006A22D3">
        <w:rPr>
          <w:noProof/>
        </w:rPr>
        <w:t>onę modelu zrównoważonego poprzez identyfikację potencjalnych lub rzeczywistych niekorzystnych skutków dla praw człowieka</w:t>
      </w:r>
      <w:r w:rsidR="006A22D3" w:rsidRPr="006A22D3">
        <w:rPr>
          <w:noProof/>
        </w:rPr>
        <w:t xml:space="preserve"> i śro</w:t>
      </w:r>
      <w:r w:rsidR="000A49FA" w:rsidRPr="006A22D3">
        <w:rPr>
          <w:noProof/>
        </w:rPr>
        <w:t>dowiska związanych</w:t>
      </w:r>
      <w:r w:rsidR="006A22D3" w:rsidRPr="006A22D3">
        <w:rPr>
          <w:noProof/>
        </w:rPr>
        <w:t xml:space="preserve"> z dzi</w:t>
      </w:r>
      <w:r w:rsidR="000A49FA" w:rsidRPr="006A22D3">
        <w:rPr>
          <w:noProof/>
        </w:rPr>
        <w:t>ałalnością własną przedsiębiorstw, ich jednostek zależnych</w:t>
      </w:r>
      <w:r w:rsidR="006A22D3" w:rsidRPr="006A22D3">
        <w:rPr>
          <w:noProof/>
        </w:rPr>
        <w:t xml:space="preserve"> i łań</w:t>
      </w:r>
      <w:r w:rsidR="000A49FA" w:rsidRPr="006A22D3">
        <w:rPr>
          <w:noProof/>
        </w:rPr>
        <w:t>cuchów wartości, zapobieganie tym skutkom, łagodzenie tych skutków oraz ich powstrzymanie</w:t>
      </w:r>
      <w:r w:rsidR="006A22D3" w:rsidRPr="006A22D3">
        <w:rPr>
          <w:noProof/>
        </w:rPr>
        <w:t xml:space="preserve"> i min</w:t>
      </w:r>
      <w:r w:rsidR="000A49FA" w:rsidRPr="006A22D3">
        <w:rPr>
          <w:noProof/>
        </w:rPr>
        <w:t>imalizowanie.</w:t>
      </w:r>
    </w:p>
    <w:p w:rsidR="000A49FA" w:rsidRPr="006A22D3" w:rsidRDefault="00D91F29" w:rsidP="00D91F29">
      <w:pPr>
        <w:pStyle w:val="ManualConsidrant"/>
        <w:rPr>
          <w:noProof/>
        </w:rPr>
      </w:pPr>
      <w:r w:rsidRPr="00D91F29">
        <w:t>(15)</w:t>
      </w:r>
      <w:r w:rsidRPr="00D91F29">
        <w:tab/>
      </w:r>
      <w:r w:rsidR="003569D7" w:rsidRPr="006A22D3">
        <w:rPr>
          <w:noProof/>
        </w:rPr>
        <w:t>Przedsiębiorstwa powinny podjąć odpowiednie kroki</w:t>
      </w:r>
      <w:r w:rsidR="006A22D3" w:rsidRPr="006A22D3">
        <w:rPr>
          <w:noProof/>
        </w:rPr>
        <w:t xml:space="preserve"> w cel</w:t>
      </w:r>
      <w:r w:rsidR="003569D7" w:rsidRPr="006A22D3">
        <w:rPr>
          <w:noProof/>
        </w:rPr>
        <w:t>u ustanowienia</w:t>
      </w:r>
      <w:r w:rsidR="006A22D3" w:rsidRPr="006A22D3">
        <w:rPr>
          <w:noProof/>
        </w:rPr>
        <w:t xml:space="preserve"> i sto</w:t>
      </w:r>
      <w:r w:rsidR="003569D7" w:rsidRPr="006A22D3">
        <w:rPr>
          <w:noProof/>
        </w:rPr>
        <w:t>sowania środków należytej staranności</w:t>
      </w:r>
      <w:r w:rsidR="006A22D3" w:rsidRPr="006A22D3">
        <w:rPr>
          <w:noProof/>
        </w:rPr>
        <w:t xml:space="preserve"> w odn</w:t>
      </w:r>
      <w:r w:rsidR="003569D7" w:rsidRPr="006A22D3">
        <w:rPr>
          <w:noProof/>
        </w:rPr>
        <w:t>iesieniu do własnej działalności, swoich jednostek zależnych,</w:t>
      </w:r>
      <w:r w:rsidR="006A22D3" w:rsidRPr="006A22D3">
        <w:rPr>
          <w:noProof/>
        </w:rPr>
        <w:t xml:space="preserve"> a tak</w:t>
      </w:r>
      <w:r w:rsidR="003569D7" w:rsidRPr="006A22D3">
        <w:rPr>
          <w:noProof/>
        </w:rPr>
        <w:t>że stałych bezpośrednich</w:t>
      </w:r>
      <w:r w:rsidR="006A22D3" w:rsidRPr="006A22D3">
        <w:rPr>
          <w:noProof/>
        </w:rPr>
        <w:t xml:space="preserve"> i poś</w:t>
      </w:r>
      <w:r w:rsidR="003569D7" w:rsidRPr="006A22D3">
        <w:rPr>
          <w:noProof/>
        </w:rPr>
        <w:t>rednich relacji biznesowych</w:t>
      </w:r>
      <w:r w:rsidR="006A22D3" w:rsidRPr="006A22D3">
        <w:rPr>
          <w:noProof/>
        </w:rPr>
        <w:t xml:space="preserve"> w cał</w:t>
      </w:r>
      <w:r w:rsidR="003569D7" w:rsidRPr="006A22D3">
        <w:rPr>
          <w:noProof/>
        </w:rPr>
        <w:t>ym łańcuchu wartości zgodnie</w:t>
      </w:r>
      <w:r w:rsidR="006A22D3" w:rsidRPr="006A22D3">
        <w:rPr>
          <w:noProof/>
        </w:rPr>
        <w:t xml:space="preserve"> z prz</w:t>
      </w:r>
      <w:r w:rsidR="003569D7" w:rsidRPr="006A22D3">
        <w:rPr>
          <w:noProof/>
        </w:rPr>
        <w:t>episami niniejszej dyrektywy. Niniejsza dyrektywa nie powinna wymagać od przedsiębiorstw zagwarantowania, aby niekorzystne skutki nigdy nie wystąpiły lub zostały powstrzymane niezależnie od sytuacji. Przedsiębiorstwo może nie być</w:t>
      </w:r>
      <w:r w:rsidR="006A22D3" w:rsidRPr="006A22D3">
        <w:rPr>
          <w:noProof/>
        </w:rPr>
        <w:t xml:space="preserve"> w sta</w:t>
      </w:r>
      <w:r w:rsidR="003569D7" w:rsidRPr="006A22D3">
        <w:rPr>
          <w:noProof/>
        </w:rPr>
        <w:t>nie tego osiągnąć na przykład</w:t>
      </w:r>
      <w:r w:rsidR="006A22D3" w:rsidRPr="006A22D3">
        <w:rPr>
          <w:noProof/>
        </w:rPr>
        <w:t xml:space="preserve"> w prz</w:t>
      </w:r>
      <w:r w:rsidR="003569D7" w:rsidRPr="006A22D3">
        <w:rPr>
          <w:noProof/>
        </w:rPr>
        <w:t>ypadku relacji biznesowych,</w:t>
      </w:r>
      <w:r w:rsidR="006A22D3" w:rsidRPr="006A22D3">
        <w:rPr>
          <w:noProof/>
        </w:rPr>
        <w:t xml:space="preserve"> w któ</w:t>
      </w:r>
      <w:r w:rsidR="003569D7" w:rsidRPr="006A22D3">
        <w:rPr>
          <w:noProof/>
        </w:rPr>
        <w:t>rych niekorzystny skutek jest wynikiem ingerencji państwa. Dlatego też główne zobowiązania określone</w:t>
      </w:r>
      <w:r w:rsidR="006A22D3" w:rsidRPr="006A22D3">
        <w:rPr>
          <w:noProof/>
        </w:rPr>
        <w:t xml:space="preserve"> w nin</w:t>
      </w:r>
      <w:r w:rsidR="003569D7" w:rsidRPr="006A22D3">
        <w:rPr>
          <w:noProof/>
        </w:rPr>
        <w:t>iejszej dyrektywie powinny być „zobowiązaniami starannego działania”. Przedsiębiorstwo powinno zastosować odpowiednie środki, co do których można</w:t>
      </w:r>
      <w:r w:rsidR="006A22D3" w:rsidRPr="006A22D3">
        <w:rPr>
          <w:noProof/>
        </w:rPr>
        <w:t xml:space="preserve"> w uza</w:t>
      </w:r>
      <w:r w:rsidR="003569D7" w:rsidRPr="006A22D3">
        <w:rPr>
          <w:noProof/>
        </w:rPr>
        <w:t>sadniony sposób oczekiwać, że doprowadzą do zapobieżenia lub zminimalizowania niekorzystnego skutku</w:t>
      </w:r>
      <w:r w:rsidR="006A22D3" w:rsidRPr="006A22D3">
        <w:rPr>
          <w:noProof/>
        </w:rPr>
        <w:t xml:space="preserve"> w oko</w:t>
      </w:r>
      <w:r w:rsidR="003569D7" w:rsidRPr="006A22D3">
        <w:rPr>
          <w:noProof/>
        </w:rPr>
        <w:t>licznościach dotyczących danego przypadku. Należy wziąć pod uwagę specyfikę łańcucha wartości przedsiębiorstwa, sektor lub obszar geograficzny,</w:t>
      </w:r>
      <w:r w:rsidR="006A22D3" w:rsidRPr="006A22D3">
        <w:rPr>
          <w:noProof/>
        </w:rPr>
        <w:t xml:space="preserve"> w któ</w:t>
      </w:r>
      <w:r w:rsidR="003569D7" w:rsidRPr="006A22D3">
        <w:rPr>
          <w:noProof/>
        </w:rPr>
        <w:t>rym działają jego partnerzy</w:t>
      </w:r>
      <w:r w:rsidR="006A22D3" w:rsidRPr="006A22D3">
        <w:rPr>
          <w:noProof/>
        </w:rPr>
        <w:t xml:space="preserve"> w łań</w:t>
      </w:r>
      <w:r w:rsidR="003569D7" w:rsidRPr="006A22D3">
        <w:rPr>
          <w:noProof/>
        </w:rPr>
        <w:t>cuchu wartości, możliwości wywierania przez przedsiębiorstwo wpływu na jego bezpośrednie</w:t>
      </w:r>
      <w:r w:rsidR="006A22D3" w:rsidRPr="006A22D3">
        <w:rPr>
          <w:noProof/>
        </w:rPr>
        <w:t xml:space="preserve"> i poś</w:t>
      </w:r>
      <w:r w:rsidR="003569D7" w:rsidRPr="006A22D3">
        <w:rPr>
          <w:noProof/>
        </w:rPr>
        <w:t xml:space="preserve">rednie relacje biznesowe oraz to, czy przedsiębiorstwo mogłoby zwiększyć swoje możliwości wywierania wpływu. </w:t>
      </w:r>
    </w:p>
    <w:p w:rsidR="00ED3016" w:rsidRPr="006A22D3" w:rsidRDefault="00D91F29" w:rsidP="00D91F29">
      <w:pPr>
        <w:pStyle w:val="ManualConsidrant"/>
        <w:rPr>
          <w:noProof/>
        </w:rPr>
      </w:pPr>
      <w:r w:rsidRPr="00D91F29">
        <w:t>(16)</w:t>
      </w:r>
      <w:r w:rsidRPr="00D91F29">
        <w:tab/>
      </w:r>
      <w:r w:rsidR="00ED3016" w:rsidRPr="006A22D3">
        <w:rPr>
          <w:noProof/>
        </w:rPr>
        <w:t>Procedura należytej staranności przedstawiona</w:t>
      </w:r>
      <w:r w:rsidR="006A22D3" w:rsidRPr="006A22D3">
        <w:rPr>
          <w:noProof/>
        </w:rPr>
        <w:t xml:space="preserve"> w nin</w:t>
      </w:r>
      <w:r w:rsidR="00ED3016" w:rsidRPr="006A22D3">
        <w:rPr>
          <w:noProof/>
        </w:rPr>
        <w:t>iejszej dyrektywie powinna obejmować sześć kroków określonych</w:t>
      </w:r>
      <w:r w:rsidR="006A22D3" w:rsidRPr="006A22D3">
        <w:rPr>
          <w:noProof/>
        </w:rPr>
        <w:t xml:space="preserve"> w Wyt</w:t>
      </w:r>
      <w:r w:rsidR="00ED3016" w:rsidRPr="006A22D3">
        <w:rPr>
          <w:noProof/>
        </w:rPr>
        <w:t>ycznych OECD dotyczących należytej staranności</w:t>
      </w:r>
      <w:r w:rsidR="006A22D3" w:rsidRPr="006A22D3">
        <w:rPr>
          <w:noProof/>
        </w:rPr>
        <w:t xml:space="preserve"> w obs</w:t>
      </w:r>
      <w:r w:rsidR="00ED3016" w:rsidRPr="006A22D3">
        <w:rPr>
          <w:noProof/>
        </w:rPr>
        <w:t>zarze odpowiedzialnego prowadzenia działalności gospodarczej, które obejmują środki</w:t>
      </w:r>
      <w:r w:rsidR="006A22D3" w:rsidRPr="006A22D3">
        <w:rPr>
          <w:noProof/>
        </w:rPr>
        <w:t xml:space="preserve"> w zak</w:t>
      </w:r>
      <w:r w:rsidR="00ED3016" w:rsidRPr="006A22D3">
        <w:rPr>
          <w:noProof/>
        </w:rPr>
        <w:t>resie należytej staranności stosowane przez przedsiębiorstwa</w:t>
      </w:r>
      <w:r w:rsidR="006A22D3" w:rsidRPr="006A22D3">
        <w:rPr>
          <w:noProof/>
        </w:rPr>
        <w:t xml:space="preserve"> w cel</w:t>
      </w:r>
      <w:r w:rsidR="00ED3016" w:rsidRPr="006A22D3">
        <w:rPr>
          <w:noProof/>
        </w:rPr>
        <w:t>u identyfikacji niekorzystnych skutków dla praw człowieka</w:t>
      </w:r>
      <w:r w:rsidR="006A22D3" w:rsidRPr="006A22D3">
        <w:rPr>
          <w:noProof/>
        </w:rPr>
        <w:t xml:space="preserve"> i śro</w:t>
      </w:r>
      <w:r w:rsidR="00ED3016" w:rsidRPr="006A22D3">
        <w:rPr>
          <w:noProof/>
        </w:rPr>
        <w:t>dowiska</w:t>
      </w:r>
      <w:r w:rsidR="006A22D3" w:rsidRPr="006A22D3">
        <w:rPr>
          <w:noProof/>
        </w:rPr>
        <w:t xml:space="preserve"> i prz</w:t>
      </w:r>
      <w:r w:rsidR="00ED3016" w:rsidRPr="006A22D3">
        <w:rPr>
          <w:noProof/>
        </w:rPr>
        <w:t>eciwdziałania tym skutkom. Obejmuje to następujące etapy: 1) włączenie zasad należytej staranności do polityki</w:t>
      </w:r>
      <w:r w:rsidR="006A22D3" w:rsidRPr="006A22D3">
        <w:rPr>
          <w:noProof/>
        </w:rPr>
        <w:t xml:space="preserve"> i sys</w:t>
      </w:r>
      <w:r w:rsidR="00ED3016" w:rsidRPr="006A22D3">
        <w:rPr>
          <w:noProof/>
        </w:rPr>
        <w:t>temów zarządzania; 2) identyfikację</w:t>
      </w:r>
      <w:r w:rsidR="006A22D3" w:rsidRPr="006A22D3">
        <w:rPr>
          <w:noProof/>
        </w:rPr>
        <w:t xml:space="preserve"> i oce</w:t>
      </w:r>
      <w:r w:rsidR="00ED3016" w:rsidRPr="006A22D3">
        <w:rPr>
          <w:noProof/>
        </w:rPr>
        <w:t>nę niekorzystnych skutków dla praw człowieka</w:t>
      </w:r>
      <w:r w:rsidR="006A22D3" w:rsidRPr="006A22D3">
        <w:rPr>
          <w:noProof/>
        </w:rPr>
        <w:t xml:space="preserve"> i śro</w:t>
      </w:r>
      <w:r w:rsidR="00ED3016" w:rsidRPr="006A22D3">
        <w:rPr>
          <w:noProof/>
        </w:rPr>
        <w:t>dowiska; 3) zapobieganie rzeczywistym</w:t>
      </w:r>
      <w:r w:rsidR="006A22D3" w:rsidRPr="006A22D3">
        <w:rPr>
          <w:noProof/>
        </w:rPr>
        <w:t xml:space="preserve"> i pot</w:t>
      </w:r>
      <w:r w:rsidR="00ED3016" w:rsidRPr="006A22D3">
        <w:rPr>
          <w:noProof/>
        </w:rPr>
        <w:t>encjalnym niekorzystnym skutkom dla praw człowieka</w:t>
      </w:r>
      <w:r w:rsidR="006A22D3" w:rsidRPr="006A22D3">
        <w:rPr>
          <w:noProof/>
        </w:rPr>
        <w:t xml:space="preserve"> i śro</w:t>
      </w:r>
      <w:r w:rsidR="00ED3016" w:rsidRPr="006A22D3">
        <w:rPr>
          <w:noProof/>
        </w:rPr>
        <w:t>dowiska oraz powstrzymanie lub zminimalizowanie tych skutków; 4) ocenę skuteczności środków; 5) komunikację; 6) zapewnienie środków zaradczych.</w:t>
      </w:r>
    </w:p>
    <w:p w:rsidR="00ED3016" w:rsidRPr="006A22D3" w:rsidRDefault="00D91F29" w:rsidP="00D91F29">
      <w:pPr>
        <w:pStyle w:val="ManualConsidrant"/>
        <w:rPr>
          <w:noProof/>
        </w:rPr>
      </w:pPr>
      <w:r w:rsidRPr="00D91F29">
        <w:t>(17)</w:t>
      </w:r>
      <w:r w:rsidRPr="00D91F29">
        <w:tab/>
      </w:r>
      <w:r w:rsidR="00ED3016" w:rsidRPr="006A22D3">
        <w:rPr>
          <w:noProof/>
        </w:rPr>
        <w:t>Niekorzystne skutki dla praw człowieka</w:t>
      </w:r>
      <w:r w:rsidR="006A22D3" w:rsidRPr="006A22D3">
        <w:rPr>
          <w:noProof/>
        </w:rPr>
        <w:t xml:space="preserve"> i śro</w:t>
      </w:r>
      <w:r w:rsidR="00ED3016" w:rsidRPr="006A22D3">
        <w:rPr>
          <w:noProof/>
        </w:rPr>
        <w:t>dowiska występują we własnej działalności przedsiębiorstwa, jego jednostek zależnych,</w:t>
      </w:r>
      <w:r w:rsidR="006A22D3" w:rsidRPr="006A22D3">
        <w:rPr>
          <w:noProof/>
        </w:rPr>
        <w:t xml:space="preserve"> w jeg</w:t>
      </w:r>
      <w:r w:rsidR="00ED3016" w:rsidRPr="006A22D3">
        <w:rPr>
          <w:noProof/>
        </w:rPr>
        <w:t>o produktach</w:t>
      </w:r>
      <w:r w:rsidR="006A22D3" w:rsidRPr="006A22D3">
        <w:rPr>
          <w:noProof/>
        </w:rPr>
        <w:t xml:space="preserve"> i w jeg</w:t>
      </w:r>
      <w:r w:rsidR="00ED3016" w:rsidRPr="006A22D3">
        <w:rPr>
          <w:noProof/>
        </w:rPr>
        <w:t>o łańcuchach wartości,</w:t>
      </w:r>
      <w:r w:rsidR="006A22D3" w:rsidRPr="006A22D3">
        <w:rPr>
          <w:noProof/>
        </w:rPr>
        <w:t xml:space="preserve"> w szc</w:t>
      </w:r>
      <w:r w:rsidR="00ED3016" w:rsidRPr="006A22D3">
        <w:rPr>
          <w:noProof/>
        </w:rPr>
        <w:t>zególności na poziomie pozyskiwania surowców, produkcji lub na poziomie usuwania produktów bądź unieszkodliwiania odpadów. Aby zasady należytej staranności wywarły istotny wpływ, powinny obejmować niekorzystne skutki dla praw człowieka</w:t>
      </w:r>
      <w:r w:rsidR="006A22D3" w:rsidRPr="006A22D3">
        <w:rPr>
          <w:noProof/>
        </w:rPr>
        <w:t xml:space="preserve"> i śro</w:t>
      </w:r>
      <w:r w:rsidR="00ED3016" w:rsidRPr="006A22D3">
        <w:rPr>
          <w:noProof/>
        </w:rPr>
        <w:t>dowiska powstające</w:t>
      </w:r>
      <w:r w:rsidR="006A22D3" w:rsidRPr="006A22D3">
        <w:rPr>
          <w:noProof/>
        </w:rPr>
        <w:t xml:space="preserve"> w cał</w:t>
      </w:r>
      <w:r w:rsidR="00ED3016" w:rsidRPr="006A22D3">
        <w:rPr>
          <w:noProof/>
        </w:rPr>
        <w:t>ym cyklu życia produkcji, użytkowania</w:t>
      </w:r>
      <w:r w:rsidR="006A22D3" w:rsidRPr="006A22D3">
        <w:rPr>
          <w:noProof/>
        </w:rPr>
        <w:t xml:space="preserve"> i usu</w:t>
      </w:r>
      <w:r w:rsidR="00ED3016" w:rsidRPr="006A22D3">
        <w:rPr>
          <w:noProof/>
        </w:rPr>
        <w:t>wania produktów lub świadczenia usług, na poziomie własnej działalności, jednostek zależnych</w:t>
      </w:r>
      <w:r w:rsidR="006A22D3" w:rsidRPr="006A22D3">
        <w:rPr>
          <w:noProof/>
        </w:rPr>
        <w:t xml:space="preserve"> i w łań</w:t>
      </w:r>
      <w:r w:rsidR="00ED3016" w:rsidRPr="006A22D3">
        <w:rPr>
          <w:noProof/>
        </w:rPr>
        <w:t xml:space="preserve">cuchach wartości. </w:t>
      </w:r>
    </w:p>
    <w:p w:rsidR="00EA1A35" w:rsidRPr="006A22D3" w:rsidRDefault="00D91F29" w:rsidP="00D91F29">
      <w:pPr>
        <w:pStyle w:val="ManualConsidrant"/>
        <w:rPr>
          <w:noProof/>
        </w:rPr>
      </w:pPr>
      <w:r w:rsidRPr="00D91F29">
        <w:t>(18)</w:t>
      </w:r>
      <w:r w:rsidRPr="00D91F29">
        <w:tab/>
      </w:r>
      <w:r w:rsidR="00ED3016" w:rsidRPr="006A22D3">
        <w:rPr>
          <w:noProof/>
        </w:rPr>
        <w:tab/>
        <w:t>Łańcuch wartości powinien obejmować działalność związaną</w:t>
      </w:r>
      <w:r w:rsidR="006A22D3" w:rsidRPr="006A22D3">
        <w:rPr>
          <w:noProof/>
        </w:rPr>
        <w:t xml:space="preserve"> z pro</w:t>
      </w:r>
      <w:r w:rsidR="00ED3016" w:rsidRPr="006A22D3">
        <w:rPr>
          <w:noProof/>
        </w:rPr>
        <w:t>dukcją towarów lub świadczeniem usług przez przedsiębiorstwo,</w:t>
      </w:r>
      <w:r w:rsidR="006A22D3" w:rsidRPr="006A22D3">
        <w:rPr>
          <w:noProof/>
        </w:rPr>
        <w:t xml:space="preserve"> w tym</w:t>
      </w:r>
      <w:r w:rsidR="00ED3016" w:rsidRPr="006A22D3">
        <w:rPr>
          <w:noProof/>
        </w:rPr>
        <w:t xml:space="preserve"> opracowywanie produktu lub usługi oraz użytkowanie</w:t>
      </w:r>
      <w:r w:rsidR="006A22D3" w:rsidRPr="006A22D3">
        <w:rPr>
          <w:noProof/>
        </w:rPr>
        <w:t xml:space="preserve"> i usu</w:t>
      </w:r>
      <w:r w:rsidR="00ED3016" w:rsidRPr="006A22D3">
        <w:rPr>
          <w:noProof/>
        </w:rPr>
        <w:t>wanie produktu,</w:t>
      </w:r>
      <w:r w:rsidR="006A22D3" w:rsidRPr="006A22D3">
        <w:rPr>
          <w:noProof/>
        </w:rPr>
        <w:t xml:space="preserve"> a tak</w:t>
      </w:r>
      <w:r w:rsidR="00ED3016" w:rsidRPr="006A22D3">
        <w:rPr>
          <w:noProof/>
        </w:rPr>
        <w:t>że powiązaną działalność</w:t>
      </w:r>
      <w:r w:rsidR="006A22D3" w:rsidRPr="006A22D3">
        <w:rPr>
          <w:noProof/>
        </w:rPr>
        <w:t xml:space="preserve"> w ram</w:t>
      </w:r>
      <w:r w:rsidR="00ED3016" w:rsidRPr="006A22D3">
        <w:rPr>
          <w:noProof/>
        </w:rPr>
        <w:t>ach stałych relacji biznesowych przedsiębiorstwa. Powinien obejmować bezpośrednie</w:t>
      </w:r>
      <w:r w:rsidR="006A22D3" w:rsidRPr="006A22D3">
        <w:rPr>
          <w:noProof/>
        </w:rPr>
        <w:t xml:space="preserve"> i poś</w:t>
      </w:r>
      <w:r w:rsidR="00ED3016" w:rsidRPr="006A22D3">
        <w:rPr>
          <w:noProof/>
        </w:rPr>
        <w:t>rednie relacje biznesowe na wyższym szczeblu łańcucha dostaw</w:t>
      </w:r>
      <w:r w:rsidR="006A22D3" w:rsidRPr="006A22D3">
        <w:rPr>
          <w:noProof/>
        </w:rPr>
        <w:t xml:space="preserve"> z par</w:t>
      </w:r>
      <w:r w:rsidR="00ED3016" w:rsidRPr="006A22D3">
        <w:rPr>
          <w:noProof/>
        </w:rPr>
        <w:t>tnerami, którzy projektują, wydobywają, produkują, transportują, przechowują</w:t>
      </w:r>
      <w:r w:rsidR="006A22D3" w:rsidRPr="006A22D3">
        <w:rPr>
          <w:noProof/>
        </w:rPr>
        <w:t xml:space="preserve"> i dos</w:t>
      </w:r>
      <w:r w:rsidR="00ED3016" w:rsidRPr="006A22D3">
        <w:rPr>
          <w:noProof/>
        </w:rPr>
        <w:t>tarczają surowce, produkty, części produktów lub świadczą usługi na rzecz przedsiębiorstwa, które są niezbędne do prowadzenia działalności przedsiębiorstwa,</w:t>
      </w:r>
      <w:r w:rsidR="006A22D3" w:rsidRPr="006A22D3">
        <w:rPr>
          <w:noProof/>
        </w:rPr>
        <w:t xml:space="preserve"> a tak</w:t>
      </w:r>
      <w:r w:rsidR="00ED3016" w:rsidRPr="006A22D3">
        <w:rPr>
          <w:noProof/>
        </w:rPr>
        <w:t>że relacje na niższym szczeblu łańcucha dostaw,</w:t>
      </w:r>
      <w:r w:rsidR="006A22D3" w:rsidRPr="006A22D3">
        <w:rPr>
          <w:noProof/>
        </w:rPr>
        <w:t xml:space="preserve"> w tym</w:t>
      </w:r>
      <w:r w:rsidR="00ED3016" w:rsidRPr="006A22D3">
        <w:rPr>
          <w:noProof/>
        </w:rPr>
        <w:t xml:space="preserve"> bezpośrednie</w:t>
      </w:r>
      <w:r w:rsidR="006A22D3" w:rsidRPr="006A22D3">
        <w:rPr>
          <w:noProof/>
        </w:rPr>
        <w:t xml:space="preserve"> i poś</w:t>
      </w:r>
      <w:r w:rsidR="00ED3016" w:rsidRPr="006A22D3">
        <w:rPr>
          <w:noProof/>
        </w:rPr>
        <w:t>rednie relacje biznesowe</w:t>
      </w:r>
      <w:r w:rsidR="006A22D3" w:rsidRPr="006A22D3">
        <w:rPr>
          <w:noProof/>
        </w:rPr>
        <w:t xml:space="preserve"> z par</w:t>
      </w:r>
      <w:r w:rsidR="00ED3016" w:rsidRPr="006A22D3">
        <w:rPr>
          <w:noProof/>
        </w:rPr>
        <w:t>tnerami, którzy wykorzystują lub otrzymują produkty, części produktów lub usługi od przedsiębiorstwa aż do końca przydatności produktu do użycia,</w:t>
      </w:r>
      <w:r w:rsidR="006A22D3" w:rsidRPr="006A22D3">
        <w:rPr>
          <w:noProof/>
        </w:rPr>
        <w:t xml:space="preserve"> w tym</w:t>
      </w:r>
      <w:r w:rsidR="00ED3016" w:rsidRPr="006A22D3">
        <w:rPr>
          <w:noProof/>
        </w:rPr>
        <w:t xml:space="preserve"> między innymi dystrybucję produktu do sprzedawców detalicznych, transport</w:t>
      </w:r>
      <w:r w:rsidR="006A22D3" w:rsidRPr="006A22D3">
        <w:rPr>
          <w:noProof/>
        </w:rPr>
        <w:t xml:space="preserve"> i prz</w:t>
      </w:r>
      <w:r w:rsidR="00ED3016" w:rsidRPr="006A22D3">
        <w:rPr>
          <w:noProof/>
        </w:rPr>
        <w:t xml:space="preserve">echowywanie produktu, demontaż produktu, jego recykling, kompostowanie lub składowanie. </w:t>
      </w:r>
    </w:p>
    <w:p w:rsidR="00F60D22" w:rsidRPr="006A22D3" w:rsidRDefault="00D91F29" w:rsidP="00D91F29">
      <w:pPr>
        <w:pStyle w:val="ManualConsidrant"/>
        <w:rPr>
          <w:noProof/>
        </w:rPr>
      </w:pPr>
      <w:r w:rsidRPr="00D91F29">
        <w:t>(19)</w:t>
      </w:r>
      <w:r w:rsidRPr="00D91F29">
        <w:tab/>
      </w:r>
      <w:r w:rsidR="00EA1A35" w:rsidRPr="006A22D3">
        <w:rPr>
          <w:noProof/>
        </w:rPr>
        <w:t>Jeżeli chodzi</w:t>
      </w:r>
      <w:r w:rsidR="006A22D3" w:rsidRPr="006A22D3">
        <w:rPr>
          <w:noProof/>
        </w:rPr>
        <w:t xml:space="preserve"> o reg</w:t>
      </w:r>
      <w:r w:rsidR="00EA1A35" w:rsidRPr="006A22D3">
        <w:rPr>
          <w:noProof/>
        </w:rPr>
        <w:t>ulowane przedsiębiorstwa finansowe świadczące usługi pożyczkowe, kredytowe lub inne usługi finansowe, „łańcuch wartości”</w:t>
      </w:r>
      <w:r w:rsidR="006A22D3" w:rsidRPr="006A22D3">
        <w:rPr>
          <w:noProof/>
        </w:rPr>
        <w:t xml:space="preserve"> w odn</w:t>
      </w:r>
      <w:r w:rsidR="00EA1A35" w:rsidRPr="006A22D3">
        <w:rPr>
          <w:noProof/>
        </w:rPr>
        <w:t>iesieniu do świadczenia takich usług powinien być ograniczony do działalności klientów otrzymujących takie usługi oraz ich jednostek zależnych, których działalność jest związana</w:t>
      </w:r>
      <w:r w:rsidR="006A22D3" w:rsidRPr="006A22D3">
        <w:rPr>
          <w:noProof/>
        </w:rPr>
        <w:t xml:space="preserve"> z dan</w:t>
      </w:r>
      <w:r w:rsidR="00EA1A35" w:rsidRPr="006A22D3">
        <w:rPr>
          <w:noProof/>
        </w:rPr>
        <w:t>ą umową. Za część łańcucha wartości nie należy uznawać klientów będących gospodarstwami domowymi</w:t>
      </w:r>
      <w:r w:rsidR="006A22D3" w:rsidRPr="006A22D3">
        <w:rPr>
          <w:noProof/>
        </w:rPr>
        <w:t xml:space="preserve"> i oso</w:t>
      </w:r>
      <w:r w:rsidR="00EA1A35" w:rsidRPr="006A22D3">
        <w:rPr>
          <w:noProof/>
        </w:rPr>
        <w:t>bami fizycznymi niedziałającymi</w:t>
      </w:r>
      <w:r w:rsidR="006A22D3" w:rsidRPr="006A22D3">
        <w:rPr>
          <w:noProof/>
        </w:rPr>
        <w:t xml:space="preserve"> w ram</w:t>
      </w:r>
      <w:r w:rsidR="00EA1A35" w:rsidRPr="006A22D3">
        <w:rPr>
          <w:noProof/>
        </w:rPr>
        <w:t>ach działalności zawodowej lub gospodarczej, jak również małych</w:t>
      </w:r>
      <w:r w:rsidR="006A22D3" w:rsidRPr="006A22D3">
        <w:rPr>
          <w:noProof/>
        </w:rPr>
        <w:t xml:space="preserve"> i śre</w:t>
      </w:r>
      <w:r w:rsidR="00EA1A35" w:rsidRPr="006A22D3">
        <w:rPr>
          <w:noProof/>
        </w:rPr>
        <w:t>dnich przedsiębiorstw. Nie należy uwzględniać działalności przedsiębiorstw lub innych osób prawnych, które są częścią łańcucha wartości takich klientów.</w:t>
      </w:r>
      <w:r w:rsidR="00192E90" w:rsidRPr="006A22D3">
        <w:rPr>
          <w:noProof/>
        </w:rPr>
        <w:t xml:space="preserve"> </w:t>
      </w:r>
    </w:p>
    <w:p w:rsidR="00ED3016" w:rsidRPr="006A22D3" w:rsidRDefault="00D91F29" w:rsidP="00D91F29">
      <w:pPr>
        <w:pStyle w:val="ManualConsidrant"/>
        <w:rPr>
          <w:noProof/>
        </w:rPr>
      </w:pPr>
      <w:r w:rsidRPr="00D91F29">
        <w:t>(20)</w:t>
      </w:r>
      <w:r w:rsidRPr="00D91F29">
        <w:tab/>
      </w:r>
      <w:r w:rsidR="002F5031" w:rsidRPr="006A22D3">
        <w:rPr>
          <w:noProof/>
        </w:rPr>
        <w:t>W celu umożliwienia przedsiębiorstwom właściwej identyfikacji niekorzystnych skutków</w:t>
      </w:r>
      <w:r w:rsidR="006A22D3" w:rsidRPr="006A22D3">
        <w:rPr>
          <w:noProof/>
        </w:rPr>
        <w:t xml:space="preserve"> w ich</w:t>
      </w:r>
      <w:r w:rsidR="002F5031" w:rsidRPr="006A22D3">
        <w:rPr>
          <w:noProof/>
        </w:rPr>
        <w:t xml:space="preserve"> łańcuchu wartości oraz umożliwienia im wywarcia odpowiedniego wpływu obowiązki</w:t>
      </w:r>
      <w:r w:rsidR="006A22D3" w:rsidRPr="006A22D3">
        <w:rPr>
          <w:noProof/>
        </w:rPr>
        <w:t xml:space="preserve"> w zak</w:t>
      </w:r>
      <w:r w:rsidR="002F5031" w:rsidRPr="006A22D3">
        <w:rPr>
          <w:noProof/>
        </w:rPr>
        <w:t>resie należytej staranności powinny zostać ograniczone</w:t>
      </w:r>
      <w:r w:rsidR="006A22D3" w:rsidRPr="006A22D3">
        <w:rPr>
          <w:noProof/>
        </w:rPr>
        <w:t xml:space="preserve"> w nin</w:t>
      </w:r>
      <w:r w:rsidR="002F5031" w:rsidRPr="006A22D3">
        <w:rPr>
          <w:noProof/>
        </w:rPr>
        <w:t>iejszej dyrektywie do stałych relacji biznesowych. Do celów niniejszej dyrektywy stałe relacje biznesowe powinny oznaczać bezpośrednie lub pośrednie relacje biznesowe, które są trwałe lub zgodnie</w:t>
      </w:r>
      <w:r w:rsidR="006A22D3" w:rsidRPr="006A22D3">
        <w:rPr>
          <w:noProof/>
        </w:rPr>
        <w:t xml:space="preserve"> z ocz</w:t>
      </w:r>
      <w:r w:rsidR="002F5031" w:rsidRPr="006A22D3">
        <w:rPr>
          <w:noProof/>
        </w:rPr>
        <w:t>ekiwaniami będą trwałe, ze względu na ich intensywność</w:t>
      </w:r>
      <w:r w:rsidR="006A22D3" w:rsidRPr="006A22D3">
        <w:rPr>
          <w:noProof/>
        </w:rPr>
        <w:t xml:space="preserve"> i cza</w:t>
      </w:r>
      <w:r w:rsidR="002F5031" w:rsidRPr="006A22D3">
        <w:rPr>
          <w:noProof/>
        </w:rPr>
        <w:t>s trwania,</w:t>
      </w:r>
      <w:r w:rsidR="006A22D3" w:rsidRPr="006A22D3">
        <w:rPr>
          <w:noProof/>
        </w:rPr>
        <w:t xml:space="preserve"> i któ</w:t>
      </w:r>
      <w:r w:rsidR="002F5031" w:rsidRPr="006A22D3">
        <w:rPr>
          <w:noProof/>
        </w:rPr>
        <w:t>re nie stanowią nieistotnej lub jedynie pomocniczej części łańcucha wartości. „Stałość” relacji biznesowych powinno się oceniać regularnie,</w:t>
      </w:r>
      <w:r w:rsidR="006A22D3" w:rsidRPr="006A22D3">
        <w:rPr>
          <w:noProof/>
        </w:rPr>
        <w:t xml:space="preserve"> a prz</w:t>
      </w:r>
      <w:r w:rsidR="002F5031" w:rsidRPr="006A22D3">
        <w:rPr>
          <w:noProof/>
        </w:rPr>
        <w:t>ynajmniej co</w:t>
      </w:r>
      <w:r w:rsidR="00192E90" w:rsidRPr="006A22D3">
        <w:rPr>
          <w:noProof/>
        </w:rPr>
        <w:t> </w:t>
      </w:r>
      <w:r w:rsidR="002F5031" w:rsidRPr="006A22D3">
        <w:rPr>
          <w:noProof/>
        </w:rPr>
        <w:t>12 miesięcy. Jeśli bezpośrednie relacje biznesowe przedsiębiorstwa mają charakter stały, wówczas wszystkie powiązane pośrednie relacje biznesowe powinny być również uznane za stałe</w:t>
      </w:r>
      <w:r w:rsidR="006A22D3" w:rsidRPr="006A22D3">
        <w:rPr>
          <w:noProof/>
        </w:rPr>
        <w:t xml:space="preserve"> w odn</w:t>
      </w:r>
      <w:r w:rsidR="002F5031" w:rsidRPr="006A22D3">
        <w:rPr>
          <w:noProof/>
        </w:rPr>
        <w:t xml:space="preserve">iesieniu do tego przedsiębiorstwa. </w:t>
      </w:r>
    </w:p>
    <w:p w:rsidR="00AF58E9" w:rsidRPr="006A22D3" w:rsidRDefault="00D91F29" w:rsidP="00D91F29">
      <w:pPr>
        <w:pStyle w:val="ManualConsidrant"/>
        <w:rPr>
          <w:noProof/>
        </w:rPr>
      </w:pPr>
      <w:r w:rsidRPr="00D91F29">
        <w:t>(21)</w:t>
      </w:r>
      <w:r w:rsidRPr="00D91F29">
        <w:tab/>
      </w:r>
      <w:r w:rsidR="00ED3016" w:rsidRPr="006A22D3">
        <w:rPr>
          <w:noProof/>
        </w:rPr>
        <w:tab/>
        <w:t>Zgodnie</w:t>
      </w:r>
      <w:r w:rsidR="006A22D3" w:rsidRPr="006A22D3">
        <w:rPr>
          <w:noProof/>
        </w:rPr>
        <w:t xml:space="preserve"> z nin</w:t>
      </w:r>
      <w:r w:rsidR="00ED3016" w:rsidRPr="006A22D3">
        <w:rPr>
          <w:noProof/>
        </w:rPr>
        <w:t>iejszą dyrektywą przedsiębiorstwa unijne zatrudniające średnio ponad 500 pracowników</w:t>
      </w:r>
      <w:r w:rsidR="006A22D3" w:rsidRPr="006A22D3">
        <w:rPr>
          <w:noProof/>
        </w:rPr>
        <w:t xml:space="preserve"> i odn</w:t>
      </w:r>
      <w:r w:rsidR="00ED3016" w:rsidRPr="006A22D3">
        <w:rPr>
          <w:noProof/>
        </w:rPr>
        <w:t>otowujące przychody netto ze sprzedaży</w:t>
      </w:r>
      <w:r w:rsidR="006A22D3" w:rsidRPr="006A22D3">
        <w:rPr>
          <w:noProof/>
        </w:rPr>
        <w:t xml:space="preserve"> w ska</w:t>
      </w:r>
      <w:r w:rsidR="00ED3016" w:rsidRPr="006A22D3">
        <w:rPr>
          <w:noProof/>
        </w:rPr>
        <w:t>li światowej powyżej 150 mln EUR</w:t>
      </w:r>
      <w:r w:rsidR="006A22D3" w:rsidRPr="006A22D3">
        <w:rPr>
          <w:noProof/>
        </w:rPr>
        <w:t xml:space="preserve"> w rok</w:t>
      </w:r>
      <w:r w:rsidR="00ED3016" w:rsidRPr="006A22D3">
        <w:rPr>
          <w:noProof/>
        </w:rPr>
        <w:t>u obrotowym poprzedzającym ostatni rok obrotowy powinny być zobowiązane do przestrzegania zasad należytej staranności</w:t>
      </w:r>
      <w:r w:rsidR="006A22D3" w:rsidRPr="006A22D3">
        <w:rPr>
          <w:noProof/>
        </w:rPr>
        <w:t>. W odn</w:t>
      </w:r>
      <w:r w:rsidR="00ED3016" w:rsidRPr="006A22D3">
        <w:rPr>
          <w:noProof/>
        </w:rPr>
        <w:t>iesieniu do przedsiębiorstw, które nie spełniają tych kryteriów, ale które zatrudniały średnio ponad 250 pracowników</w:t>
      </w:r>
      <w:r w:rsidR="006A22D3" w:rsidRPr="006A22D3">
        <w:rPr>
          <w:noProof/>
        </w:rPr>
        <w:t xml:space="preserve"> i odn</w:t>
      </w:r>
      <w:r w:rsidR="00ED3016" w:rsidRPr="006A22D3">
        <w:rPr>
          <w:noProof/>
        </w:rPr>
        <w:t>otowywały przychody netto ze sprzedaży</w:t>
      </w:r>
      <w:r w:rsidR="006A22D3" w:rsidRPr="006A22D3">
        <w:rPr>
          <w:noProof/>
        </w:rPr>
        <w:t xml:space="preserve"> w ska</w:t>
      </w:r>
      <w:r w:rsidR="00ED3016" w:rsidRPr="006A22D3">
        <w:rPr>
          <w:noProof/>
        </w:rPr>
        <w:t>li światowej powyżej 40 mln EUR światowych obrotów netto</w:t>
      </w:r>
      <w:r w:rsidR="006A22D3" w:rsidRPr="006A22D3">
        <w:rPr>
          <w:noProof/>
        </w:rPr>
        <w:t xml:space="preserve"> w rok</w:t>
      </w:r>
      <w:r w:rsidR="00ED3016" w:rsidRPr="006A22D3">
        <w:rPr>
          <w:noProof/>
        </w:rPr>
        <w:t>u obrotowym poprzedzającym ostatni rok obrotowy oraz które działają</w:t>
      </w:r>
      <w:r w:rsidR="006A22D3" w:rsidRPr="006A22D3">
        <w:rPr>
          <w:noProof/>
        </w:rPr>
        <w:t xml:space="preserve"> w jed</w:t>
      </w:r>
      <w:r w:rsidR="00ED3016" w:rsidRPr="006A22D3">
        <w:rPr>
          <w:noProof/>
        </w:rPr>
        <w:t>nym lub kilku sektorach</w:t>
      </w:r>
      <w:r w:rsidR="006A22D3" w:rsidRPr="006A22D3">
        <w:rPr>
          <w:noProof/>
        </w:rPr>
        <w:t xml:space="preserve"> o duż</w:t>
      </w:r>
      <w:r w:rsidR="00ED3016" w:rsidRPr="006A22D3">
        <w:rPr>
          <w:noProof/>
        </w:rPr>
        <w:t>ym wpływie, zasady należytej staranności należy zacząć stosować dwa lata po zakończeniu okresu transpozycji niniejszej dyrektywy, aby zapewnić więcej czasu na dostosowanie</w:t>
      </w:r>
      <w:r w:rsidR="006A22D3" w:rsidRPr="006A22D3">
        <w:rPr>
          <w:noProof/>
        </w:rPr>
        <w:t>. W cel</w:t>
      </w:r>
      <w:r w:rsidR="00ED3016" w:rsidRPr="006A22D3">
        <w:rPr>
          <w:noProof/>
        </w:rPr>
        <w:t>u zapewnienia, aby obciążenie było rozłożone proporcjonalnie, przedsiębiorstwa działające</w:t>
      </w:r>
      <w:r w:rsidR="006A22D3" w:rsidRPr="006A22D3">
        <w:rPr>
          <w:noProof/>
        </w:rPr>
        <w:t xml:space="preserve"> w sek</w:t>
      </w:r>
      <w:r w:rsidR="00ED3016" w:rsidRPr="006A22D3">
        <w:rPr>
          <w:noProof/>
        </w:rPr>
        <w:t>torach</w:t>
      </w:r>
      <w:r w:rsidR="006A22D3" w:rsidRPr="006A22D3">
        <w:rPr>
          <w:noProof/>
        </w:rPr>
        <w:t xml:space="preserve"> o duż</w:t>
      </w:r>
      <w:r w:rsidR="00ED3016" w:rsidRPr="006A22D3">
        <w:rPr>
          <w:noProof/>
        </w:rPr>
        <w:t>ym wpływie powinny zostać zobowiązane do przestrzegania bardziej ukierunkowanych zasad należytej staranności, koncentrujących się na poważnych niekorzystnych skutkach. Przy obliczaniu liczby pracowników</w:t>
      </w:r>
      <w:r w:rsidR="006A22D3" w:rsidRPr="006A22D3">
        <w:rPr>
          <w:noProof/>
        </w:rPr>
        <w:t xml:space="preserve"> w prz</w:t>
      </w:r>
      <w:r w:rsidR="00ED3016" w:rsidRPr="006A22D3">
        <w:rPr>
          <w:noProof/>
        </w:rPr>
        <w:t>edsiębiorstwie będącym użytkownikiem powinno się uwzględniać pracowników tymczasowych,</w:t>
      </w:r>
      <w:r w:rsidR="006A22D3" w:rsidRPr="006A22D3">
        <w:rPr>
          <w:noProof/>
        </w:rPr>
        <w:t xml:space="preserve"> w tym</w:t>
      </w:r>
      <w:r w:rsidR="00ED3016" w:rsidRPr="006A22D3">
        <w:rPr>
          <w:noProof/>
        </w:rPr>
        <w:t xml:space="preserve"> pracowników delegowanych na podstawie art.</w:t>
      </w:r>
      <w:r w:rsidR="00192E90" w:rsidRPr="006A22D3">
        <w:rPr>
          <w:noProof/>
        </w:rPr>
        <w:t> </w:t>
      </w:r>
      <w:r w:rsidR="00ED3016" w:rsidRPr="006A22D3">
        <w:rPr>
          <w:noProof/>
        </w:rPr>
        <w:t>1 ust.</w:t>
      </w:r>
      <w:r w:rsidR="00192E90" w:rsidRPr="006A22D3">
        <w:rPr>
          <w:noProof/>
        </w:rPr>
        <w:t> </w:t>
      </w:r>
      <w:r w:rsidR="00ED3016" w:rsidRPr="006A22D3">
        <w:rPr>
          <w:noProof/>
        </w:rPr>
        <w:t>3 lit.</w:t>
      </w:r>
      <w:r w:rsidR="00192E90" w:rsidRPr="006A22D3">
        <w:rPr>
          <w:noProof/>
        </w:rPr>
        <w:t> </w:t>
      </w:r>
      <w:r w:rsidR="00ED3016" w:rsidRPr="006A22D3">
        <w:rPr>
          <w:noProof/>
        </w:rPr>
        <w:t>c) dyrektywy 96/71/WE zmienionej dyrektywą Parlamentu Europejskiego</w:t>
      </w:r>
      <w:r w:rsidR="006A22D3" w:rsidRPr="006A22D3">
        <w:rPr>
          <w:noProof/>
        </w:rPr>
        <w:t xml:space="preserve"> i Rad</w:t>
      </w:r>
      <w:r w:rsidR="00ED3016" w:rsidRPr="006A22D3">
        <w:rPr>
          <w:noProof/>
        </w:rPr>
        <w:t>y 2018/957/UE</w:t>
      </w:r>
      <w:r w:rsidR="00AF58E9" w:rsidRPr="006A22D3">
        <w:rPr>
          <w:rStyle w:val="FootnoteReference"/>
          <w:noProof/>
        </w:rPr>
        <w:footnoteReference w:id="104"/>
      </w:r>
      <w:r w:rsidR="00ED3016" w:rsidRPr="006A22D3">
        <w:rPr>
          <w:noProof/>
        </w:rPr>
        <w:t>. Pracownicy delegowani na podstawie art.</w:t>
      </w:r>
      <w:r w:rsidR="00192E90" w:rsidRPr="006A22D3">
        <w:rPr>
          <w:noProof/>
        </w:rPr>
        <w:t> </w:t>
      </w:r>
      <w:r w:rsidR="00ED3016" w:rsidRPr="006A22D3">
        <w:rPr>
          <w:noProof/>
        </w:rPr>
        <w:t>1 ust.</w:t>
      </w:r>
      <w:r w:rsidR="00192E90" w:rsidRPr="006A22D3">
        <w:rPr>
          <w:noProof/>
        </w:rPr>
        <w:t> </w:t>
      </w:r>
      <w:r w:rsidR="00ED3016" w:rsidRPr="006A22D3">
        <w:rPr>
          <w:noProof/>
        </w:rPr>
        <w:t>3 lit.</w:t>
      </w:r>
      <w:r w:rsidR="00192E90" w:rsidRPr="006A22D3">
        <w:rPr>
          <w:noProof/>
        </w:rPr>
        <w:t> </w:t>
      </w:r>
      <w:r w:rsidR="00ED3016" w:rsidRPr="006A22D3">
        <w:rPr>
          <w:noProof/>
        </w:rPr>
        <w:t>a) i b) dyrektywy 96/71/WE zmienionej dyrektywą 2018/957/UE powinni być uwzględniani wyłącznie przy obliczaniu liczby pracowników przedsiębiorstwa wysyłającego.</w:t>
      </w:r>
    </w:p>
    <w:p w:rsidR="00232B18" w:rsidRPr="006A22D3" w:rsidRDefault="00D91F29" w:rsidP="00D91F29">
      <w:pPr>
        <w:pStyle w:val="ManualConsidrant"/>
        <w:rPr>
          <w:noProof/>
        </w:rPr>
      </w:pPr>
      <w:r w:rsidRPr="00D91F29">
        <w:t>(22)</w:t>
      </w:r>
      <w:r w:rsidRPr="00D91F29">
        <w:tab/>
      </w:r>
      <w:r w:rsidR="006A0E14" w:rsidRPr="006A22D3">
        <w:rPr>
          <w:noProof/>
        </w:rPr>
        <w:t>Aby odzwierciedlić obszary priorytetowe działań międzynarodowych mających na celu rozwiązywanie problemów związanych</w:t>
      </w:r>
      <w:r w:rsidR="006A22D3" w:rsidRPr="006A22D3">
        <w:rPr>
          <w:noProof/>
        </w:rPr>
        <w:t xml:space="preserve"> z pra</w:t>
      </w:r>
      <w:r w:rsidR="006A0E14" w:rsidRPr="006A22D3">
        <w:rPr>
          <w:noProof/>
        </w:rPr>
        <w:t>wami człowieka</w:t>
      </w:r>
      <w:r w:rsidR="006A22D3" w:rsidRPr="006A22D3">
        <w:rPr>
          <w:noProof/>
        </w:rPr>
        <w:t xml:space="preserve"> i śro</w:t>
      </w:r>
      <w:r w:rsidR="006A0E14" w:rsidRPr="006A22D3">
        <w:rPr>
          <w:noProof/>
        </w:rPr>
        <w:t>dowiskiem, dobór sektorów</w:t>
      </w:r>
      <w:r w:rsidR="006A22D3" w:rsidRPr="006A22D3">
        <w:rPr>
          <w:noProof/>
        </w:rPr>
        <w:t xml:space="preserve"> o duż</w:t>
      </w:r>
      <w:r w:rsidR="006A0E14" w:rsidRPr="006A22D3">
        <w:rPr>
          <w:noProof/>
        </w:rPr>
        <w:t>ym wpływie do celów niniejszej dyrektywy powinien opierać się na istniejących sektorowych wytycznych OECD dotyczących należytej staranności. Do celów niniejszej dyrektywy za sektory</w:t>
      </w:r>
      <w:r w:rsidR="006A22D3" w:rsidRPr="006A22D3">
        <w:rPr>
          <w:noProof/>
        </w:rPr>
        <w:t xml:space="preserve"> o duż</w:t>
      </w:r>
      <w:r w:rsidR="006A0E14" w:rsidRPr="006A22D3">
        <w:rPr>
          <w:noProof/>
        </w:rPr>
        <w:t>ym wpływie należy uznać następujące sektory: produkcja wyrobów tekstylnych, skór</w:t>
      </w:r>
      <w:r w:rsidR="006A22D3" w:rsidRPr="006A22D3">
        <w:rPr>
          <w:noProof/>
        </w:rPr>
        <w:t xml:space="preserve"> i wyr</w:t>
      </w:r>
      <w:r w:rsidR="006A0E14" w:rsidRPr="006A22D3">
        <w:rPr>
          <w:noProof/>
        </w:rPr>
        <w:t>obów ze skór wyprawionych (w tym obuwia) oraz sprzedaż hurtowa wyrobów tekstylnych, odzieży</w:t>
      </w:r>
      <w:r w:rsidR="006A22D3" w:rsidRPr="006A22D3">
        <w:rPr>
          <w:noProof/>
        </w:rPr>
        <w:t xml:space="preserve"> i obu</w:t>
      </w:r>
      <w:r w:rsidR="006A0E14" w:rsidRPr="006A22D3">
        <w:rPr>
          <w:noProof/>
        </w:rPr>
        <w:t>wia; rolnictwo, leśnictwo, rybołówstwo (w tym akwakultura), produkcja artykułów spożywczych oraz sprzedaż hurtowa płodów rolnych, żywych zwierząt, drewna, żywności</w:t>
      </w:r>
      <w:r w:rsidR="006A22D3" w:rsidRPr="006A22D3">
        <w:rPr>
          <w:noProof/>
        </w:rPr>
        <w:t xml:space="preserve"> i nap</w:t>
      </w:r>
      <w:r w:rsidR="006A0E14" w:rsidRPr="006A22D3">
        <w:rPr>
          <w:noProof/>
        </w:rPr>
        <w:t>ojów; wydobycie surowców mineralnych niezależnie od miejsca ich wydobycia (w tym ropy naftowej, gazu ziemnego, węgla kamiennego, węgla brunatnego (lignitu), metali</w:t>
      </w:r>
      <w:r w:rsidR="006A22D3" w:rsidRPr="006A22D3">
        <w:rPr>
          <w:noProof/>
        </w:rPr>
        <w:t xml:space="preserve"> i rud</w:t>
      </w:r>
      <w:r w:rsidR="006A0E14" w:rsidRPr="006A22D3">
        <w:rPr>
          <w:noProof/>
        </w:rPr>
        <w:t xml:space="preserve"> metali, jak również wszystkich innych niemetalicznych surowców mineralnych</w:t>
      </w:r>
      <w:r w:rsidR="006A22D3" w:rsidRPr="006A22D3">
        <w:rPr>
          <w:noProof/>
        </w:rPr>
        <w:t xml:space="preserve"> i pro</w:t>
      </w:r>
      <w:r w:rsidR="006A0E14" w:rsidRPr="006A22D3">
        <w:rPr>
          <w:noProof/>
        </w:rPr>
        <w:t>duktów</w:t>
      </w:r>
      <w:r w:rsidR="006A22D3" w:rsidRPr="006A22D3">
        <w:rPr>
          <w:noProof/>
        </w:rPr>
        <w:t xml:space="preserve"> z kam</w:t>
      </w:r>
      <w:r w:rsidR="006A0E14" w:rsidRPr="006A22D3">
        <w:rPr>
          <w:noProof/>
        </w:rPr>
        <w:t>ieniołomów), produkcja podstawowych wyrobów metalowych, innych produktów</w:t>
      </w:r>
      <w:r w:rsidR="006A22D3" w:rsidRPr="006A22D3">
        <w:rPr>
          <w:noProof/>
        </w:rPr>
        <w:t xml:space="preserve"> z nie</w:t>
      </w:r>
      <w:r w:rsidR="006A0E14" w:rsidRPr="006A22D3">
        <w:rPr>
          <w:noProof/>
        </w:rPr>
        <w:t>metalicznych surowców mineralnych</w:t>
      </w:r>
      <w:r w:rsidR="006A22D3" w:rsidRPr="006A22D3">
        <w:rPr>
          <w:noProof/>
        </w:rPr>
        <w:t xml:space="preserve"> i got</w:t>
      </w:r>
      <w:r w:rsidR="006A0E14" w:rsidRPr="006A22D3">
        <w:rPr>
          <w:noProof/>
        </w:rPr>
        <w:t>owych wyrobów metalowych (z wyjątkiem maszyn</w:t>
      </w:r>
      <w:r w:rsidR="006A22D3" w:rsidRPr="006A22D3">
        <w:rPr>
          <w:noProof/>
        </w:rPr>
        <w:t xml:space="preserve"> i urz</w:t>
      </w:r>
      <w:r w:rsidR="006A0E14" w:rsidRPr="006A22D3">
        <w:rPr>
          <w:noProof/>
        </w:rPr>
        <w:t>ądzeń) oraz handel hurtowy surowcami mineralnymi, podstawowymi</w:t>
      </w:r>
      <w:r w:rsidR="006A22D3" w:rsidRPr="006A22D3">
        <w:rPr>
          <w:noProof/>
        </w:rPr>
        <w:t xml:space="preserve"> i poś</w:t>
      </w:r>
      <w:r w:rsidR="006A0E14" w:rsidRPr="006A22D3">
        <w:rPr>
          <w:noProof/>
        </w:rPr>
        <w:t>rednimi produktami mineralnymi (w tym metalami</w:t>
      </w:r>
      <w:r w:rsidR="006A22D3" w:rsidRPr="006A22D3">
        <w:rPr>
          <w:noProof/>
        </w:rPr>
        <w:t xml:space="preserve"> i rud</w:t>
      </w:r>
      <w:r w:rsidR="006A0E14" w:rsidRPr="006A22D3">
        <w:rPr>
          <w:noProof/>
        </w:rPr>
        <w:t>ami metali, materiałami budowlanymi, paliwami, chemikaliami</w:t>
      </w:r>
      <w:r w:rsidR="006A22D3" w:rsidRPr="006A22D3">
        <w:rPr>
          <w:noProof/>
        </w:rPr>
        <w:t xml:space="preserve"> i inn</w:t>
      </w:r>
      <w:r w:rsidR="006A0E14" w:rsidRPr="006A22D3">
        <w:rPr>
          <w:noProof/>
        </w:rPr>
        <w:t>ymi produktami pośrednimi). Jeśli chodzi</w:t>
      </w:r>
      <w:r w:rsidR="006A22D3" w:rsidRPr="006A22D3">
        <w:rPr>
          <w:noProof/>
        </w:rPr>
        <w:t xml:space="preserve"> o sek</w:t>
      </w:r>
      <w:r w:rsidR="006A0E14" w:rsidRPr="006A22D3">
        <w:rPr>
          <w:noProof/>
        </w:rPr>
        <w:t>tor finansowy, to ze względu na jego specyfikę –</w:t>
      </w:r>
      <w:r w:rsidR="006A22D3" w:rsidRPr="006A22D3">
        <w:rPr>
          <w:noProof/>
        </w:rPr>
        <w:t xml:space="preserve"> w szc</w:t>
      </w:r>
      <w:r w:rsidR="006A0E14" w:rsidRPr="006A22D3">
        <w:rPr>
          <w:noProof/>
        </w:rPr>
        <w:t>zególności</w:t>
      </w:r>
      <w:r w:rsidR="006A22D3" w:rsidRPr="006A22D3">
        <w:rPr>
          <w:noProof/>
        </w:rPr>
        <w:t xml:space="preserve"> w odn</w:t>
      </w:r>
      <w:r w:rsidR="006A0E14" w:rsidRPr="006A22D3">
        <w:rPr>
          <w:noProof/>
        </w:rPr>
        <w:t>iesieniu do łańcucha wartości</w:t>
      </w:r>
      <w:r w:rsidR="006A22D3" w:rsidRPr="006A22D3">
        <w:rPr>
          <w:noProof/>
        </w:rPr>
        <w:t xml:space="preserve"> i ofe</w:t>
      </w:r>
      <w:r w:rsidR="006A0E14" w:rsidRPr="006A22D3">
        <w:rPr>
          <w:noProof/>
        </w:rPr>
        <w:t>rowanych usług – nawet jeśli jest on objęty sektorowymi wytycznymi OECD, nie powinno się go zaliczać do sektorów</w:t>
      </w:r>
      <w:r w:rsidR="006A22D3" w:rsidRPr="006A22D3">
        <w:rPr>
          <w:noProof/>
        </w:rPr>
        <w:t xml:space="preserve"> o duż</w:t>
      </w:r>
      <w:r w:rsidR="006A0E14" w:rsidRPr="006A22D3">
        <w:rPr>
          <w:noProof/>
        </w:rPr>
        <w:t>ym wpływie objętych niniejszą dyrektywą. Jednocześnie należy szerzej uwzględnić rzeczywiste</w:t>
      </w:r>
      <w:r w:rsidR="006A22D3" w:rsidRPr="006A22D3">
        <w:rPr>
          <w:noProof/>
        </w:rPr>
        <w:t xml:space="preserve"> i pot</w:t>
      </w:r>
      <w:r w:rsidR="006A0E14" w:rsidRPr="006A22D3">
        <w:rPr>
          <w:noProof/>
        </w:rPr>
        <w:t>encjalne niekorzystne skutki</w:t>
      </w:r>
      <w:r w:rsidR="006A22D3" w:rsidRPr="006A22D3">
        <w:rPr>
          <w:noProof/>
        </w:rPr>
        <w:t xml:space="preserve"> w tym</w:t>
      </w:r>
      <w:r w:rsidR="006A0E14" w:rsidRPr="006A22D3">
        <w:rPr>
          <w:noProof/>
        </w:rPr>
        <w:t xml:space="preserve"> sektorze poprzez włączenie do zakresu bardzo dużych przedsiębiorstw, które są regulowanymi przedsiębiorstwami finansowymi, nawet jeśli nie mają formy prawnej spółki kapitałowej. </w:t>
      </w:r>
    </w:p>
    <w:p w:rsidR="00416E0E" w:rsidRPr="006A22D3" w:rsidRDefault="00D91F29" w:rsidP="00D91F29">
      <w:pPr>
        <w:pStyle w:val="ManualConsidrant"/>
        <w:rPr>
          <w:noProof/>
        </w:rPr>
      </w:pPr>
      <w:r w:rsidRPr="00D91F29">
        <w:t>(23)</w:t>
      </w:r>
      <w:r w:rsidRPr="00D91F29">
        <w:tab/>
      </w:r>
      <w:r w:rsidR="00232B18" w:rsidRPr="006A22D3">
        <w:rPr>
          <w:noProof/>
        </w:rPr>
        <w:tab/>
        <w:t>Aby</w:t>
      </w:r>
      <w:r w:rsidR="006A22D3" w:rsidRPr="006A22D3">
        <w:rPr>
          <w:noProof/>
        </w:rPr>
        <w:t xml:space="preserve"> w peł</w:t>
      </w:r>
      <w:r w:rsidR="00232B18" w:rsidRPr="006A22D3">
        <w:rPr>
          <w:noProof/>
        </w:rPr>
        <w:t>ni osiągnąć cele niniejszej dyrektywy dotyczące praw człowieka</w:t>
      </w:r>
      <w:r w:rsidR="006A22D3" w:rsidRPr="006A22D3">
        <w:rPr>
          <w:noProof/>
        </w:rPr>
        <w:t xml:space="preserve"> i nie</w:t>
      </w:r>
      <w:r w:rsidR="00232B18" w:rsidRPr="006A22D3">
        <w:rPr>
          <w:noProof/>
        </w:rPr>
        <w:t>korzystnych skutków dla środowiska</w:t>
      </w:r>
      <w:r w:rsidR="006A22D3" w:rsidRPr="006A22D3">
        <w:rPr>
          <w:noProof/>
        </w:rPr>
        <w:t xml:space="preserve"> w odn</w:t>
      </w:r>
      <w:r w:rsidR="00232B18" w:rsidRPr="006A22D3">
        <w:rPr>
          <w:noProof/>
        </w:rPr>
        <w:t>iesieniu do działalności przedsiębiorstw, ich jednostek zależnych</w:t>
      </w:r>
      <w:r w:rsidR="006A22D3" w:rsidRPr="006A22D3">
        <w:rPr>
          <w:noProof/>
        </w:rPr>
        <w:t xml:space="preserve"> i łań</w:t>
      </w:r>
      <w:r w:rsidR="00232B18" w:rsidRPr="006A22D3">
        <w:rPr>
          <w:noProof/>
        </w:rPr>
        <w:t>cuchów wartości, należy objąć jej zakresem również przedsiębiorstwa</w:t>
      </w:r>
      <w:r w:rsidR="006A22D3" w:rsidRPr="006A22D3">
        <w:rPr>
          <w:noProof/>
        </w:rPr>
        <w:t xml:space="preserve"> z pań</w:t>
      </w:r>
      <w:r w:rsidR="00232B18" w:rsidRPr="006A22D3">
        <w:rPr>
          <w:noProof/>
        </w:rPr>
        <w:t>stw trzecich, które prowadzą znaczącą działalność w UE</w:t>
      </w:r>
      <w:r w:rsidR="006A22D3" w:rsidRPr="006A22D3">
        <w:rPr>
          <w:noProof/>
        </w:rPr>
        <w:t>. W szc</w:t>
      </w:r>
      <w:r w:rsidR="00232B18" w:rsidRPr="006A22D3">
        <w:rPr>
          <w:noProof/>
        </w:rPr>
        <w:t>zególności dyrektywa powinna mieć zastosowanie do przedsiębiorstw</w:t>
      </w:r>
      <w:r w:rsidR="006A22D3" w:rsidRPr="006A22D3">
        <w:rPr>
          <w:noProof/>
        </w:rPr>
        <w:t xml:space="preserve"> z pań</w:t>
      </w:r>
      <w:r w:rsidR="00232B18" w:rsidRPr="006A22D3">
        <w:rPr>
          <w:noProof/>
        </w:rPr>
        <w:t>stw trzecich, które odnotowały</w:t>
      </w:r>
      <w:r w:rsidR="006A22D3" w:rsidRPr="006A22D3">
        <w:rPr>
          <w:noProof/>
        </w:rPr>
        <w:t xml:space="preserve"> w Uni</w:t>
      </w:r>
      <w:r w:rsidR="00232B18" w:rsidRPr="006A22D3">
        <w:rPr>
          <w:noProof/>
        </w:rPr>
        <w:t>i przychody netto ze sprzedaży</w:t>
      </w:r>
      <w:r w:rsidR="006A22D3" w:rsidRPr="006A22D3">
        <w:rPr>
          <w:noProof/>
        </w:rPr>
        <w:t xml:space="preserve"> w wys</w:t>
      </w:r>
      <w:r w:rsidR="00232B18" w:rsidRPr="006A22D3">
        <w:rPr>
          <w:noProof/>
        </w:rPr>
        <w:t>okości co najmniej 150 mln EUR</w:t>
      </w:r>
      <w:r w:rsidR="006A22D3" w:rsidRPr="006A22D3">
        <w:rPr>
          <w:noProof/>
        </w:rPr>
        <w:t xml:space="preserve"> w rok</w:t>
      </w:r>
      <w:r w:rsidR="00232B18" w:rsidRPr="006A22D3">
        <w:rPr>
          <w:noProof/>
        </w:rPr>
        <w:t>u obrotowym poprzedzającym ostatni rok obrotowy lub przychody netto ze sprzedaży</w:t>
      </w:r>
      <w:r w:rsidR="006A22D3" w:rsidRPr="006A22D3">
        <w:rPr>
          <w:noProof/>
        </w:rPr>
        <w:t xml:space="preserve"> w wys</w:t>
      </w:r>
      <w:r w:rsidR="00232B18" w:rsidRPr="006A22D3">
        <w:rPr>
          <w:noProof/>
        </w:rPr>
        <w:t>okości ponad 40 mln EUR, ale mniej niż 150 mln EUR</w:t>
      </w:r>
      <w:r w:rsidR="006A22D3" w:rsidRPr="006A22D3">
        <w:rPr>
          <w:noProof/>
        </w:rPr>
        <w:t xml:space="preserve"> w rok</w:t>
      </w:r>
      <w:r w:rsidR="00232B18" w:rsidRPr="006A22D3">
        <w:rPr>
          <w:noProof/>
        </w:rPr>
        <w:t>u obrotowym poprzedzającym ostatni rok obrotowy w co najmniej jednym</w:t>
      </w:r>
      <w:r w:rsidR="006A22D3" w:rsidRPr="006A22D3">
        <w:rPr>
          <w:noProof/>
        </w:rPr>
        <w:t xml:space="preserve"> z sek</w:t>
      </w:r>
      <w:r w:rsidR="00232B18" w:rsidRPr="006A22D3">
        <w:rPr>
          <w:noProof/>
        </w:rPr>
        <w:t>torów</w:t>
      </w:r>
      <w:r w:rsidR="006A22D3" w:rsidRPr="006A22D3">
        <w:rPr>
          <w:noProof/>
        </w:rPr>
        <w:t xml:space="preserve"> o duż</w:t>
      </w:r>
      <w:r w:rsidR="00232B18" w:rsidRPr="006A22D3">
        <w:rPr>
          <w:noProof/>
        </w:rPr>
        <w:t>ym wpływie, dwa lata po zakończeniu okresu transpozycji niniejszej dyrektywy.</w:t>
      </w:r>
    </w:p>
    <w:p w:rsidR="005A0D96" w:rsidRPr="006A22D3" w:rsidRDefault="00D91F29" w:rsidP="00D91F29">
      <w:pPr>
        <w:pStyle w:val="ManualConsidrant"/>
        <w:rPr>
          <w:noProof/>
        </w:rPr>
      </w:pPr>
      <w:r w:rsidRPr="00D91F29">
        <w:t>(24)</w:t>
      </w:r>
      <w:r w:rsidRPr="00D91F29">
        <w:tab/>
      </w:r>
      <w:r w:rsidR="00416E0E" w:rsidRPr="006A22D3">
        <w:rPr>
          <w:noProof/>
        </w:rPr>
        <w:tab/>
        <w:t>Do określenia zakresu stosowania</w:t>
      </w:r>
      <w:r w:rsidR="006A22D3" w:rsidRPr="006A22D3">
        <w:rPr>
          <w:noProof/>
        </w:rPr>
        <w:t xml:space="preserve"> w odn</w:t>
      </w:r>
      <w:r w:rsidR="00416E0E" w:rsidRPr="006A22D3">
        <w:rPr>
          <w:noProof/>
        </w:rPr>
        <w:t>iesieniu do przedsiębiorstw spoza UE należy wybrać opisane kryterium przychodu, ponieważ tworzy ono terytorialny związek między przedsiębiorstwami</w:t>
      </w:r>
      <w:r w:rsidR="006A22D3" w:rsidRPr="006A22D3">
        <w:rPr>
          <w:noProof/>
        </w:rPr>
        <w:t xml:space="preserve"> z pań</w:t>
      </w:r>
      <w:r w:rsidR="00416E0E" w:rsidRPr="006A22D3">
        <w:rPr>
          <w:noProof/>
        </w:rPr>
        <w:t>stw trzecich</w:t>
      </w:r>
      <w:r w:rsidR="006A22D3" w:rsidRPr="006A22D3">
        <w:rPr>
          <w:noProof/>
        </w:rPr>
        <w:t xml:space="preserve"> a ter</w:t>
      </w:r>
      <w:r w:rsidR="00416E0E" w:rsidRPr="006A22D3">
        <w:rPr>
          <w:noProof/>
        </w:rPr>
        <w:t>ytorium Unii. Przychód stanowi wskaźnik zastępczy oddziaływań, jakie działalność tych przedsiębiorstw mogłaby mieć na rynku wewnętrznym. Zgodnie</w:t>
      </w:r>
      <w:r w:rsidR="006A22D3" w:rsidRPr="006A22D3">
        <w:rPr>
          <w:noProof/>
        </w:rPr>
        <w:t xml:space="preserve"> z pra</w:t>
      </w:r>
      <w:r w:rsidR="00416E0E" w:rsidRPr="006A22D3">
        <w:rPr>
          <w:noProof/>
        </w:rPr>
        <w:t>wem międzynarodowym takie oddziaływania uzasadniają stosowanie prawa Unii do przedsiębiorstw</w:t>
      </w:r>
      <w:r w:rsidR="006A22D3" w:rsidRPr="006A22D3">
        <w:rPr>
          <w:noProof/>
        </w:rPr>
        <w:t xml:space="preserve"> z pań</w:t>
      </w:r>
      <w:r w:rsidR="00416E0E" w:rsidRPr="006A22D3">
        <w:rPr>
          <w:noProof/>
        </w:rPr>
        <w:t>stw trzecich. Aby zapewnić wskazanie odpowiedniego przychodu takich przedsiębiorstw, należy stosować metody obliczania przychodu netto ze sprzedaży dotyczące przedsiębiorstw spoza UE określone</w:t>
      </w:r>
      <w:r w:rsidR="006A22D3" w:rsidRPr="006A22D3">
        <w:rPr>
          <w:noProof/>
        </w:rPr>
        <w:t xml:space="preserve"> w dyr</w:t>
      </w:r>
      <w:r w:rsidR="00416E0E" w:rsidRPr="006A22D3">
        <w:rPr>
          <w:noProof/>
        </w:rPr>
        <w:t>ektywie (UE) 2013/34 zmienionej dyrektywą (UE) 2021/2101. Jednocześnie aby zapewnić skuteczne egzekwowanie niniejszej dyrektywy,</w:t>
      </w:r>
      <w:r w:rsidR="006A22D3" w:rsidRPr="006A22D3">
        <w:rPr>
          <w:noProof/>
        </w:rPr>
        <w:t xml:space="preserve"> w cel</w:t>
      </w:r>
      <w:r w:rsidR="00416E0E" w:rsidRPr="006A22D3">
        <w:rPr>
          <w:noProof/>
        </w:rPr>
        <w:t>u określenia, które przedsiębiorstwa</w:t>
      </w:r>
      <w:r w:rsidR="006A22D3" w:rsidRPr="006A22D3">
        <w:rPr>
          <w:noProof/>
        </w:rPr>
        <w:t xml:space="preserve"> z pań</w:t>
      </w:r>
      <w:r w:rsidR="00416E0E" w:rsidRPr="006A22D3">
        <w:rPr>
          <w:noProof/>
        </w:rPr>
        <w:t>stw trzecich są objęte niniejszą dyrektywą, nie należy stosować progu zatrudnienia pracowników, ponieważ pojęcie „pracowników” stosowane do celów niniejszej dyrektywy opiera się na prawie Unii</w:t>
      </w:r>
      <w:r w:rsidR="006A22D3" w:rsidRPr="006A22D3">
        <w:rPr>
          <w:noProof/>
        </w:rPr>
        <w:t xml:space="preserve"> i nie</w:t>
      </w:r>
      <w:r w:rsidR="00416E0E" w:rsidRPr="006A22D3">
        <w:rPr>
          <w:noProof/>
        </w:rPr>
        <w:t xml:space="preserve"> mogłoby być łatwo transponowane poza Unią. Wobec braku jasnych</w:t>
      </w:r>
      <w:r w:rsidR="006A22D3" w:rsidRPr="006A22D3">
        <w:rPr>
          <w:noProof/>
        </w:rPr>
        <w:t xml:space="preserve"> i spó</w:t>
      </w:r>
      <w:r w:rsidR="00416E0E" w:rsidRPr="006A22D3">
        <w:rPr>
          <w:noProof/>
        </w:rPr>
        <w:t>jnych metod –</w:t>
      </w:r>
      <w:r w:rsidR="006A22D3" w:rsidRPr="006A22D3">
        <w:rPr>
          <w:noProof/>
        </w:rPr>
        <w:t xml:space="preserve"> w tym w ram</w:t>
      </w:r>
      <w:r w:rsidR="00416E0E" w:rsidRPr="006A22D3">
        <w:rPr>
          <w:noProof/>
        </w:rPr>
        <w:t>ach standardów rachunkowości – ustalania liczby pracowników przedsiębiorstw</w:t>
      </w:r>
      <w:r w:rsidR="006A22D3" w:rsidRPr="006A22D3">
        <w:rPr>
          <w:noProof/>
        </w:rPr>
        <w:t xml:space="preserve"> z pań</w:t>
      </w:r>
      <w:r w:rsidR="00416E0E" w:rsidRPr="006A22D3">
        <w:rPr>
          <w:noProof/>
        </w:rPr>
        <w:t>stw trzecich, taki próg zatrudnienia stwarzałby brak pewności prawa</w:t>
      </w:r>
      <w:r w:rsidR="006A22D3" w:rsidRPr="006A22D3">
        <w:rPr>
          <w:noProof/>
        </w:rPr>
        <w:t xml:space="preserve"> i był</w:t>
      </w:r>
      <w:r w:rsidR="00416E0E" w:rsidRPr="006A22D3">
        <w:rPr>
          <w:noProof/>
        </w:rPr>
        <w:t>by trudny do zastosowania dla organów nadzorczych. Definicja przychodu powinna być oparta na dyrektywie 2013/34/UE,</w:t>
      </w:r>
      <w:r w:rsidR="006A22D3" w:rsidRPr="006A22D3">
        <w:rPr>
          <w:noProof/>
        </w:rPr>
        <w:t xml:space="preserve"> w któ</w:t>
      </w:r>
      <w:r w:rsidR="00416E0E" w:rsidRPr="006A22D3">
        <w:rPr>
          <w:noProof/>
        </w:rPr>
        <w:t>rej określono już metody obliczania przychodu netto ze sprzedaży dla przedsiębiorstw spoza Unii, ponieważ</w:t>
      </w:r>
      <w:r w:rsidR="006A22D3" w:rsidRPr="006A22D3">
        <w:rPr>
          <w:noProof/>
        </w:rPr>
        <w:t xml:space="preserve"> w mię</w:t>
      </w:r>
      <w:r w:rsidR="00416E0E" w:rsidRPr="006A22D3">
        <w:rPr>
          <w:noProof/>
        </w:rPr>
        <w:t>dzynarodowych standardach rachunkowości również stosuje się podobne definicje przychodu</w:t>
      </w:r>
      <w:r w:rsidR="006A22D3" w:rsidRPr="006A22D3">
        <w:rPr>
          <w:noProof/>
        </w:rPr>
        <w:t xml:space="preserve"> i doc</w:t>
      </w:r>
      <w:r w:rsidR="00416E0E" w:rsidRPr="006A22D3">
        <w:rPr>
          <w:noProof/>
        </w:rPr>
        <w:t>hodu</w:t>
      </w:r>
      <w:r w:rsidR="006A22D3" w:rsidRPr="006A22D3">
        <w:rPr>
          <w:noProof/>
        </w:rPr>
        <w:t>. W cel</w:t>
      </w:r>
      <w:r w:rsidR="00416E0E" w:rsidRPr="006A22D3">
        <w:rPr>
          <w:noProof/>
        </w:rPr>
        <w:t>u zapewnienia, aby organ nadzorczy wiedział, które przedsiębiorstwa</w:t>
      </w:r>
      <w:r w:rsidR="006A22D3" w:rsidRPr="006A22D3">
        <w:rPr>
          <w:noProof/>
        </w:rPr>
        <w:t xml:space="preserve"> z pań</w:t>
      </w:r>
      <w:r w:rsidR="00416E0E" w:rsidRPr="006A22D3">
        <w:rPr>
          <w:noProof/>
        </w:rPr>
        <w:t>stw trzecich osiągają</w:t>
      </w:r>
      <w:r w:rsidR="006A22D3" w:rsidRPr="006A22D3">
        <w:rPr>
          <w:noProof/>
        </w:rPr>
        <w:t xml:space="preserve"> w Uni</w:t>
      </w:r>
      <w:r w:rsidR="00416E0E" w:rsidRPr="006A22D3">
        <w:rPr>
          <w:noProof/>
        </w:rPr>
        <w:t>i przychód wymagany do objęcia zakresem stosowania niniejszej dyrektywy, niniejsza dyrektywa powinna wymagać, aby informację</w:t>
      </w:r>
      <w:r w:rsidR="006A22D3" w:rsidRPr="006A22D3">
        <w:rPr>
          <w:noProof/>
        </w:rPr>
        <w:t xml:space="preserve"> o tym</w:t>
      </w:r>
      <w:r w:rsidR="00416E0E" w:rsidRPr="006A22D3">
        <w:rPr>
          <w:noProof/>
        </w:rPr>
        <w:t>, że dane przedsiębiorstwo jest przedsiębiorstwem wchodzącym</w:t>
      </w:r>
      <w:r w:rsidR="006A22D3" w:rsidRPr="006A22D3">
        <w:rPr>
          <w:noProof/>
        </w:rPr>
        <w:t xml:space="preserve"> w zak</w:t>
      </w:r>
      <w:r w:rsidR="00416E0E" w:rsidRPr="006A22D3">
        <w:rPr>
          <w:noProof/>
        </w:rPr>
        <w:t>res niniejszej dyrektywy, przekazano organowi nadzorczemu</w:t>
      </w:r>
      <w:r w:rsidR="006A22D3" w:rsidRPr="006A22D3">
        <w:rPr>
          <w:noProof/>
        </w:rPr>
        <w:t xml:space="preserve"> w pań</w:t>
      </w:r>
      <w:r w:rsidR="00416E0E" w:rsidRPr="006A22D3">
        <w:rPr>
          <w:noProof/>
        </w:rPr>
        <w:t>stwie członkowskim,</w:t>
      </w:r>
      <w:r w:rsidR="006A22D3" w:rsidRPr="006A22D3">
        <w:rPr>
          <w:noProof/>
        </w:rPr>
        <w:t xml:space="preserve"> w któ</w:t>
      </w:r>
      <w:r w:rsidR="00416E0E" w:rsidRPr="006A22D3">
        <w:rPr>
          <w:noProof/>
        </w:rPr>
        <w:t>rym upoważniony przedstawiciel przedsiębiorstwa</w:t>
      </w:r>
      <w:r w:rsidR="006A22D3" w:rsidRPr="006A22D3">
        <w:rPr>
          <w:noProof/>
        </w:rPr>
        <w:t xml:space="preserve"> z pań</w:t>
      </w:r>
      <w:r w:rsidR="00416E0E" w:rsidRPr="006A22D3">
        <w:rPr>
          <w:noProof/>
        </w:rPr>
        <w:t>stwa trzeciego ma miejsce zamieszkania lub siedzibę, oraz, gdy jest to inny organ, organowi nadzorczemu</w:t>
      </w:r>
      <w:r w:rsidR="006A22D3" w:rsidRPr="006A22D3">
        <w:rPr>
          <w:noProof/>
        </w:rPr>
        <w:t xml:space="preserve"> w pań</w:t>
      </w:r>
      <w:r w:rsidR="00416E0E" w:rsidRPr="006A22D3">
        <w:rPr>
          <w:noProof/>
        </w:rPr>
        <w:t>stwie członkowskim,</w:t>
      </w:r>
      <w:r w:rsidR="006A22D3" w:rsidRPr="006A22D3">
        <w:rPr>
          <w:noProof/>
        </w:rPr>
        <w:t xml:space="preserve"> w któ</w:t>
      </w:r>
      <w:r w:rsidR="00416E0E" w:rsidRPr="006A22D3">
        <w:rPr>
          <w:noProof/>
        </w:rPr>
        <w:t>rym przedsiębiorstwo osiągnęło największą część przychodów netto ze sprzedaży</w:t>
      </w:r>
      <w:r w:rsidR="006A22D3" w:rsidRPr="006A22D3">
        <w:rPr>
          <w:noProof/>
        </w:rPr>
        <w:t xml:space="preserve"> w Uni</w:t>
      </w:r>
      <w:r w:rsidR="00416E0E" w:rsidRPr="006A22D3">
        <w:rPr>
          <w:noProof/>
        </w:rPr>
        <w:t>i</w:t>
      </w:r>
      <w:r w:rsidR="006A22D3" w:rsidRPr="006A22D3">
        <w:rPr>
          <w:noProof/>
        </w:rPr>
        <w:t xml:space="preserve"> w rok</w:t>
      </w:r>
      <w:r w:rsidR="00416E0E" w:rsidRPr="006A22D3">
        <w:rPr>
          <w:noProof/>
        </w:rPr>
        <w:t>u obrotowym poprzedzającym ostatni rok obrotowy.</w:t>
      </w:r>
      <w:r w:rsidR="00192E90" w:rsidRPr="006A22D3">
        <w:rPr>
          <w:noProof/>
        </w:rPr>
        <w:t xml:space="preserve"> </w:t>
      </w:r>
    </w:p>
    <w:p w:rsidR="00C17346" w:rsidRPr="006A22D3" w:rsidRDefault="00D91F29" w:rsidP="00D91F29">
      <w:pPr>
        <w:pStyle w:val="ManualConsidrant"/>
        <w:rPr>
          <w:noProof/>
        </w:rPr>
      </w:pPr>
      <w:r w:rsidRPr="00D91F29">
        <w:t>(25)</w:t>
      </w:r>
      <w:r w:rsidRPr="00D91F29">
        <w:tab/>
      </w:r>
      <w:r w:rsidR="00ED3016" w:rsidRPr="006A22D3">
        <w:rPr>
          <w:noProof/>
        </w:rPr>
        <w:t>Aby</w:t>
      </w:r>
      <w:r w:rsidR="006A22D3" w:rsidRPr="006A22D3">
        <w:rPr>
          <w:noProof/>
        </w:rPr>
        <w:t xml:space="preserve"> w zna</w:t>
      </w:r>
      <w:r w:rsidR="00ED3016" w:rsidRPr="006A22D3">
        <w:rPr>
          <w:noProof/>
        </w:rPr>
        <w:t>czący sposób przyczynić się do transformacji</w:t>
      </w:r>
      <w:r w:rsidR="006A22D3" w:rsidRPr="006A22D3">
        <w:rPr>
          <w:noProof/>
        </w:rPr>
        <w:t xml:space="preserve"> w str</w:t>
      </w:r>
      <w:r w:rsidR="00ED3016" w:rsidRPr="006A22D3">
        <w:rPr>
          <w:noProof/>
        </w:rPr>
        <w:t>onę modelu zrównoważonego, zasady należytej staranności określone</w:t>
      </w:r>
      <w:r w:rsidR="006A22D3" w:rsidRPr="006A22D3">
        <w:rPr>
          <w:noProof/>
        </w:rPr>
        <w:t xml:space="preserve"> w nin</w:t>
      </w:r>
      <w:r w:rsidR="00ED3016" w:rsidRPr="006A22D3">
        <w:rPr>
          <w:noProof/>
        </w:rPr>
        <w:t>iejszej dyrektywie powinny być stosowane</w:t>
      </w:r>
      <w:r w:rsidR="006A22D3" w:rsidRPr="006A22D3">
        <w:rPr>
          <w:noProof/>
        </w:rPr>
        <w:t xml:space="preserve"> z uwz</w:t>
      </w:r>
      <w:r w:rsidR="00ED3016" w:rsidRPr="006A22D3">
        <w:rPr>
          <w:noProof/>
        </w:rPr>
        <w:t>ględnieniem niekorzystnych skutków dla praw człowieka dotykających osób podlegających ochronie</w:t>
      </w:r>
      <w:r w:rsidR="006A22D3" w:rsidRPr="006A22D3">
        <w:rPr>
          <w:noProof/>
        </w:rPr>
        <w:t xml:space="preserve"> i wyn</w:t>
      </w:r>
      <w:r w:rsidR="00ED3016" w:rsidRPr="006A22D3">
        <w:rPr>
          <w:noProof/>
        </w:rPr>
        <w:t>ikających</w:t>
      </w:r>
      <w:r w:rsidR="006A22D3" w:rsidRPr="006A22D3">
        <w:rPr>
          <w:noProof/>
        </w:rPr>
        <w:t xml:space="preserve"> z nar</w:t>
      </w:r>
      <w:r w:rsidR="00ED3016" w:rsidRPr="006A22D3">
        <w:rPr>
          <w:noProof/>
        </w:rPr>
        <w:t>uszenia jednego</w:t>
      </w:r>
      <w:r w:rsidR="006A22D3" w:rsidRPr="006A22D3">
        <w:rPr>
          <w:noProof/>
        </w:rPr>
        <w:t xml:space="preserve"> z pra</w:t>
      </w:r>
      <w:r w:rsidR="00ED3016" w:rsidRPr="006A22D3">
        <w:rPr>
          <w:noProof/>
        </w:rPr>
        <w:t>w lub zakazów zapisanych</w:t>
      </w:r>
      <w:r w:rsidR="006A22D3" w:rsidRPr="006A22D3">
        <w:rPr>
          <w:noProof/>
        </w:rPr>
        <w:t xml:space="preserve"> w kon</w:t>
      </w:r>
      <w:r w:rsidR="00ED3016" w:rsidRPr="006A22D3">
        <w:rPr>
          <w:noProof/>
        </w:rPr>
        <w:t>wencjach międzynarodowych wymienionych</w:t>
      </w:r>
      <w:r w:rsidR="006A22D3" w:rsidRPr="006A22D3">
        <w:rPr>
          <w:noProof/>
        </w:rPr>
        <w:t xml:space="preserve"> w zał</w:t>
      </w:r>
      <w:r w:rsidR="00ED3016" w:rsidRPr="006A22D3">
        <w:rPr>
          <w:noProof/>
        </w:rPr>
        <w:t>ączniku do niniejszej dyrektywy. Aby zagwarantować kompleksowe uwzględnienie praw człowieka, naruszenie zakazu lub prawa niewymienionych wyraźnie we wspomnianym załączniku, które to naruszenie bezpośrednio dotyczy interesu prawnego chronionego tymi konwencjami, powinno się również zaliczać do niekorzystnych skutków dla praw człowieka objętych zakresem niniejszej dyrektywy, pod warunkiem że można przyjąć, iż przedsiębiorstwo mogło ustalić ryzyko wystąpienia takiego naruszenia</w:t>
      </w:r>
      <w:r w:rsidR="006A22D3" w:rsidRPr="006A22D3">
        <w:rPr>
          <w:noProof/>
        </w:rPr>
        <w:t xml:space="preserve"> i wsz</w:t>
      </w:r>
      <w:r w:rsidR="00ED3016" w:rsidRPr="006A22D3">
        <w:rPr>
          <w:noProof/>
        </w:rPr>
        <w:t>elkie odpowiednie środki, które należałoby przyjąć</w:t>
      </w:r>
      <w:r w:rsidR="006A22D3" w:rsidRPr="006A22D3">
        <w:rPr>
          <w:noProof/>
        </w:rPr>
        <w:t xml:space="preserve"> w cel</w:t>
      </w:r>
      <w:r w:rsidR="00ED3016" w:rsidRPr="006A22D3">
        <w:rPr>
          <w:noProof/>
        </w:rPr>
        <w:t>u spełnienia obowiązków</w:t>
      </w:r>
      <w:r w:rsidR="006A22D3" w:rsidRPr="006A22D3">
        <w:rPr>
          <w:noProof/>
        </w:rPr>
        <w:t xml:space="preserve"> w zak</w:t>
      </w:r>
      <w:r w:rsidR="00ED3016" w:rsidRPr="006A22D3">
        <w:rPr>
          <w:noProof/>
        </w:rPr>
        <w:t>resie należytej staranności określonych</w:t>
      </w:r>
      <w:r w:rsidR="006A22D3" w:rsidRPr="006A22D3">
        <w:rPr>
          <w:noProof/>
        </w:rPr>
        <w:t xml:space="preserve"> w nin</w:t>
      </w:r>
      <w:r w:rsidR="00ED3016" w:rsidRPr="006A22D3">
        <w:rPr>
          <w:noProof/>
        </w:rPr>
        <w:t>iejszej dyrektywie, uwzględniając wszystkie istotne okoliczności swojej działalności, takie jak sektor</w:t>
      </w:r>
      <w:r w:rsidR="006A22D3" w:rsidRPr="006A22D3">
        <w:rPr>
          <w:noProof/>
        </w:rPr>
        <w:t xml:space="preserve"> i war</w:t>
      </w:r>
      <w:r w:rsidR="00ED3016" w:rsidRPr="006A22D3">
        <w:rPr>
          <w:noProof/>
        </w:rPr>
        <w:t>unki operacyjne. Należyta staranność powinna ponadto obejmować niekorzystne skutki dla środowiska wynikające</w:t>
      </w:r>
      <w:r w:rsidR="006A22D3" w:rsidRPr="006A22D3">
        <w:rPr>
          <w:noProof/>
        </w:rPr>
        <w:t xml:space="preserve"> z nar</w:t>
      </w:r>
      <w:r w:rsidR="00ED3016" w:rsidRPr="006A22D3">
        <w:rPr>
          <w:noProof/>
        </w:rPr>
        <w:t>uszenia jednego</w:t>
      </w:r>
      <w:r w:rsidR="006A22D3" w:rsidRPr="006A22D3">
        <w:rPr>
          <w:noProof/>
        </w:rPr>
        <w:t xml:space="preserve"> z zak</w:t>
      </w:r>
      <w:r w:rsidR="00ED3016" w:rsidRPr="006A22D3">
        <w:rPr>
          <w:noProof/>
        </w:rPr>
        <w:t>azów</w:t>
      </w:r>
      <w:r w:rsidR="006A22D3" w:rsidRPr="006A22D3">
        <w:rPr>
          <w:noProof/>
        </w:rPr>
        <w:t xml:space="preserve"> i zob</w:t>
      </w:r>
      <w:r w:rsidR="00ED3016" w:rsidRPr="006A22D3">
        <w:rPr>
          <w:noProof/>
        </w:rPr>
        <w:t>owiązań wynikających</w:t>
      </w:r>
      <w:r w:rsidR="006A22D3" w:rsidRPr="006A22D3">
        <w:rPr>
          <w:noProof/>
        </w:rPr>
        <w:t xml:space="preserve"> z mię</w:t>
      </w:r>
      <w:r w:rsidR="00ED3016" w:rsidRPr="006A22D3">
        <w:rPr>
          <w:noProof/>
        </w:rPr>
        <w:t>dzynarodowych konwencji</w:t>
      </w:r>
      <w:r w:rsidR="006A22D3" w:rsidRPr="006A22D3">
        <w:rPr>
          <w:noProof/>
        </w:rPr>
        <w:t xml:space="preserve"> w dzi</w:t>
      </w:r>
      <w:r w:rsidR="00ED3016" w:rsidRPr="006A22D3">
        <w:rPr>
          <w:noProof/>
        </w:rPr>
        <w:t>edzinie prawa ochrony środowiska wymienionych</w:t>
      </w:r>
      <w:r w:rsidR="006A22D3" w:rsidRPr="006A22D3">
        <w:rPr>
          <w:noProof/>
        </w:rPr>
        <w:t xml:space="preserve"> w zał</w:t>
      </w:r>
      <w:r w:rsidR="00ED3016" w:rsidRPr="006A22D3">
        <w:rPr>
          <w:noProof/>
        </w:rPr>
        <w:t>ączniku do niniejszej dyrektywy.</w:t>
      </w:r>
    </w:p>
    <w:p w:rsidR="00ED3016" w:rsidRPr="006A22D3" w:rsidRDefault="00D91F29" w:rsidP="00D91F29">
      <w:pPr>
        <w:pStyle w:val="ManualConsidrant"/>
        <w:rPr>
          <w:noProof/>
        </w:rPr>
      </w:pPr>
      <w:r w:rsidRPr="00D91F29">
        <w:t>(26)</w:t>
      </w:r>
      <w:r w:rsidRPr="00D91F29">
        <w:tab/>
      </w:r>
      <w:r w:rsidR="00ED3016" w:rsidRPr="006A22D3">
        <w:rPr>
          <w:noProof/>
        </w:rPr>
        <w:t>Przedsiębiorstwa mają do dyspozycji wytyczne,</w:t>
      </w:r>
      <w:r w:rsidR="006A22D3" w:rsidRPr="006A22D3">
        <w:rPr>
          <w:noProof/>
        </w:rPr>
        <w:t xml:space="preserve"> w któ</w:t>
      </w:r>
      <w:r w:rsidR="00ED3016" w:rsidRPr="006A22D3">
        <w:rPr>
          <w:noProof/>
        </w:rPr>
        <w:t>rych przedstawiono,</w:t>
      </w:r>
      <w:r w:rsidR="006A22D3" w:rsidRPr="006A22D3">
        <w:rPr>
          <w:noProof/>
        </w:rPr>
        <w:t xml:space="preserve"> w jak</w:t>
      </w:r>
      <w:r w:rsidR="00ED3016" w:rsidRPr="006A22D3">
        <w:rPr>
          <w:noProof/>
        </w:rPr>
        <w:t>i sposób działalność tych przedsiębiorstw może powodować skutki dla praw człowieka</w:t>
      </w:r>
      <w:r w:rsidR="006A22D3" w:rsidRPr="006A22D3">
        <w:rPr>
          <w:noProof/>
        </w:rPr>
        <w:t xml:space="preserve"> i jak</w:t>
      </w:r>
      <w:r w:rsidR="00ED3016" w:rsidRPr="006A22D3">
        <w:rPr>
          <w:noProof/>
        </w:rPr>
        <w:t>a filozofia zarządzania przedsiębiorstwem jest zabroniona zgodnie</w:t>
      </w:r>
      <w:r w:rsidR="006A22D3" w:rsidRPr="006A22D3">
        <w:rPr>
          <w:noProof/>
        </w:rPr>
        <w:t xml:space="preserve"> z pra</w:t>
      </w:r>
      <w:r w:rsidR="00ED3016" w:rsidRPr="006A22D3">
        <w:rPr>
          <w:noProof/>
        </w:rPr>
        <w:t>wami człowieka uznawanymi na arenie międzynarodowej. Wytyczne takie zawarto na przykład</w:t>
      </w:r>
      <w:r w:rsidR="006A22D3" w:rsidRPr="006A22D3">
        <w:rPr>
          <w:noProof/>
        </w:rPr>
        <w:t xml:space="preserve"> w Wyt</w:t>
      </w:r>
      <w:r w:rsidR="00ED3016" w:rsidRPr="006A22D3">
        <w:rPr>
          <w:noProof/>
        </w:rPr>
        <w:t>ycznych ONZ dotyczących ram sprawozdawczości</w:t>
      </w:r>
      <w:r w:rsidR="00ED3016" w:rsidRPr="006A22D3">
        <w:rPr>
          <w:rStyle w:val="FootnoteReference"/>
          <w:noProof/>
        </w:rPr>
        <w:footnoteReference w:id="105"/>
      </w:r>
      <w:r w:rsidR="00ED3016" w:rsidRPr="006A22D3">
        <w:rPr>
          <w:noProof/>
        </w:rPr>
        <w:t xml:space="preserve"> oraz</w:t>
      </w:r>
      <w:r w:rsidR="006A22D3" w:rsidRPr="006A22D3">
        <w:rPr>
          <w:noProof/>
        </w:rPr>
        <w:t xml:space="preserve"> w Pod</w:t>
      </w:r>
      <w:r w:rsidR="00ED3016" w:rsidRPr="006A22D3">
        <w:rPr>
          <w:noProof/>
        </w:rPr>
        <w:t>ręczniku ONZ dotyczącym interpretacji wytycznych</w:t>
      </w:r>
      <w:r w:rsidR="00ED3016" w:rsidRPr="006A22D3">
        <w:rPr>
          <w:rStyle w:val="FootnoteReference"/>
          <w:noProof/>
        </w:rPr>
        <w:footnoteReference w:id="106"/>
      </w:r>
      <w:r w:rsidR="00ED3016" w:rsidRPr="006A22D3">
        <w:rPr>
          <w:noProof/>
        </w:rPr>
        <w:t>. Wykorzystując jako punkt odniesienia odpowiednie międzynarodowe wytyczne</w:t>
      </w:r>
      <w:r w:rsidR="006A22D3" w:rsidRPr="006A22D3">
        <w:rPr>
          <w:noProof/>
        </w:rPr>
        <w:t xml:space="preserve"> i nor</w:t>
      </w:r>
      <w:r w:rsidR="00ED3016" w:rsidRPr="006A22D3">
        <w:rPr>
          <w:noProof/>
        </w:rPr>
        <w:t>my, Komisja powinna być</w:t>
      </w:r>
      <w:r w:rsidR="006A22D3" w:rsidRPr="006A22D3">
        <w:rPr>
          <w:noProof/>
        </w:rPr>
        <w:t xml:space="preserve"> w sta</w:t>
      </w:r>
      <w:r w:rsidR="00ED3016" w:rsidRPr="006A22D3">
        <w:rPr>
          <w:noProof/>
        </w:rPr>
        <w:t>nie wydać dodatkowe wytyczne, które posłużą przedsiębiorstwom jako praktyczne narzędzie.</w:t>
      </w:r>
    </w:p>
    <w:p w:rsidR="00ED3016" w:rsidRPr="006A22D3" w:rsidRDefault="00D91F29" w:rsidP="00D91F29">
      <w:pPr>
        <w:pStyle w:val="ManualConsidrant"/>
        <w:rPr>
          <w:noProof/>
        </w:rPr>
      </w:pPr>
      <w:r w:rsidRPr="00D91F29">
        <w:t>(27)</w:t>
      </w:r>
      <w:r w:rsidRPr="00D91F29">
        <w:tab/>
      </w:r>
      <w:r w:rsidR="00ED3016" w:rsidRPr="006A22D3">
        <w:rPr>
          <w:noProof/>
        </w:rPr>
        <w:t>Aby dochować należytej staranności</w:t>
      </w:r>
      <w:r w:rsidR="006A22D3" w:rsidRPr="006A22D3">
        <w:rPr>
          <w:noProof/>
        </w:rPr>
        <w:t xml:space="preserve"> w zak</w:t>
      </w:r>
      <w:r w:rsidR="00ED3016" w:rsidRPr="006A22D3">
        <w:rPr>
          <w:noProof/>
        </w:rPr>
        <w:t>resie praw człowieka</w:t>
      </w:r>
      <w:r w:rsidR="006A22D3" w:rsidRPr="006A22D3">
        <w:rPr>
          <w:noProof/>
        </w:rPr>
        <w:t xml:space="preserve"> i och</w:t>
      </w:r>
      <w:r w:rsidR="00ED3016" w:rsidRPr="006A22D3">
        <w:rPr>
          <w:noProof/>
        </w:rPr>
        <w:t>rony środowiska</w:t>
      </w:r>
      <w:r w:rsidR="006A22D3" w:rsidRPr="006A22D3">
        <w:rPr>
          <w:noProof/>
        </w:rPr>
        <w:t xml:space="preserve"> w odn</w:t>
      </w:r>
      <w:r w:rsidR="00ED3016" w:rsidRPr="006A22D3">
        <w:rPr>
          <w:noProof/>
        </w:rPr>
        <w:t>iesieniu do swojej działalności, jednostek zależnych</w:t>
      </w:r>
      <w:r w:rsidR="006A22D3" w:rsidRPr="006A22D3">
        <w:rPr>
          <w:noProof/>
        </w:rPr>
        <w:t xml:space="preserve"> i łań</w:t>
      </w:r>
      <w:r w:rsidR="00ED3016" w:rsidRPr="006A22D3">
        <w:rPr>
          <w:noProof/>
        </w:rPr>
        <w:t>cuchów wartości, przedsiębiorstwa objęte niniejszą dyrektywą powinny uwzględnić należytą staranność</w:t>
      </w:r>
      <w:r w:rsidR="006A22D3" w:rsidRPr="006A22D3">
        <w:rPr>
          <w:noProof/>
        </w:rPr>
        <w:t xml:space="preserve"> w swo</w:t>
      </w:r>
      <w:r w:rsidR="00ED3016" w:rsidRPr="006A22D3">
        <w:rPr>
          <w:noProof/>
        </w:rPr>
        <w:t>jej polityce, identyfikować potencjalne</w:t>
      </w:r>
      <w:r w:rsidR="006A22D3" w:rsidRPr="006A22D3">
        <w:rPr>
          <w:noProof/>
        </w:rPr>
        <w:t xml:space="preserve"> i rze</w:t>
      </w:r>
      <w:r w:rsidR="00ED3016" w:rsidRPr="006A22D3">
        <w:rPr>
          <w:noProof/>
        </w:rPr>
        <w:t>czywiste niekorzystne skutki dla praw człowieka</w:t>
      </w:r>
      <w:r w:rsidR="006A22D3" w:rsidRPr="006A22D3">
        <w:rPr>
          <w:noProof/>
        </w:rPr>
        <w:t xml:space="preserve"> i śro</w:t>
      </w:r>
      <w:r w:rsidR="00ED3016" w:rsidRPr="006A22D3">
        <w:rPr>
          <w:noProof/>
        </w:rPr>
        <w:t>dowiska, zapobiegać im i je łagodzić,</w:t>
      </w:r>
      <w:r w:rsidR="006A22D3" w:rsidRPr="006A22D3">
        <w:rPr>
          <w:noProof/>
        </w:rPr>
        <w:t xml:space="preserve"> a tak</w:t>
      </w:r>
      <w:r w:rsidR="00ED3016" w:rsidRPr="006A22D3">
        <w:rPr>
          <w:noProof/>
        </w:rPr>
        <w:t>że powstrzymać je</w:t>
      </w:r>
      <w:r w:rsidR="006A22D3" w:rsidRPr="006A22D3">
        <w:rPr>
          <w:noProof/>
        </w:rPr>
        <w:t xml:space="preserve"> i zmi</w:t>
      </w:r>
      <w:r w:rsidR="00ED3016" w:rsidRPr="006A22D3">
        <w:rPr>
          <w:noProof/>
        </w:rPr>
        <w:t>nimalizować ich skalę, ustanowić</w:t>
      </w:r>
      <w:r w:rsidR="006A22D3" w:rsidRPr="006A22D3">
        <w:rPr>
          <w:noProof/>
        </w:rPr>
        <w:t xml:space="preserve"> i sto</w:t>
      </w:r>
      <w:r w:rsidR="00ED3016" w:rsidRPr="006A22D3">
        <w:rPr>
          <w:noProof/>
        </w:rPr>
        <w:t>sować procedurę rozpatrywania skarg, monitorować skuteczność wprowadzonych środków zgodnie</w:t>
      </w:r>
      <w:r w:rsidR="006A22D3" w:rsidRPr="006A22D3">
        <w:rPr>
          <w:noProof/>
        </w:rPr>
        <w:t xml:space="preserve"> z wym</w:t>
      </w:r>
      <w:r w:rsidR="00ED3016" w:rsidRPr="006A22D3">
        <w:rPr>
          <w:noProof/>
        </w:rPr>
        <w:t>ogami określonymi</w:t>
      </w:r>
      <w:r w:rsidR="006A22D3" w:rsidRPr="006A22D3">
        <w:rPr>
          <w:noProof/>
        </w:rPr>
        <w:t xml:space="preserve"> w nin</w:t>
      </w:r>
      <w:r w:rsidR="00ED3016" w:rsidRPr="006A22D3">
        <w:rPr>
          <w:noProof/>
        </w:rPr>
        <w:t>iejszej dyrektywie</w:t>
      </w:r>
      <w:r w:rsidR="006A22D3" w:rsidRPr="006A22D3">
        <w:rPr>
          <w:noProof/>
        </w:rPr>
        <w:t xml:space="preserve"> i pub</w:t>
      </w:r>
      <w:r w:rsidR="00ED3016" w:rsidRPr="006A22D3">
        <w:rPr>
          <w:noProof/>
        </w:rPr>
        <w:t>licznie informować</w:t>
      </w:r>
      <w:r w:rsidR="006A22D3" w:rsidRPr="006A22D3">
        <w:rPr>
          <w:noProof/>
        </w:rPr>
        <w:t xml:space="preserve"> o sto</w:t>
      </w:r>
      <w:r w:rsidR="00ED3016" w:rsidRPr="006A22D3">
        <w:rPr>
          <w:noProof/>
        </w:rPr>
        <w:t>sowanej przez siebie należytej staranności</w:t>
      </w:r>
      <w:r w:rsidR="006A22D3" w:rsidRPr="006A22D3">
        <w:rPr>
          <w:noProof/>
        </w:rPr>
        <w:t>. W cel</w:t>
      </w:r>
      <w:r w:rsidR="00ED3016" w:rsidRPr="006A22D3">
        <w:rPr>
          <w:noProof/>
        </w:rPr>
        <w:t>u zapewnienia przedsiębiorstwom jasności</w:t>
      </w:r>
      <w:r w:rsidR="006A22D3" w:rsidRPr="006A22D3">
        <w:rPr>
          <w:noProof/>
        </w:rPr>
        <w:t xml:space="preserve"> w nin</w:t>
      </w:r>
      <w:r w:rsidR="00ED3016" w:rsidRPr="006A22D3">
        <w:rPr>
          <w:noProof/>
        </w:rPr>
        <w:t>iejszej dyrektywie należy</w:t>
      </w:r>
      <w:r w:rsidR="006A22D3" w:rsidRPr="006A22D3">
        <w:rPr>
          <w:noProof/>
        </w:rPr>
        <w:t xml:space="preserve"> w szc</w:t>
      </w:r>
      <w:r w:rsidR="00ED3016" w:rsidRPr="006A22D3">
        <w:rPr>
          <w:noProof/>
        </w:rPr>
        <w:t>zególności wyraźnie rozróżnić kroki mające na celu zapobieganie potencjalnym niekorzystnym skutkom</w:t>
      </w:r>
      <w:r w:rsidR="006A22D3" w:rsidRPr="006A22D3">
        <w:rPr>
          <w:noProof/>
        </w:rPr>
        <w:t xml:space="preserve"> i ich</w:t>
      </w:r>
      <w:r w:rsidR="00ED3016" w:rsidRPr="006A22D3">
        <w:rPr>
          <w:noProof/>
        </w:rPr>
        <w:t xml:space="preserve"> łagodzenie oraz ich powstrzymanie lub, gdy nie jest to możliwe, zminimalizowanie rzeczywistych niekorzystnych skutków.</w:t>
      </w:r>
    </w:p>
    <w:p w:rsidR="00DB4B63" w:rsidRPr="006A22D3" w:rsidRDefault="00D91F29" w:rsidP="00D91F29">
      <w:pPr>
        <w:pStyle w:val="ManualConsidrant"/>
        <w:rPr>
          <w:noProof/>
        </w:rPr>
      </w:pPr>
      <w:r w:rsidRPr="00D91F29">
        <w:t>(28)</w:t>
      </w:r>
      <w:r w:rsidRPr="00D91F29">
        <w:tab/>
      </w:r>
      <w:r w:rsidR="00DB4B63" w:rsidRPr="006A22D3">
        <w:rPr>
          <w:noProof/>
        </w:rPr>
        <w:t>W celu zapewnienia, aby należyta staranność stanowiła część polityki przedsiębiorstw, oraz zgodnie</w:t>
      </w:r>
      <w:r w:rsidR="006A22D3" w:rsidRPr="006A22D3">
        <w:rPr>
          <w:noProof/>
        </w:rPr>
        <w:t xml:space="preserve"> z odp</w:t>
      </w:r>
      <w:r w:rsidR="00DB4B63" w:rsidRPr="006A22D3">
        <w:rPr>
          <w:noProof/>
        </w:rPr>
        <w:t>owiednimi ramami międzynarodowymi, przedsiębiorstwa powinny uwzględnić należytą staranność we wszystkich obszarach swojej polityki</w:t>
      </w:r>
      <w:r w:rsidR="006A22D3" w:rsidRPr="006A22D3">
        <w:rPr>
          <w:noProof/>
        </w:rPr>
        <w:t xml:space="preserve"> i wdr</w:t>
      </w:r>
      <w:r w:rsidR="00DB4B63" w:rsidRPr="006A22D3">
        <w:rPr>
          <w:noProof/>
        </w:rPr>
        <w:t>ożyć politykę należytej staranności. Polityka należytej staranności powinna zawierać opis podejścia przedsiębiorstwa</w:t>
      </w:r>
      <w:r w:rsidR="006A22D3" w:rsidRPr="006A22D3">
        <w:rPr>
          <w:noProof/>
        </w:rPr>
        <w:t xml:space="preserve"> w zak</w:t>
      </w:r>
      <w:r w:rsidR="00DB4B63" w:rsidRPr="006A22D3">
        <w:rPr>
          <w:noProof/>
        </w:rPr>
        <w:t>resie należytej staranności,</w:t>
      </w:r>
      <w:r w:rsidR="006A22D3" w:rsidRPr="006A22D3">
        <w:rPr>
          <w:noProof/>
        </w:rPr>
        <w:t xml:space="preserve"> w tym w per</w:t>
      </w:r>
      <w:r w:rsidR="00DB4B63" w:rsidRPr="006A22D3">
        <w:rPr>
          <w:noProof/>
        </w:rPr>
        <w:t>spektywie długoterminowej, kodeks postępowania zawierający opis reguł</w:t>
      </w:r>
      <w:r w:rsidR="006A22D3" w:rsidRPr="006A22D3">
        <w:rPr>
          <w:noProof/>
        </w:rPr>
        <w:t xml:space="preserve"> i zas</w:t>
      </w:r>
      <w:r w:rsidR="00DB4B63" w:rsidRPr="006A22D3">
        <w:rPr>
          <w:noProof/>
        </w:rPr>
        <w:t>ad, których powinni przestrzegać pracownicy przedsiębiorstwa</w:t>
      </w:r>
      <w:r w:rsidR="006A22D3" w:rsidRPr="006A22D3">
        <w:rPr>
          <w:noProof/>
        </w:rPr>
        <w:t xml:space="preserve"> i jed</w:t>
      </w:r>
      <w:r w:rsidR="00DB4B63" w:rsidRPr="006A22D3">
        <w:rPr>
          <w:noProof/>
        </w:rPr>
        <w:t>nostek zależnych; opis procesów wprowadzonych</w:t>
      </w:r>
      <w:r w:rsidR="006A22D3" w:rsidRPr="006A22D3">
        <w:rPr>
          <w:noProof/>
        </w:rPr>
        <w:t xml:space="preserve"> w cel</w:t>
      </w:r>
      <w:r w:rsidR="00DB4B63" w:rsidRPr="006A22D3">
        <w:rPr>
          <w:noProof/>
        </w:rPr>
        <w:t>u wdrożenia zasad należytej staranności,</w:t>
      </w:r>
      <w:r w:rsidR="006A22D3" w:rsidRPr="006A22D3">
        <w:rPr>
          <w:noProof/>
        </w:rPr>
        <w:t xml:space="preserve"> w tym</w:t>
      </w:r>
      <w:r w:rsidR="00DB4B63" w:rsidRPr="006A22D3">
        <w:rPr>
          <w:noProof/>
        </w:rPr>
        <w:t xml:space="preserve"> środków zastosowanych do weryfikacji przestrzegania kodeksu postępowania</w:t>
      </w:r>
      <w:r w:rsidR="006A22D3" w:rsidRPr="006A22D3">
        <w:rPr>
          <w:noProof/>
        </w:rPr>
        <w:t xml:space="preserve"> i roz</w:t>
      </w:r>
      <w:r w:rsidR="00DB4B63" w:rsidRPr="006A22D3">
        <w:rPr>
          <w:noProof/>
        </w:rPr>
        <w:t>szerzenia zakresu jego stosowania na stałe relacje biznesowe. Kodeks postępowania powinien mieć zastosowanie we wszystkich odpowiednich funkcjach</w:t>
      </w:r>
      <w:r w:rsidR="006A22D3" w:rsidRPr="006A22D3">
        <w:rPr>
          <w:noProof/>
        </w:rPr>
        <w:t xml:space="preserve"> i dzi</w:t>
      </w:r>
      <w:r w:rsidR="00DB4B63" w:rsidRPr="006A22D3">
        <w:rPr>
          <w:noProof/>
        </w:rPr>
        <w:t>ałaniach przedsiębiorstwa,</w:t>
      </w:r>
      <w:r w:rsidR="006A22D3" w:rsidRPr="006A22D3">
        <w:rPr>
          <w:noProof/>
        </w:rPr>
        <w:t xml:space="preserve"> w tym w odn</w:t>
      </w:r>
      <w:r w:rsidR="00DB4B63" w:rsidRPr="006A22D3">
        <w:rPr>
          <w:noProof/>
        </w:rPr>
        <w:t>iesieniu do decyzji dotyczących zamówień</w:t>
      </w:r>
      <w:r w:rsidR="006A22D3" w:rsidRPr="006A22D3">
        <w:rPr>
          <w:noProof/>
        </w:rPr>
        <w:t xml:space="preserve"> i zak</w:t>
      </w:r>
      <w:r w:rsidR="00DB4B63" w:rsidRPr="006A22D3">
        <w:rPr>
          <w:noProof/>
        </w:rPr>
        <w:t>upów. Przedsiębiorstwa powinny również corocznie aktualizować swoją politykę należytej staranności.</w:t>
      </w:r>
    </w:p>
    <w:p w:rsidR="002D6FAA" w:rsidRPr="006A22D3" w:rsidDel="00860312" w:rsidRDefault="00D91F29" w:rsidP="00D91F29">
      <w:pPr>
        <w:pStyle w:val="ManualConsidrant"/>
        <w:rPr>
          <w:noProof/>
        </w:rPr>
      </w:pPr>
      <w:r w:rsidRPr="00D91F29">
        <w:t>(29)</w:t>
      </w:r>
      <w:r w:rsidRPr="00D91F29">
        <w:tab/>
      </w:r>
      <w:r w:rsidR="002D6FAA" w:rsidRPr="006A22D3">
        <w:rPr>
          <w:noProof/>
        </w:rPr>
        <w:t>W celu wypełnienia obowiązków</w:t>
      </w:r>
      <w:r w:rsidR="006A22D3" w:rsidRPr="006A22D3">
        <w:rPr>
          <w:noProof/>
        </w:rPr>
        <w:t xml:space="preserve"> w zak</w:t>
      </w:r>
      <w:r w:rsidR="002D6FAA" w:rsidRPr="006A22D3">
        <w:rPr>
          <w:noProof/>
        </w:rPr>
        <w:t>resie należytej staranności przedsiębiorstwa muszą zastosować odpowiednie środki</w:t>
      </w:r>
      <w:r w:rsidR="006A22D3" w:rsidRPr="006A22D3">
        <w:rPr>
          <w:noProof/>
        </w:rPr>
        <w:t xml:space="preserve"> w odn</w:t>
      </w:r>
      <w:r w:rsidR="002D6FAA" w:rsidRPr="006A22D3">
        <w:rPr>
          <w:noProof/>
        </w:rPr>
        <w:t>iesieniu do identyfikacji niekorzystnych skutków, zapobiegania im</w:t>
      </w:r>
      <w:r w:rsidR="006A22D3" w:rsidRPr="006A22D3">
        <w:rPr>
          <w:noProof/>
        </w:rPr>
        <w:t xml:space="preserve"> i ich</w:t>
      </w:r>
      <w:r w:rsidR="002D6FAA" w:rsidRPr="006A22D3">
        <w:rPr>
          <w:noProof/>
        </w:rPr>
        <w:t xml:space="preserve"> powstrzymania. Odpowiedni środek powinien oznaczać środek, dzięki któremu można osiągnąć cele</w:t>
      </w:r>
      <w:r w:rsidR="006A22D3" w:rsidRPr="006A22D3">
        <w:rPr>
          <w:noProof/>
        </w:rPr>
        <w:t xml:space="preserve"> w zak</w:t>
      </w:r>
      <w:r w:rsidR="002D6FAA" w:rsidRPr="006A22D3">
        <w:rPr>
          <w:noProof/>
        </w:rPr>
        <w:t>resie należytej staranności</w:t>
      </w:r>
      <w:r w:rsidR="006A22D3" w:rsidRPr="006A22D3">
        <w:rPr>
          <w:noProof/>
        </w:rPr>
        <w:t xml:space="preserve"> i któ</w:t>
      </w:r>
      <w:r w:rsidR="002D6FAA" w:rsidRPr="006A22D3">
        <w:rPr>
          <w:noProof/>
        </w:rPr>
        <w:t>ry jest współmierny do stopnia dotkliwości</w:t>
      </w:r>
      <w:r w:rsidR="006A22D3" w:rsidRPr="006A22D3">
        <w:rPr>
          <w:noProof/>
        </w:rPr>
        <w:t xml:space="preserve"> i pra</w:t>
      </w:r>
      <w:r w:rsidR="002D6FAA" w:rsidRPr="006A22D3">
        <w:rPr>
          <w:noProof/>
        </w:rPr>
        <w:t>wdopodobieństwa wystąpienia niekorzystnych skutków oraz do którego przedsiębiorstwo ma racjonalny dostęp, uwzględniając okoliczności konkretnego przypadku,</w:t>
      </w:r>
      <w:r w:rsidR="006A22D3" w:rsidRPr="006A22D3">
        <w:rPr>
          <w:noProof/>
        </w:rPr>
        <w:t xml:space="preserve"> w tym</w:t>
      </w:r>
      <w:r w:rsidR="002D6FAA" w:rsidRPr="006A22D3">
        <w:rPr>
          <w:noProof/>
        </w:rPr>
        <w:t xml:space="preserve"> charakterystykę sektora gospodarki</w:t>
      </w:r>
      <w:r w:rsidR="006A22D3" w:rsidRPr="006A22D3">
        <w:rPr>
          <w:noProof/>
        </w:rPr>
        <w:t xml:space="preserve"> i kon</w:t>
      </w:r>
      <w:r w:rsidR="002D6FAA" w:rsidRPr="006A22D3">
        <w:rPr>
          <w:noProof/>
        </w:rPr>
        <w:t>kretnych relacji biznesowych oraz wpływ przedsiębiorstwa na te relacje,</w:t>
      </w:r>
      <w:r w:rsidR="006A22D3" w:rsidRPr="006A22D3">
        <w:rPr>
          <w:noProof/>
        </w:rPr>
        <w:t xml:space="preserve"> a tak</w:t>
      </w:r>
      <w:r w:rsidR="002D6FAA" w:rsidRPr="006A22D3">
        <w:rPr>
          <w:noProof/>
        </w:rPr>
        <w:t>że potrzebę zapewnienia priorytetowego traktowania działań</w:t>
      </w:r>
      <w:r w:rsidR="006A22D3" w:rsidRPr="006A22D3">
        <w:rPr>
          <w:noProof/>
        </w:rPr>
        <w:t>. W tym</w:t>
      </w:r>
      <w:r w:rsidR="002D6FAA" w:rsidRPr="006A22D3">
        <w:rPr>
          <w:noProof/>
        </w:rPr>
        <w:t xml:space="preserve"> kontekście, zgodnie</w:t>
      </w:r>
      <w:r w:rsidR="006A22D3" w:rsidRPr="006A22D3">
        <w:rPr>
          <w:noProof/>
        </w:rPr>
        <w:t xml:space="preserve"> z mię</w:t>
      </w:r>
      <w:r w:rsidR="002D6FAA" w:rsidRPr="006A22D3">
        <w:rPr>
          <w:noProof/>
        </w:rPr>
        <w:t>dzynarodowymi ramami prawnymi, wpływ przedsiębiorstwa na relacje biznesowe powinien obejmować,</w:t>
      </w:r>
      <w:r w:rsidR="006A22D3" w:rsidRPr="006A22D3">
        <w:rPr>
          <w:noProof/>
        </w:rPr>
        <w:t xml:space="preserve"> z jed</w:t>
      </w:r>
      <w:r w:rsidR="002D6FAA" w:rsidRPr="006A22D3">
        <w:rPr>
          <w:noProof/>
        </w:rPr>
        <w:t>nej strony, jego zdolność do przekonania partnera,</w:t>
      </w:r>
      <w:r w:rsidR="006A22D3" w:rsidRPr="006A22D3">
        <w:rPr>
          <w:noProof/>
        </w:rPr>
        <w:t xml:space="preserve"> z któ</w:t>
      </w:r>
      <w:r w:rsidR="002D6FAA" w:rsidRPr="006A22D3">
        <w:rPr>
          <w:noProof/>
        </w:rPr>
        <w:t>rym posiada relację biznesową, do podjęcia działań</w:t>
      </w:r>
      <w:r w:rsidR="006A22D3" w:rsidRPr="006A22D3">
        <w:rPr>
          <w:noProof/>
        </w:rPr>
        <w:t xml:space="preserve"> w cel</w:t>
      </w:r>
      <w:r w:rsidR="002D6FAA" w:rsidRPr="006A22D3">
        <w:rPr>
          <w:noProof/>
        </w:rPr>
        <w:t>u powstrzymania niekorzystnych skutków lub zapobieżenia tym skutkom (na przykład wykorzystując udziały własnościowe lub faktyczną kontrolę, siłę rynkową, wymogi stosowane przed wybraniem partnera, powiązanie korzyści biznesowych</w:t>
      </w:r>
      <w:r w:rsidR="006A22D3" w:rsidRPr="006A22D3">
        <w:rPr>
          <w:noProof/>
        </w:rPr>
        <w:t xml:space="preserve"> z pra</w:t>
      </w:r>
      <w:r w:rsidR="002D6FAA" w:rsidRPr="006A22D3">
        <w:rPr>
          <w:noProof/>
        </w:rPr>
        <w:t>wami człowieka</w:t>
      </w:r>
      <w:r w:rsidR="006A22D3" w:rsidRPr="006A22D3">
        <w:rPr>
          <w:noProof/>
        </w:rPr>
        <w:t xml:space="preserve"> i efe</w:t>
      </w:r>
      <w:r w:rsidR="002D6FAA" w:rsidRPr="006A22D3">
        <w:rPr>
          <w:noProof/>
        </w:rPr>
        <w:t>ktywnością środowiskową itp.) oraz,</w:t>
      </w:r>
      <w:r w:rsidR="006A22D3" w:rsidRPr="006A22D3">
        <w:rPr>
          <w:noProof/>
        </w:rPr>
        <w:t xml:space="preserve"> z dru</w:t>
      </w:r>
      <w:r w:rsidR="002D6FAA" w:rsidRPr="006A22D3">
        <w:rPr>
          <w:noProof/>
        </w:rPr>
        <w:t>giej strony, stopień wpływu lub nacisku, jaki przedsiębiorstwo mogłoby</w:t>
      </w:r>
      <w:r w:rsidR="006A22D3" w:rsidRPr="006A22D3">
        <w:rPr>
          <w:noProof/>
        </w:rPr>
        <w:t xml:space="preserve"> w roz</w:t>
      </w:r>
      <w:r w:rsidR="002D6FAA" w:rsidRPr="006A22D3">
        <w:rPr>
          <w:noProof/>
        </w:rPr>
        <w:t>sądnym zakresie wywrzeć, na przykład poprzez współpracę</w:t>
      </w:r>
      <w:r w:rsidR="006A22D3" w:rsidRPr="006A22D3">
        <w:rPr>
          <w:noProof/>
        </w:rPr>
        <w:t xml:space="preserve"> z dan</w:t>
      </w:r>
      <w:r w:rsidR="002D6FAA" w:rsidRPr="006A22D3">
        <w:rPr>
          <w:noProof/>
        </w:rPr>
        <w:t>ym partnerem biznesowym lub zaangażowanie innego przedsiębiorstwa, które jest bezpośrednim partnerem biznesowym partnera,</w:t>
      </w:r>
      <w:r w:rsidR="006A22D3" w:rsidRPr="006A22D3">
        <w:rPr>
          <w:noProof/>
        </w:rPr>
        <w:t xml:space="preserve"> z któ</w:t>
      </w:r>
      <w:r w:rsidR="002D6FAA" w:rsidRPr="006A22D3">
        <w:rPr>
          <w:noProof/>
        </w:rPr>
        <w:t>rym przedsiębiorstwo posiada relację biznesową związaną</w:t>
      </w:r>
      <w:r w:rsidR="006A22D3" w:rsidRPr="006A22D3">
        <w:rPr>
          <w:noProof/>
        </w:rPr>
        <w:t xml:space="preserve"> z nie</w:t>
      </w:r>
      <w:r w:rsidR="002D6FAA" w:rsidRPr="006A22D3">
        <w:rPr>
          <w:noProof/>
        </w:rPr>
        <w:t>korzystnym skutkiem.</w:t>
      </w:r>
      <w:r w:rsidR="00192E90" w:rsidRPr="006A22D3">
        <w:rPr>
          <w:noProof/>
        </w:rPr>
        <w:t xml:space="preserve"> </w:t>
      </w:r>
    </w:p>
    <w:p w:rsidR="0091090B" w:rsidRPr="006A22D3" w:rsidRDefault="00D91F29" w:rsidP="00D91F29">
      <w:pPr>
        <w:pStyle w:val="ManualConsidrant"/>
        <w:rPr>
          <w:noProof/>
        </w:rPr>
      </w:pPr>
      <w:r w:rsidRPr="00D91F29">
        <w:t>(30)</w:t>
      </w:r>
      <w:r w:rsidRPr="00D91F29">
        <w:tab/>
      </w:r>
      <w:r w:rsidR="00ED3016" w:rsidRPr="006A22D3">
        <w:rPr>
          <w:noProof/>
        </w:rPr>
        <w:tab/>
        <w:t>Zgodnie</w:t>
      </w:r>
      <w:r w:rsidR="006A22D3" w:rsidRPr="006A22D3">
        <w:rPr>
          <w:noProof/>
        </w:rPr>
        <w:t xml:space="preserve"> z obo</w:t>
      </w:r>
      <w:r w:rsidR="00ED3016" w:rsidRPr="006A22D3">
        <w:rPr>
          <w:noProof/>
        </w:rPr>
        <w:t>wiązkami</w:t>
      </w:r>
      <w:r w:rsidR="006A22D3" w:rsidRPr="006A22D3">
        <w:rPr>
          <w:noProof/>
        </w:rPr>
        <w:t xml:space="preserve"> w zak</w:t>
      </w:r>
      <w:r w:rsidR="00ED3016" w:rsidRPr="006A22D3">
        <w:rPr>
          <w:noProof/>
        </w:rPr>
        <w:t>resie należytej staranności określonymi</w:t>
      </w:r>
      <w:r w:rsidR="006A22D3" w:rsidRPr="006A22D3">
        <w:rPr>
          <w:noProof/>
        </w:rPr>
        <w:t xml:space="preserve"> w nin</w:t>
      </w:r>
      <w:r w:rsidR="00ED3016" w:rsidRPr="006A22D3">
        <w:rPr>
          <w:noProof/>
        </w:rPr>
        <w:t>iejszej dyrektywie przedsiębiorstwo powinno zidentyfikować rzeczywiste lub potencjalne niekorzystne skutki dla praw człowieka</w:t>
      </w:r>
      <w:r w:rsidR="006A22D3" w:rsidRPr="006A22D3">
        <w:rPr>
          <w:noProof/>
        </w:rPr>
        <w:t xml:space="preserve"> i śro</w:t>
      </w:r>
      <w:r w:rsidR="00ED3016" w:rsidRPr="006A22D3">
        <w:rPr>
          <w:noProof/>
        </w:rPr>
        <w:t>dowiska. Aby identyfikacja niekorzystnego skutku mogła mieć charakter kompleksowy, powinna się opierać na informacjach ilościowych</w:t>
      </w:r>
      <w:r w:rsidR="006A22D3" w:rsidRPr="006A22D3">
        <w:rPr>
          <w:noProof/>
        </w:rPr>
        <w:t xml:space="preserve"> i jak</w:t>
      </w:r>
      <w:r w:rsidR="00ED3016" w:rsidRPr="006A22D3">
        <w:rPr>
          <w:noProof/>
        </w:rPr>
        <w:t>ościowych. Na przykład, jeśli chodzi</w:t>
      </w:r>
      <w:r w:rsidR="006A22D3" w:rsidRPr="006A22D3">
        <w:rPr>
          <w:noProof/>
        </w:rPr>
        <w:t xml:space="preserve"> o nie</w:t>
      </w:r>
      <w:r w:rsidR="00ED3016" w:rsidRPr="006A22D3">
        <w:rPr>
          <w:noProof/>
        </w:rPr>
        <w:t>korzystne skutki dla środowiska, przedsiębiorstwo powinno uzyskać informacje na temat warunków początkowych</w:t>
      </w:r>
      <w:r w:rsidR="006A22D3" w:rsidRPr="006A22D3">
        <w:rPr>
          <w:noProof/>
        </w:rPr>
        <w:t xml:space="preserve"> w mie</w:t>
      </w:r>
      <w:r w:rsidR="00ED3016" w:rsidRPr="006A22D3">
        <w:rPr>
          <w:noProof/>
        </w:rPr>
        <w:t>jscach lub obiektach</w:t>
      </w:r>
      <w:r w:rsidR="006A22D3" w:rsidRPr="006A22D3">
        <w:rPr>
          <w:noProof/>
        </w:rPr>
        <w:t xml:space="preserve"> o pod</w:t>
      </w:r>
      <w:r w:rsidR="00ED3016" w:rsidRPr="006A22D3">
        <w:rPr>
          <w:noProof/>
        </w:rPr>
        <w:t>wyższonym ryzyku</w:t>
      </w:r>
      <w:r w:rsidR="006A22D3" w:rsidRPr="006A22D3">
        <w:rPr>
          <w:noProof/>
        </w:rPr>
        <w:t xml:space="preserve"> w łań</w:t>
      </w:r>
      <w:r w:rsidR="00ED3016" w:rsidRPr="006A22D3">
        <w:rPr>
          <w:noProof/>
        </w:rPr>
        <w:t>cuchach wartości. Identyfikacja niekorzystnych skutków powinna obejmować przeprowadzenie oceny kontekstu</w:t>
      </w:r>
      <w:r w:rsidR="006A22D3" w:rsidRPr="006A22D3">
        <w:rPr>
          <w:noProof/>
        </w:rPr>
        <w:t xml:space="preserve"> w zak</w:t>
      </w:r>
      <w:r w:rsidR="00ED3016" w:rsidRPr="006A22D3">
        <w:rPr>
          <w:noProof/>
        </w:rPr>
        <w:t>resie praw człowieka</w:t>
      </w:r>
      <w:r w:rsidR="006A22D3" w:rsidRPr="006A22D3">
        <w:rPr>
          <w:noProof/>
        </w:rPr>
        <w:t xml:space="preserve"> i śro</w:t>
      </w:r>
      <w:r w:rsidR="00ED3016" w:rsidRPr="006A22D3">
        <w:rPr>
          <w:noProof/>
        </w:rPr>
        <w:t>dowiska</w:t>
      </w:r>
      <w:r w:rsidR="006A22D3" w:rsidRPr="006A22D3">
        <w:rPr>
          <w:noProof/>
        </w:rPr>
        <w:t xml:space="preserve"> w spo</w:t>
      </w:r>
      <w:r w:rsidR="00ED3016" w:rsidRPr="006A22D3">
        <w:rPr>
          <w:noProof/>
        </w:rPr>
        <w:t>sób dynamiczny</w:t>
      </w:r>
      <w:r w:rsidR="006A22D3" w:rsidRPr="006A22D3">
        <w:rPr>
          <w:noProof/>
        </w:rPr>
        <w:t xml:space="preserve"> i w reg</w:t>
      </w:r>
      <w:r w:rsidR="00ED3016" w:rsidRPr="006A22D3">
        <w:rPr>
          <w:noProof/>
        </w:rPr>
        <w:t>ularnych odstępach czasu: przed rozpoczęciem nowej działalności lub nawiązaniem relacji, przed podjęciem ważnych decyzji lub wprowadzenia zmian</w:t>
      </w:r>
      <w:r w:rsidR="006A22D3" w:rsidRPr="006A22D3">
        <w:rPr>
          <w:noProof/>
        </w:rPr>
        <w:t xml:space="preserve"> w dzi</w:t>
      </w:r>
      <w:r w:rsidR="00ED3016" w:rsidRPr="006A22D3">
        <w:rPr>
          <w:noProof/>
        </w:rPr>
        <w:t>ałalności;</w:t>
      </w:r>
      <w:r w:rsidR="006A22D3" w:rsidRPr="006A22D3">
        <w:rPr>
          <w:noProof/>
        </w:rPr>
        <w:t xml:space="preserve"> w odp</w:t>
      </w:r>
      <w:r w:rsidR="00ED3016" w:rsidRPr="006A22D3">
        <w:rPr>
          <w:noProof/>
        </w:rPr>
        <w:t>owiedzi na zmiany</w:t>
      </w:r>
      <w:r w:rsidR="006A22D3" w:rsidRPr="006A22D3">
        <w:rPr>
          <w:noProof/>
        </w:rPr>
        <w:t xml:space="preserve"> w śro</w:t>
      </w:r>
      <w:r w:rsidR="00ED3016" w:rsidRPr="006A22D3">
        <w:rPr>
          <w:noProof/>
        </w:rPr>
        <w:t>dowisku operacyjnym lub</w:t>
      </w:r>
      <w:r w:rsidR="006A22D3" w:rsidRPr="006A22D3">
        <w:rPr>
          <w:noProof/>
        </w:rPr>
        <w:t xml:space="preserve"> w ocz</w:t>
      </w:r>
      <w:r w:rsidR="00ED3016" w:rsidRPr="006A22D3">
        <w:rPr>
          <w:noProof/>
        </w:rPr>
        <w:t>ekiwaniu na nie;</w:t>
      </w:r>
      <w:r w:rsidR="006A22D3" w:rsidRPr="006A22D3">
        <w:rPr>
          <w:noProof/>
        </w:rPr>
        <w:t xml:space="preserve"> a tak</w:t>
      </w:r>
      <w:r w:rsidR="00ED3016" w:rsidRPr="006A22D3">
        <w:rPr>
          <w:noProof/>
        </w:rPr>
        <w:t>że okresowo, co najmniej raz na</w:t>
      </w:r>
      <w:r w:rsidR="00192E90" w:rsidRPr="006A22D3">
        <w:rPr>
          <w:noProof/>
        </w:rPr>
        <w:t> </w:t>
      </w:r>
      <w:r w:rsidR="00ED3016" w:rsidRPr="006A22D3">
        <w:rPr>
          <w:noProof/>
        </w:rPr>
        <w:t>12 miesięcy, przez cały czas trwania działalności lub relacji. Regulowane przedsiębiorstwa finansowe udzielające pożyczek, kredytów lub świadczące inne usługi finansowe powinny identyfikować niekorzystne skutki wyłącznie</w:t>
      </w:r>
      <w:r w:rsidR="006A22D3" w:rsidRPr="006A22D3">
        <w:rPr>
          <w:noProof/>
        </w:rPr>
        <w:t xml:space="preserve"> w cza</w:t>
      </w:r>
      <w:r w:rsidR="00ED3016" w:rsidRPr="006A22D3">
        <w:rPr>
          <w:noProof/>
        </w:rPr>
        <w:t>sie zawierania umowy. Identyfikując niekorzystne skutki, przedsiębiorstwa powinny również zidentyfikować</w:t>
      </w:r>
      <w:r w:rsidR="006A22D3" w:rsidRPr="006A22D3">
        <w:rPr>
          <w:noProof/>
        </w:rPr>
        <w:t xml:space="preserve"> i oce</w:t>
      </w:r>
      <w:r w:rsidR="00ED3016" w:rsidRPr="006A22D3">
        <w:rPr>
          <w:noProof/>
        </w:rPr>
        <w:t>nić wpływ modelu biznesowego</w:t>
      </w:r>
      <w:r w:rsidR="006A22D3" w:rsidRPr="006A22D3">
        <w:rPr>
          <w:noProof/>
        </w:rPr>
        <w:t xml:space="preserve"> i str</w:t>
      </w:r>
      <w:r w:rsidR="00ED3016" w:rsidRPr="006A22D3">
        <w:rPr>
          <w:noProof/>
        </w:rPr>
        <w:t>ategii partnera,</w:t>
      </w:r>
      <w:r w:rsidR="006A22D3" w:rsidRPr="006A22D3">
        <w:rPr>
          <w:noProof/>
        </w:rPr>
        <w:t xml:space="preserve"> z któ</w:t>
      </w:r>
      <w:r w:rsidR="00ED3016" w:rsidRPr="006A22D3">
        <w:rPr>
          <w:noProof/>
        </w:rPr>
        <w:t>rym zawiązano relację biznesową,</w:t>
      </w:r>
      <w:r w:rsidR="006A22D3" w:rsidRPr="006A22D3">
        <w:rPr>
          <w:noProof/>
        </w:rPr>
        <w:t xml:space="preserve"> w tym</w:t>
      </w:r>
      <w:r w:rsidR="00ED3016" w:rsidRPr="006A22D3">
        <w:rPr>
          <w:noProof/>
        </w:rPr>
        <w:t xml:space="preserve"> praktyk handlowych, praktyk dotyczących zamówień publicznych</w:t>
      </w:r>
      <w:r w:rsidR="006A22D3" w:rsidRPr="006A22D3">
        <w:rPr>
          <w:noProof/>
        </w:rPr>
        <w:t xml:space="preserve"> i pra</w:t>
      </w:r>
      <w:r w:rsidR="00ED3016" w:rsidRPr="006A22D3">
        <w:rPr>
          <w:noProof/>
        </w:rPr>
        <w:t>ktyk cenowych. Jeśli przedsiębiorstwo nie jest</w:t>
      </w:r>
      <w:r w:rsidR="006A22D3" w:rsidRPr="006A22D3">
        <w:rPr>
          <w:noProof/>
        </w:rPr>
        <w:t xml:space="preserve"> w sta</w:t>
      </w:r>
      <w:r w:rsidR="00ED3016" w:rsidRPr="006A22D3">
        <w:rPr>
          <w:noProof/>
        </w:rPr>
        <w:t>nie zapobiec wszystkim niekorzystnym skutkom jednocześnie, powstrzymać ich lub ich zminimalizować, powinno mieć możliwość ustalenia kolejności swoich działań, pod warunkiem że zastosuje środki, do których przedsiębiorstwo posiada</w:t>
      </w:r>
      <w:r w:rsidR="006A22D3" w:rsidRPr="006A22D3">
        <w:rPr>
          <w:noProof/>
        </w:rPr>
        <w:t xml:space="preserve"> z rac</w:t>
      </w:r>
      <w:r w:rsidR="00ED3016" w:rsidRPr="006A22D3">
        <w:rPr>
          <w:noProof/>
        </w:rPr>
        <w:t>jonalnego punktu widzenia dostęp, biorąc pod uwagę szczególne okoliczności.</w:t>
      </w:r>
    </w:p>
    <w:p w:rsidR="00ED3016" w:rsidRPr="006A22D3" w:rsidRDefault="00D91F29" w:rsidP="00D91F29">
      <w:pPr>
        <w:pStyle w:val="ManualConsidrant"/>
        <w:rPr>
          <w:noProof/>
        </w:rPr>
      </w:pPr>
      <w:r w:rsidRPr="00D91F29">
        <w:t>(31)</w:t>
      </w:r>
      <w:r w:rsidRPr="00D91F29">
        <w:tab/>
      </w:r>
      <w:r w:rsidR="0091090B" w:rsidRPr="006A22D3">
        <w:rPr>
          <w:noProof/>
        </w:rPr>
        <w:t>Aby uniknąć nadmiernego obciążenia mniejszych przedsiębiorstw działających</w:t>
      </w:r>
      <w:r w:rsidR="006A22D3" w:rsidRPr="006A22D3">
        <w:rPr>
          <w:noProof/>
        </w:rPr>
        <w:t xml:space="preserve"> w sek</w:t>
      </w:r>
      <w:r w:rsidR="0091090B" w:rsidRPr="006A22D3">
        <w:rPr>
          <w:noProof/>
        </w:rPr>
        <w:t>torach</w:t>
      </w:r>
      <w:r w:rsidR="006A22D3" w:rsidRPr="006A22D3">
        <w:rPr>
          <w:noProof/>
        </w:rPr>
        <w:t xml:space="preserve"> o duż</w:t>
      </w:r>
      <w:r w:rsidR="0091090B" w:rsidRPr="006A22D3">
        <w:rPr>
          <w:noProof/>
        </w:rPr>
        <w:t>ym wpływie, które wchodzą</w:t>
      </w:r>
      <w:r w:rsidR="006A22D3" w:rsidRPr="006A22D3">
        <w:rPr>
          <w:noProof/>
        </w:rPr>
        <w:t xml:space="preserve"> w zak</w:t>
      </w:r>
      <w:r w:rsidR="0091090B" w:rsidRPr="006A22D3">
        <w:rPr>
          <w:noProof/>
        </w:rPr>
        <w:t>res niniejszej dyrektywy, przedsiębiorstwa te powinny być zobowiązane do zidentyfikowania wyłącznie tych rzeczywistych lub potencjalnych poważnych niekorzystnych skutków, które są istotne dla danego sektora.</w:t>
      </w:r>
    </w:p>
    <w:p w:rsidR="00EE3E11" w:rsidRPr="006A22D3" w:rsidRDefault="00D91F29" w:rsidP="00D91F29">
      <w:pPr>
        <w:pStyle w:val="ManualConsidrant"/>
        <w:rPr>
          <w:noProof/>
        </w:rPr>
      </w:pPr>
      <w:r w:rsidRPr="00D91F29">
        <w:t>(32)</w:t>
      </w:r>
      <w:r w:rsidRPr="00D91F29">
        <w:tab/>
      </w:r>
      <w:r w:rsidR="00ED3016" w:rsidRPr="006A22D3">
        <w:rPr>
          <w:noProof/>
        </w:rPr>
        <w:tab/>
        <w:t>Zgodnie</w:t>
      </w:r>
      <w:r w:rsidR="006A22D3" w:rsidRPr="006A22D3">
        <w:rPr>
          <w:noProof/>
        </w:rPr>
        <w:t xml:space="preserve"> z nor</w:t>
      </w:r>
      <w:r w:rsidR="00ED3016" w:rsidRPr="006A22D3">
        <w:rPr>
          <w:noProof/>
        </w:rPr>
        <w:t>mami międzynarodowymi zapobieganie niekorzystnym skutkom, łagodzenie ich,</w:t>
      </w:r>
      <w:r w:rsidR="006A22D3" w:rsidRPr="006A22D3">
        <w:rPr>
          <w:noProof/>
        </w:rPr>
        <w:t xml:space="preserve"> a tak</w:t>
      </w:r>
      <w:r w:rsidR="00ED3016" w:rsidRPr="006A22D3">
        <w:rPr>
          <w:noProof/>
        </w:rPr>
        <w:t>że ich powstrzymanie</w:t>
      </w:r>
      <w:r w:rsidR="006A22D3" w:rsidRPr="006A22D3">
        <w:rPr>
          <w:noProof/>
        </w:rPr>
        <w:t xml:space="preserve"> i min</w:t>
      </w:r>
      <w:r w:rsidR="00ED3016" w:rsidRPr="006A22D3">
        <w:rPr>
          <w:noProof/>
        </w:rPr>
        <w:t>imalizowanie, powinno uwzględniać interesy podmiotów, których te niekorzystne skutki dotykają. Aby umożliwić dalszą współpracę</w:t>
      </w:r>
      <w:r w:rsidR="006A22D3" w:rsidRPr="006A22D3">
        <w:rPr>
          <w:noProof/>
        </w:rPr>
        <w:t xml:space="preserve"> z par</w:t>
      </w:r>
      <w:r w:rsidR="00ED3016" w:rsidRPr="006A22D3">
        <w:rPr>
          <w:noProof/>
        </w:rPr>
        <w:t>tnerem biznesowym</w:t>
      </w:r>
      <w:r w:rsidR="006A22D3" w:rsidRPr="006A22D3">
        <w:rPr>
          <w:noProof/>
        </w:rPr>
        <w:t xml:space="preserve"> w łań</w:t>
      </w:r>
      <w:r w:rsidR="00ED3016" w:rsidRPr="006A22D3">
        <w:rPr>
          <w:noProof/>
        </w:rPr>
        <w:t>cuchu wartości zamiast zakończenia tej relacji biznesowej (wycofania się</w:t>
      </w:r>
      <w:r w:rsidR="006A22D3" w:rsidRPr="006A22D3">
        <w:rPr>
          <w:noProof/>
        </w:rPr>
        <w:t xml:space="preserve"> z nie</w:t>
      </w:r>
      <w:r w:rsidR="00ED3016" w:rsidRPr="006A22D3">
        <w:rPr>
          <w:noProof/>
        </w:rPr>
        <w:t>j)</w:t>
      </w:r>
      <w:r w:rsidR="006A22D3" w:rsidRPr="006A22D3">
        <w:rPr>
          <w:noProof/>
        </w:rPr>
        <w:t xml:space="preserve"> i ewe</w:t>
      </w:r>
      <w:r w:rsidR="00ED3016" w:rsidRPr="006A22D3">
        <w:rPr>
          <w:noProof/>
        </w:rPr>
        <w:t>ntualnego spowodowania nasilenia niekorzystnych skutków, niniejsza dyrektywa powinna zapewniać, aby wycofanie się było ostatecznością, zgodnie</w:t>
      </w:r>
      <w:r w:rsidR="006A22D3" w:rsidRPr="006A22D3">
        <w:rPr>
          <w:noProof/>
        </w:rPr>
        <w:t xml:space="preserve"> z uni</w:t>
      </w:r>
      <w:r w:rsidR="00ED3016" w:rsidRPr="006A22D3">
        <w:rPr>
          <w:noProof/>
        </w:rPr>
        <w:t>jną polityką zerowej tolerancji dla pracy dzieci. Zakończenie relacji biznesowej,</w:t>
      </w:r>
      <w:r w:rsidR="006A22D3" w:rsidRPr="006A22D3">
        <w:rPr>
          <w:noProof/>
        </w:rPr>
        <w:t xml:space="preserve"> w prz</w:t>
      </w:r>
      <w:r w:rsidR="00ED3016" w:rsidRPr="006A22D3">
        <w:rPr>
          <w:noProof/>
        </w:rPr>
        <w:t>ypadku której stwierdzono pracę dzieci, może narazić dzieci na jeszcze poważniejsze niekorzystne skutki dla praw człowieka. Należy tę kwestię wziąć pod uwagę przy podejmowaniu decyzji</w:t>
      </w:r>
      <w:r w:rsidR="006A22D3" w:rsidRPr="006A22D3">
        <w:rPr>
          <w:noProof/>
        </w:rPr>
        <w:t xml:space="preserve"> o tym</w:t>
      </w:r>
      <w:r w:rsidR="00ED3016" w:rsidRPr="006A22D3">
        <w:rPr>
          <w:noProof/>
        </w:rPr>
        <w:t xml:space="preserve">, jakie działanie podjąć. </w:t>
      </w:r>
    </w:p>
    <w:p w:rsidR="00EE3E11" w:rsidRPr="006A22D3" w:rsidRDefault="00D91F29" w:rsidP="00D91F29">
      <w:pPr>
        <w:pStyle w:val="ManualConsidrant"/>
        <w:rPr>
          <w:noProof/>
        </w:rPr>
      </w:pPr>
      <w:r w:rsidRPr="00D91F29">
        <w:t>(33)</w:t>
      </w:r>
      <w:r w:rsidRPr="00D91F29">
        <w:tab/>
      </w:r>
      <w:r w:rsidR="00114FCD" w:rsidRPr="006A22D3">
        <w:rPr>
          <w:noProof/>
        </w:rPr>
        <w:t>Zgodnie</w:t>
      </w:r>
      <w:r w:rsidR="006A22D3" w:rsidRPr="006A22D3">
        <w:rPr>
          <w:noProof/>
        </w:rPr>
        <w:t xml:space="preserve"> z obo</w:t>
      </w:r>
      <w:r w:rsidR="00114FCD" w:rsidRPr="006A22D3">
        <w:rPr>
          <w:noProof/>
        </w:rPr>
        <w:t>wiązkami</w:t>
      </w:r>
      <w:r w:rsidR="006A22D3" w:rsidRPr="006A22D3">
        <w:rPr>
          <w:noProof/>
        </w:rPr>
        <w:t xml:space="preserve"> w zak</w:t>
      </w:r>
      <w:r w:rsidR="00114FCD" w:rsidRPr="006A22D3">
        <w:rPr>
          <w:noProof/>
        </w:rPr>
        <w:t>resie należytej staranności określonymi</w:t>
      </w:r>
      <w:r w:rsidR="006A22D3" w:rsidRPr="006A22D3">
        <w:rPr>
          <w:noProof/>
        </w:rPr>
        <w:t xml:space="preserve"> w nin</w:t>
      </w:r>
      <w:r w:rsidR="00114FCD" w:rsidRPr="006A22D3">
        <w:rPr>
          <w:noProof/>
        </w:rPr>
        <w:t>iejszej dyrektywie, jeśli przedsiębiorstwo zidentyfikuje potencjalne niekorzystne skutki dla praw człowieka lub środowiska, powinno zastosować odpowiednie środki, aby zapobiec tym skutkom lub odpowiednio je załagodzić. Aby zapewnić przedsiębiorstwom jasność</w:t>
      </w:r>
      <w:r w:rsidR="006A22D3" w:rsidRPr="006A22D3">
        <w:rPr>
          <w:noProof/>
        </w:rPr>
        <w:t xml:space="preserve"> i pew</w:t>
      </w:r>
      <w:r w:rsidR="00114FCD" w:rsidRPr="006A22D3">
        <w:rPr>
          <w:noProof/>
        </w:rPr>
        <w:t>ność prawa,</w:t>
      </w:r>
      <w:r w:rsidR="006A22D3" w:rsidRPr="006A22D3">
        <w:rPr>
          <w:noProof/>
        </w:rPr>
        <w:t xml:space="preserve"> w nin</w:t>
      </w:r>
      <w:r w:rsidR="00114FCD" w:rsidRPr="006A22D3">
        <w:rPr>
          <w:noProof/>
        </w:rPr>
        <w:t>iejszej dyrektywie należy określić, podjęcia jakich działań powinno się oczekiwać od przedsiębiorstw,</w:t>
      </w:r>
      <w:r w:rsidR="006A22D3" w:rsidRPr="006A22D3">
        <w:rPr>
          <w:noProof/>
        </w:rPr>
        <w:t xml:space="preserve"> w sto</w:t>
      </w:r>
      <w:r w:rsidR="00114FCD" w:rsidRPr="006A22D3">
        <w:rPr>
          <w:noProof/>
        </w:rPr>
        <w:t>sownych przypadkach</w:t>
      </w:r>
      <w:r w:rsidR="006A22D3" w:rsidRPr="006A22D3">
        <w:rPr>
          <w:noProof/>
        </w:rPr>
        <w:t xml:space="preserve"> i w zal</w:t>
      </w:r>
      <w:r w:rsidR="00114FCD" w:rsidRPr="006A22D3">
        <w:rPr>
          <w:noProof/>
        </w:rPr>
        <w:t>eżności od sytuacji,</w:t>
      </w:r>
      <w:r w:rsidR="006A22D3" w:rsidRPr="006A22D3">
        <w:rPr>
          <w:noProof/>
        </w:rPr>
        <w:t xml:space="preserve"> w cel</w:t>
      </w:r>
      <w:r w:rsidR="00114FCD" w:rsidRPr="006A22D3">
        <w:rPr>
          <w:noProof/>
        </w:rPr>
        <w:t>u zapobieżenia potencjalnym niekorzystnym skutkom</w:t>
      </w:r>
      <w:r w:rsidR="006A22D3" w:rsidRPr="006A22D3">
        <w:rPr>
          <w:noProof/>
        </w:rPr>
        <w:t xml:space="preserve"> i ich</w:t>
      </w:r>
      <w:r w:rsidR="00114FCD" w:rsidRPr="006A22D3">
        <w:rPr>
          <w:noProof/>
        </w:rPr>
        <w:t xml:space="preserve"> łagodzenia.</w:t>
      </w:r>
    </w:p>
    <w:p w:rsidR="00ED3016" w:rsidRPr="006A22D3" w:rsidRDefault="00D91F29" w:rsidP="00D91F29">
      <w:pPr>
        <w:pStyle w:val="ManualConsidrant"/>
        <w:rPr>
          <w:noProof/>
        </w:rPr>
      </w:pPr>
      <w:r w:rsidRPr="00D91F29">
        <w:t>(34)</w:t>
      </w:r>
      <w:r w:rsidRPr="00D91F29">
        <w:tab/>
      </w:r>
      <w:r w:rsidR="00ED3016" w:rsidRPr="006A22D3">
        <w:rPr>
          <w:noProof/>
        </w:rPr>
        <w:t>Aby wypełnić obowiązek zapobiegania</w:t>
      </w:r>
      <w:r w:rsidR="006A22D3" w:rsidRPr="006A22D3">
        <w:rPr>
          <w:noProof/>
        </w:rPr>
        <w:t xml:space="preserve"> i łag</w:t>
      </w:r>
      <w:r w:rsidR="00ED3016" w:rsidRPr="006A22D3">
        <w:rPr>
          <w:noProof/>
        </w:rPr>
        <w:t>odzenia na podstawie niniejszej dyrektywy, od przedsiębiorstw należy</w:t>
      </w:r>
      <w:r w:rsidR="006A22D3" w:rsidRPr="006A22D3">
        <w:rPr>
          <w:noProof/>
        </w:rPr>
        <w:t xml:space="preserve"> w sto</w:t>
      </w:r>
      <w:r w:rsidR="00ED3016" w:rsidRPr="006A22D3">
        <w:rPr>
          <w:noProof/>
        </w:rPr>
        <w:t>sownych przypadkach oczekiwać podjęcia następujących działań</w:t>
      </w:r>
      <w:r w:rsidR="006A22D3" w:rsidRPr="006A22D3">
        <w:rPr>
          <w:noProof/>
        </w:rPr>
        <w:t>. W raz</w:t>
      </w:r>
      <w:r w:rsidR="00ED3016" w:rsidRPr="006A22D3">
        <w:rPr>
          <w:noProof/>
        </w:rPr>
        <w:t>ie potrzeby ze względu na złożoność środków zapobiegawczych przedsiębiorstwa powinny opracować</w:t>
      </w:r>
      <w:r w:rsidR="006A22D3" w:rsidRPr="006A22D3">
        <w:rPr>
          <w:noProof/>
        </w:rPr>
        <w:t xml:space="preserve"> i wdr</w:t>
      </w:r>
      <w:r w:rsidR="00ED3016" w:rsidRPr="006A22D3">
        <w:rPr>
          <w:noProof/>
        </w:rPr>
        <w:t>ożyć plan działań zapobiegawczych. Przedsiębiorstwa powinny dążyć do uzyskania od bezpośredniego partnera,</w:t>
      </w:r>
      <w:r w:rsidR="006A22D3" w:rsidRPr="006A22D3">
        <w:rPr>
          <w:noProof/>
        </w:rPr>
        <w:t xml:space="preserve"> z któ</w:t>
      </w:r>
      <w:r w:rsidR="00ED3016" w:rsidRPr="006A22D3">
        <w:rPr>
          <w:noProof/>
        </w:rPr>
        <w:t>rym utrzymują stałe relacje biznesowe, zabezpieczeń umownych, że zapewni on przestrzeganie kodeksu postępowania lub planu działań zapobiegawczych,</w:t>
      </w:r>
      <w:r w:rsidR="006A22D3" w:rsidRPr="006A22D3">
        <w:rPr>
          <w:noProof/>
        </w:rPr>
        <w:t xml:space="preserve"> w tym</w:t>
      </w:r>
      <w:r w:rsidR="00ED3016" w:rsidRPr="006A22D3">
        <w:rPr>
          <w:noProof/>
        </w:rPr>
        <w:t xml:space="preserve"> uzyskując odpowiednie zabezpieczenia umowne od swoich partnerów</w:t>
      </w:r>
      <w:r w:rsidR="006A22D3" w:rsidRPr="006A22D3">
        <w:rPr>
          <w:noProof/>
        </w:rPr>
        <w:t xml:space="preserve"> w zak</w:t>
      </w:r>
      <w:r w:rsidR="00ED3016" w:rsidRPr="006A22D3">
        <w:rPr>
          <w:noProof/>
        </w:rPr>
        <w:t>resie,</w:t>
      </w:r>
      <w:r w:rsidR="006A22D3" w:rsidRPr="006A22D3">
        <w:rPr>
          <w:noProof/>
        </w:rPr>
        <w:t xml:space="preserve"> w jak</w:t>
      </w:r>
      <w:r w:rsidR="00ED3016" w:rsidRPr="006A22D3">
        <w:rPr>
          <w:noProof/>
        </w:rPr>
        <w:t>im ich działania stanowią część łańcucha wartości przedsiębiorstwa. Zabezpieczeniom umownym powinny towarzyszyć odpowiednie środki służące weryfikacji przestrzegania tych zabezpieczeń</w:t>
      </w:r>
      <w:r w:rsidR="006A22D3" w:rsidRPr="006A22D3">
        <w:rPr>
          <w:noProof/>
        </w:rPr>
        <w:t>. W cel</w:t>
      </w:r>
      <w:r w:rsidR="00ED3016" w:rsidRPr="006A22D3">
        <w:rPr>
          <w:noProof/>
        </w:rPr>
        <w:t>u zapewnienia kompleksowego zapobiegania rzeczywistym</w:t>
      </w:r>
      <w:r w:rsidR="006A22D3" w:rsidRPr="006A22D3">
        <w:rPr>
          <w:noProof/>
        </w:rPr>
        <w:t xml:space="preserve"> i pot</w:t>
      </w:r>
      <w:r w:rsidR="00ED3016" w:rsidRPr="006A22D3">
        <w:rPr>
          <w:noProof/>
        </w:rPr>
        <w:t>encjalnym niekorzystnym skutkom przedsiębiorstwa powinny także dokonywać inwestycji służących zapobieganiu niekorzystnym skutkom, zapewniać ukierunkowane</w:t>
      </w:r>
      <w:r w:rsidR="006A22D3" w:rsidRPr="006A22D3">
        <w:rPr>
          <w:noProof/>
        </w:rPr>
        <w:t xml:space="preserve"> i pro</w:t>
      </w:r>
      <w:r w:rsidR="00ED3016" w:rsidRPr="006A22D3">
        <w:rPr>
          <w:noProof/>
        </w:rPr>
        <w:t>porcjonalne wsparcie dla MŚP,</w:t>
      </w:r>
      <w:r w:rsidR="006A22D3" w:rsidRPr="006A22D3">
        <w:rPr>
          <w:noProof/>
        </w:rPr>
        <w:t xml:space="preserve"> z któ</w:t>
      </w:r>
      <w:r w:rsidR="00ED3016" w:rsidRPr="006A22D3">
        <w:rPr>
          <w:noProof/>
        </w:rPr>
        <w:t>rymi utrzymują stałe relacje biznesowe, takie jak finansowanie, na przykład poprzez finansowanie bezpośrednie, pożyczki niskooprocentowane, gwarancje ciągłości zaopatrzenia oraz pomoc</w:t>
      </w:r>
      <w:r w:rsidR="006A22D3" w:rsidRPr="006A22D3">
        <w:rPr>
          <w:noProof/>
        </w:rPr>
        <w:t xml:space="preserve"> w zap</w:t>
      </w:r>
      <w:r w:rsidR="00ED3016" w:rsidRPr="006A22D3">
        <w:rPr>
          <w:noProof/>
        </w:rPr>
        <w:t>ewnianiu finansowania, aby pomóc we wdrożeniu kodeksu postępowania lub planu działań zapobiegawczych, lub wytyczne techniczne, na przykład</w:t>
      </w:r>
      <w:r w:rsidR="006A22D3" w:rsidRPr="006A22D3">
        <w:rPr>
          <w:noProof/>
        </w:rPr>
        <w:t xml:space="preserve"> w for</w:t>
      </w:r>
      <w:r w:rsidR="00ED3016" w:rsidRPr="006A22D3">
        <w:rPr>
          <w:noProof/>
        </w:rPr>
        <w:t>mie szkoleń, unowocześniania systemów zarządzania, oraz współpracować</w:t>
      </w:r>
      <w:r w:rsidR="006A22D3" w:rsidRPr="006A22D3">
        <w:rPr>
          <w:noProof/>
        </w:rPr>
        <w:t xml:space="preserve"> z inn</w:t>
      </w:r>
      <w:r w:rsidR="00ED3016" w:rsidRPr="006A22D3">
        <w:rPr>
          <w:noProof/>
        </w:rPr>
        <w:t xml:space="preserve">ymi przedsiębiorstwami. </w:t>
      </w:r>
    </w:p>
    <w:p w:rsidR="00ED3016" w:rsidRPr="006A22D3" w:rsidRDefault="00D91F29" w:rsidP="00D91F29">
      <w:pPr>
        <w:pStyle w:val="ManualConsidrant"/>
        <w:rPr>
          <w:noProof/>
        </w:rPr>
      </w:pPr>
      <w:r w:rsidRPr="00D91F29">
        <w:t>(35)</w:t>
      </w:r>
      <w:r w:rsidRPr="00D91F29">
        <w:tab/>
      </w:r>
      <w:r w:rsidR="00ED3016" w:rsidRPr="006A22D3">
        <w:rPr>
          <w:noProof/>
        </w:rPr>
        <w:t>Aby odzwierciedlić pełen zakres możliwości, jakimi dysponuje przedsiębiorstwo,</w:t>
      </w:r>
      <w:r w:rsidR="006A22D3" w:rsidRPr="006A22D3">
        <w:rPr>
          <w:noProof/>
        </w:rPr>
        <w:t xml:space="preserve"> w prz</w:t>
      </w:r>
      <w:r w:rsidR="00ED3016" w:rsidRPr="006A22D3">
        <w:rPr>
          <w:noProof/>
        </w:rPr>
        <w:t>ypadkach gdy potencjalnych skutków nie można wyeliminować za pomocą opisanych środków zapobiegawczych lub środków mających na celu zminimalizowanie skutków, niniejsza dyrektywa powinna również odnosić się do możliwości dążenia przez przedsiębiorstwo do zawarcia umowy</w:t>
      </w:r>
      <w:r w:rsidR="006A22D3" w:rsidRPr="006A22D3">
        <w:rPr>
          <w:noProof/>
        </w:rPr>
        <w:t xml:space="preserve"> z poś</w:t>
      </w:r>
      <w:r w:rsidR="00ED3016" w:rsidRPr="006A22D3">
        <w:rPr>
          <w:noProof/>
        </w:rPr>
        <w:t>rednim partnerem biznesowym</w:t>
      </w:r>
      <w:r w:rsidR="006A22D3" w:rsidRPr="006A22D3">
        <w:rPr>
          <w:noProof/>
        </w:rPr>
        <w:t xml:space="preserve"> w cel</w:t>
      </w:r>
      <w:r w:rsidR="00ED3016" w:rsidRPr="006A22D3">
        <w:rPr>
          <w:noProof/>
        </w:rPr>
        <w:t>u osiągnięcia zgodności</w:t>
      </w:r>
      <w:r w:rsidR="006A22D3" w:rsidRPr="006A22D3">
        <w:rPr>
          <w:noProof/>
        </w:rPr>
        <w:t xml:space="preserve"> z kod</w:t>
      </w:r>
      <w:r w:rsidR="00ED3016" w:rsidRPr="006A22D3">
        <w:rPr>
          <w:noProof/>
        </w:rPr>
        <w:t>eksem postępowania przedsiębiorstwa lub planem działań zapobiegawczych oraz wprowadzenia odpowiednich środków sprawdzania zgodności pośrednich relacji biznesowych</w:t>
      </w:r>
      <w:r w:rsidR="006A22D3" w:rsidRPr="006A22D3">
        <w:rPr>
          <w:noProof/>
        </w:rPr>
        <w:t xml:space="preserve"> z umo</w:t>
      </w:r>
      <w:r w:rsidR="00ED3016" w:rsidRPr="006A22D3">
        <w:rPr>
          <w:noProof/>
        </w:rPr>
        <w:t>wą.</w:t>
      </w:r>
      <w:r w:rsidR="00192E90" w:rsidRPr="006A22D3">
        <w:rPr>
          <w:noProof/>
        </w:rPr>
        <w:t xml:space="preserve"> </w:t>
      </w:r>
    </w:p>
    <w:p w:rsidR="00ED3016" w:rsidRPr="006A22D3" w:rsidRDefault="00D91F29" w:rsidP="00D91F29">
      <w:pPr>
        <w:pStyle w:val="ManualConsidrant"/>
        <w:rPr>
          <w:noProof/>
        </w:rPr>
      </w:pPr>
      <w:r w:rsidRPr="00D91F29">
        <w:t>(36)</w:t>
      </w:r>
      <w:r w:rsidRPr="00D91F29">
        <w:tab/>
      </w:r>
      <w:r w:rsidR="00ED3016" w:rsidRPr="006A22D3">
        <w:rPr>
          <w:noProof/>
        </w:rPr>
        <w:t>W celu zapewnienia skutecznego zapobiegania potencjalnym niekorzystnym skutkom</w:t>
      </w:r>
      <w:r w:rsidR="006A22D3" w:rsidRPr="006A22D3">
        <w:rPr>
          <w:noProof/>
        </w:rPr>
        <w:t xml:space="preserve"> i ich</w:t>
      </w:r>
      <w:r w:rsidR="00ED3016" w:rsidRPr="006A22D3">
        <w:rPr>
          <w:noProof/>
        </w:rPr>
        <w:t xml:space="preserve"> ograniczania dla przedsiębiorstw priorytetem powinno być nawiązywanie relacji biznesowych</w:t>
      </w:r>
      <w:r w:rsidR="006A22D3" w:rsidRPr="006A22D3">
        <w:rPr>
          <w:noProof/>
        </w:rPr>
        <w:t xml:space="preserve"> w łań</w:t>
      </w:r>
      <w:r w:rsidR="00ED3016" w:rsidRPr="006A22D3">
        <w:rPr>
          <w:noProof/>
        </w:rPr>
        <w:t>cuchu wartości,</w:t>
      </w:r>
      <w:r w:rsidR="006A22D3" w:rsidRPr="006A22D3">
        <w:rPr>
          <w:noProof/>
        </w:rPr>
        <w:t xml:space="preserve"> a nie</w:t>
      </w:r>
      <w:r w:rsidR="00ED3016" w:rsidRPr="006A22D3">
        <w:rPr>
          <w:noProof/>
        </w:rPr>
        <w:t xml:space="preserve"> kończenie relacji biznesowych, które stanowi ostateczne rozwiązanie po bezskutecznych próbach zapobieżenia potencjalnym niekorzystnym skutkom</w:t>
      </w:r>
      <w:r w:rsidR="006A22D3" w:rsidRPr="006A22D3">
        <w:rPr>
          <w:noProof/>
        </w:rPr>
        <w:t xml:space="preserve"> i ich</w:t>
      </w:r>
      <w:r w:rsidR="00ED3016" w:rsidRPr="006A22D3">
        <w:rPr>
          <w:noProof/>
        </w:rPr>
        <w:t xml:space="preserve"> ograniczenia. Dyrektywa powinna jednak również –</w:t>
      </w:r>
      <w:r w:rsidR="006A22D3" w:rsidRPr="006A22D3">
        <w:rPr>
          <w:noProof/>
        </w:rPr>
        <w:t xml:space="preserve"> w prz</w:t>
      </w:r>
      <w:r w:rsidR="00ED3016" w:rsidRPr="006A22D3">
        <w:rPr>
          <w:noProof/>
        </w:rPr>
        <w:t>ypadkach gdy potencjalnych niekorzystnych skutków nie można wyeliminować za pomocą opisanych środków zapobiegawczych lub ograniczających – odnosić się do obowiązku powstrzymania się przez przedsiębiorstwa od nawiązywania nowych lub rozszerzania istniejących relacji</w:t>
      </w:r>
      <w:r w:rsidR="006A22D3" w:rsidRPr="006A22D3">
        <w:rPr>
          <w:noProof/>
        </w:rPr>
        <w:t xml:space="preserve"> z dan</w:t>
      </w:r>
      <w:r w:rsidR="00ED3016" w:rsidRPr="006A22D3">
        <w:rPr>
          <w:noProof/>
        </w:rPr>
        <w:t>ym partnerem,</w:t>
      </w:r>
      <w:r w:rsidR="006A22D3" w:rsidRPr="006A22D3">
        <w:rPr>
          <w:noProof/>
        </w:rPr>
        <w:t xml:space="preserve"> a tak</w:t>
      </w:r>
      <w:r w:rsidR="00ED3016" w:rsidRPr="006A22D3">
        <w:rPr>
          <w:noProof/>
        </w:rPr>
        <w:t>że, jeśli uprawnia ich do tego prawo regulujące ich relacje, do czasowego zawieszenia stosunków handlowych</w:t>
      </w:r>
      <w:r w:rsidR="006A22D3" w:rsidRPr="006A22D3">
        <w:rPr>
          <w:noProof/>
        </w:rPr>
        <w:t xml:space="preserve"> z dan</w:t>
      </w:r>
      <w:r w:rsidR="00ED3016" w:rsidRPr="006A22D3">
        <w:rPr>
          <w:noProof/>
        </w:rPr>
        <w:t>ym partnerem, przy jednoczesnym podejmowaniu starań na rzecz zapobiegania tym skutkom</w:t>
      </w:r>
      <w:r w:rsidR="006A22D3" w:rsidRPr="006A22D3">
        <w:rPr>
          <w:noProof/>
        </w:rPr>
        <w:t xml:space="preserve"> i ich</w:t>
      </w:r>
      <w:r w:rsidR="00ED3016" w:rsidRPr="006A22D3">
        <w:rPr>
          <w:noProof/>
        </w:rPr>
        <w:t xml:space="preserve"> minimalizowania, jeśli istnieje uzasadnione oczekiwanie, że starania te będą skuteczne</w:t>
      </w:r>
      <w:r w:rsidR="006A22D3" w:rsidRPr="006A22D3">
        <w:rPr>
          <w:noProof/>
        </w:rPr>
        <w:t xml:space="preserve"> w per</w:t>
      </w:r>
      <w:r w:rsidR="00ED3016" w:rsidRPr="006A22D3">
        <w:rPr>
          <w:noProof/>
        </w:rPr>
        <w:t>spektywie krótkoterminowej, albo do rozwiązania relacji biznesowych</w:t>
      </w:r>
      <w:r w:rsidR="006A22D3" w:rsidRPr="006A22D3">
        <w:rPr>
          <w:noProof/>
        </w:rPr>
        <w:t xml:space="preserve"> w odn</w:t>
      </w:r>
      <w:r w:rsidR="00ED3016" w:rsidRPr="006A22D3">
        <w:rPr>
          <w:noProof/>
        </w:rPr>
        <w:t>iesieniu do danej działalności, jeśli potencjalne niekorzystne skutki są poważne. Aby umożliwić przedsiębiorstwom wywiązanie się</w:t>
      </w:r>
      <w:r w:rsidR="006A22D3" w:rsidRPr="006A22D3">
        <w:rPr>
          <w:noProof/>
        </w:rPr>
        <w:t xml:space="preserve"> z teg</w:t>
      </w:r>
      <w:r w:rsidR="00ED3016" w:rsidRPr="006A22D3">
        <w:rPr>
          <w:noProof/>
        </w:rPr>
        <w:t>o obowiązku, państwa członkowskie powinny przewidzieć możliwość rozwiązania relacji biznesowych nawiązanych na podstawie umów podlegających ich prawu. Możliwe jest, że zapobieganie niekorzystnym skutkom na poziomie pośrednich relacji biznesowych będzie wymagało współpracy</w:t>
      </w:r>
      <w:r w:rsidR="006A22D3" w:rsidRPr="006A22D3">
        <w:rPr>
          <w:noProof/>
        </w:rPr>
        <w:t xml:space="preserve"> z inn</w:t>
      </w:r>
      <w:r w:rsidR="00ED3016" w:rsidRPr="006A22D3">
        <w:rPr>
          <w:noProof/>
        </w:rPr>
        <w:t>ym przedsiębiorstwem, na przykład</w:t>
      </w:r>
      <w:r w:rsidR="006A22D3" w:rsidRPr="006A22D3">
        <w:rPr>
          <w:noProof/>
        </w:rPr>
        <w:t xml:space="preserve"> z prz</w:t>
      </w:r>
      <w:r w:rsidR="00ED3016" w:rsidRPr="006A22D3">
        <w:rPr>
          <w:noProof/>
        </w:rPr>
        <w:t>edsiębiorstwem, które ma bezpośredni stosunek umowny</w:t>
      </w:r>
      <w:r w:rsidR="006A22D3" w:rsidRPr="006A22D3">
        <w:rPr>
          <w:noProof/>
        </w:rPr>
        <w:t xml:space="preserve"> z dos</w:t>
      </w:r>
      <w:r w:rsidR="00ED3016" w:rsidRPr="006A22D3">
        <w:rPr>
          <w:noProof/>
        </w:rPr>
        <w:t>tawcą</w:t>
      </w:r>
      <w:r w:rsidR="006A22D3" w:rsidRPr="006A22D3">
        <w:rPr>
          <w:noProof/>
        </w:rPr>
        <w:t>. W nie</w:t>
      </w:r>
      <w:r w:rsidR="00ED3016" w:rsidRPr="006A22D3">
        <w:rPr>
          <w:noProof/>
        </w:rPr>
        <w:t>których przypadkach taka współpraca może być jedynym realistycznym sposobem zapobiegania niekorzystnym skutkom, zwłaszcza gdy pośredni partner biznesowy nie jest gotowy, aby zawrzeć umowę</w:t>
      </w:r>
      <w:r w:rsidR="006A22D3" w:rsidRPr="006A22D3">
        <w:rPr>
          <w:noProof/>
        </w:rPr>
        <w:t xml:space="preserve"> z prz</w:t>
      </w:r>
      <w:r w:rsidR="00ED3016" w:rsidRPr="006A22D3">
        <w:rPr>
          <w:noProof/>
        </w:rPr>
        <w:t>edsiębiorstwem</w:t>
      </w:r>
      <w:r w:rsidR="006A22D3" w:rsidRPr="006A22D3">
        <w:rPr>
          <w:noProof/>
        </w:rPr>
        <w:t>. W tak</w:t>
      </w:r>
      <w:r w:rsidR="00ED3016" w:rsidRPr="006A22D3">
        <w:rPr>
          <w:noProof/>
        </w:rPr>
        <w:t>ich przypadkach przedsiębiorstwo powinno współpracować</w:t>
      </w:r>
      <w:r w:rsidR="006A22D3" w:rsidRPr="006A22D3">
        <w:rPr>
          <w:noProof/>
        </w:rPr>
        <w:t xml:space="preserve"> z pod</w:t>
      </w:r>
      <w:r w:rsidR="00ED3016" w:rsidRPr="006A22D3">
        <w:rPr>
          <w:noProof/>
        </w:rPr>
        <w:t xml:space="preserve">miotem, który może najskuteczniej zapobiegać niekorzystnym skutkom lub je ograniczać na poziomie pośrednich relacji biznesowych, przestrzegając przy tym prawa konkurencji. </w:t>
      </w:r>
    </w:p>
    <w:p w:rsidR="00883098" w:rsidRPr="006A22D3" w:rsidRDefault="00D91F29" w:rsidP="00D91F29">
      <w:pPr>
        <w:pStyle w:val="ManualConsidrant"/>
        <w:rPr>
          <w:noProof/>
        </w:rPr>
      </w:pPr>
      <w:r w:rsidRPr="00D91F29">
        <w:t>(37)</w:t>
      </w:r>
      <w:r w:rsidRPr="00D91F29">
        <w:tab/>
      </w:r>
      <w:r w:rsidR="00ED3016" w:rsidRPr="006A22D3">
        <w:rPr>
          <w:noProof/>
        </w:rPr>
        <w:tab/>
        <w:t>Jeśli chodzi</w:t>
      </w:r>
      <w:r w:rsidR="006A22D3" w:rsidRPr="006A22D3">
        <w:rPr>
          <w:noProof/>
        </w:rPr>
        <w:t xml:space="preserve"> o bez</w:t>
      </w:r>
      <w:r w:rsidR="00ED3016" w:rsidRPr="006A22D3">
        <w:rPr>
          <w:noProof/>
        </w:rPr>
        <w:t>pośrednie</w:t>
      </w:r>
      <w:r w:rsidR="006A22D3" w:rsidRPr="006A22D3">
        <w:rPr>
          <w:noProof/>
        </w:rPr>
        <w:t xml:space="preserve"> i poś</w:t>
      </w:r>
      <w:r w:rsidR="00ED3016" w:rsidRPr="006A22D3">
        <w:rPr>
          <w:noProof/>
        </w:rPr>
        <w:t>rednie relacje biznesowe, współpraca branżowa, projekty branżowe</w:t>
      </w:r>
      <w:r w:rsidR="006A22D3" w:rsidRPr="006A22D3">
        <w:rPr>
          <w:noProof/>
        </w:rPr>
        <w:t xml:space="preserve"> i ini</w:t>
      </w:r>
      <w:r w:rsidR="00ED3016" w:rsidRPr="006A22D3">
        <w:rPr>
          <w:noProof/>
        </w:rPr>
        <w:t>cjatywy</w:t>
      </w:r>
      <w:r w:rsidR="006A22D3" w:rsidRPr="006A22D3">
        <w:rPr>
          <w:noProof/>
        </w:rPr>
        <w:t xml:space="preserve"> z udz</w:t>
      </w:r>
      <w:r w:rsidR="00ED3016" w:rsidRPr="006A22D3">
        <w:rPr>
          <w:noProof/>
        </w:rPr>
        <w:t>iałem wielu zainteresowanych stron mogą pomóc</w:t>
      </w:r>
      <w:r w:rsidR="006A22D3" w:rsidRPr="006A22D3">
        <w:rPr>
          <w:noProof/>
        </w:rPr>
        <w:t xml:space="preserve"> w stw</w:t>
      </w:r>
      <w:r w:rsidR="00ED3016" w:rsidRPr="006A22D3">
        <w:rPr>
          <w:noProof/>
        </w:rPr>
        <w:t>orzeniu dodatkowego bodźca do ustalania</w:t>
      </w:r>
      <w:r w:rsidR="006A22D3" w:rsidRPr="006A22D3">
        <w:rPr>
          <w:noProof/>
        </w:rPr>
        <w:t xml:space="preserve"> i ogr</w:t>
      </w:r>
      <w:r w:rsidR="00ED3016" w:rsidRPr="006A22D3">
        <w:rPr>
          <w:noProof/>
        </w:rPr>
        <w:t>aniczania niekorzystnych skutków oraz zapobiegania tym skutkom</w:t>
      </w:r>
      <w:r w:rsidR="006A22D3" w:rsidRPr="006A22D3">
        <w:rPr>
          <w:noProof/>
        </w:rPr>
        <w:t>. W zwi</w:t>
      </w:r>
      <w:r w:rsidR="00ED3016" w:rsidRPr="006A22D3">
        <w:rPr>
          <w:noProof/>
        </w:rPr>
        <w:t>ązku</w:t>
      </w:r>
      <w:r w:rsidR="006A22D3" w:rsidRPr="006A22D3">
        <w:rPr>
          <w:noProof/>
        </w:rPr>
        <w:t xml:space="preserve"> z tym</w:t>
      </w:r>
      <w:r w:rsidR="00ED3016" w:rsidRPr="006A22D3">
        <w:rPr>
          <w:noProof/>
        </w:rPr>
        <w:t xml:space="preserve"> przedsiębiorstwa powinny mieć możliwość opierania się na takich inicjatywach</w:t>
      </w:r>
      <w:r w:rsidR="006A22D3" w:rsidRPr="006A22D3">
        <w:rPr>
          <w:noProof/>
        </w:rPr>
        <w:t xml:space="preserve"> w cel</w:t>
      </w:r>
      <w:r w:rsidR="00ED3016" w:rsidRPr="006A22D3">
        <w:rPr>
          <w:noProof/>
        </w:rPr>
        <w:t>u wsparcia realizacji swoich obowiązków</w:t>
      </w:r>
      <w:r w:rsidR="006A22D3" w:rsidRPr="006A22D3">
        <w:rPr>
          <w:noProof/>
        </w:rPr>
        <w:t xml:space="preserve"> w zak</w:t>
      </w:r>
      <w:r w:rsidR="00ED3016" w:rsidRPr="006A22D3">
        <w:rPr>
          <w:noProof/>
        </w:rPr>
        <w:t>resie należytej staranności określonych</w:t>
      </w:r>
      <w:r w:rsidR="006A22D3" w:rsidRPr="006A22D3">
        <w:rPr>
          <w:noProof/>
        </w:rPr>
        <w:t xml:space="preserve"> w nin</w:t>
      </w:r>
      <w:r w:rsidR="00ED3016" w:rsidRPr="006A22D3">
        <w:rPr>
          <w:noProof/>
        </w:rPr>
        <w:t>iejszej dyrektywie</w:t>
      </w:r>
      <w:r w:rsidR="006A22D3" w:rsidRPr="006A22D3">
        <w:rPr>
          <w:noProof/>
        </w:rPr>
        <w:t xml:space="preserve"> w zak</w:t>
      </w:r>
      <w:r w:rsidR="00ED3016" w:rsidRPr="006A22D3">
        <w:rPr>
          <w:noProof/>
        </w:rPr>
        <w:t>resie,</w:t>
      </w:r>
      <w:r w:rsidR="006A22D3" w:rsidRPr="006A22D3">
        <w:rPr>
          <w:noProof/>
        </w:rPr>
        <w:t xml:space="preserve"> w jak</w:t>
      </w:r>
      <w:r w:rsidR="00ED3016" w:rsidRPr="006A22D3">
        <w:rPr>
          <w:noProof/>
        </w:rPr>
        <w:t>im takie projekty</w:t>
      </w:r>
      <w:r w:rsidR="006A22D3" w:rsidRPr="006A22D3">
        <w:rPr>
          <w:noProof/>
        </w:rPr>
        <w:t xml:space="preserve"> i ini</w:t>
      </w:r>
      <w:r w:rsidR="00ED3016" w:rsidRPr="006A22D3">
        <w:rPr>
          <w:noProof/>
        </w:rPr>
        <w:t>cjatywy są odpowiednie, aby wspierać wypełnianie tych obowiązków. Przedsiębiorstwa mogą</w:t>
      </w:r>
      <w:r w:rsidR="006A22D3" w:rsidRPr="006A22D3">
        <w:rPr>
          <w:noProof/>
        </w:rPr>
        <w:t xml:space="preserve"> z wła</w:t>
      </w:r>
      <w:r w:rsidR="00ED3016" w:rsidRPr="006A22D3">
        <w:rPr>
          <w:noProof/>
        </w:rPr>
        <w:t>snej inicjatywy oceniać zgodność tych projektów</w:t>
      </w:r>
      <w:r w:rsidR="006A22D3" w:rsidRPr="006A22D3">
        <w:rPr>
          <w:noProof/>
        </w:rPr>
        <w:t xml:space="preserve"> i ini</w:t>
      </w:r>
      <w:r w:rsidR="00ED3016" w:rsidRPr="006A22D3">
        <w:rPr>
          <w:noProof/>
        </w:rPr>
        <w:t>cjatyw</w:t>
      </w:r>
      <w:r w:rsidR="006A22D3" w:rsidRPr="006A22D3">
        <w:rPr>
          <w:noProof/>
        </w:rPr>
        <w:t xml:space="preserve"> z obo</w:t>
      </w:r>
      <w:r w:rsidR="00ED3016" w:rsidRPr="006A22D3">
        <w:rPr>
          <w:noProof/>
        </w:rPr>
        <w:t>wiązkami wynikającymi</w:t>
      </w:r>
      <w:r w:rsidR="006A22D3" w:rsidRPr="006A22D3">
        <w:rPr>
          <w:noProof/>
        </w:rPr>
        <w:t xml:space="preserve"> z nin</w:t>
      </w:r>
      <w:r w:rsidR="00ED3016" w:rsidRPr="006A22D3">
        <w:rPr>
          <w:noProof/>
        </w:rPr>
        <w:t>iejszej dyrektywy</w:t>
      </w:r>
      <w:r w:rsidR="006A22D3" w:rsidRPr="006A22D3">
        <w:rPr>
          <w:noProof/>
        </w:rPr>
        <w:t>. W cel</w:t>
      </w:r>
      <w:r w:rsidR="00ED3016" w:rsidRPr="006A22D3">
        <w:rPr>
          <w:noProof/>
        </w:rPr>
        <w:t>u zapewnienia pełnych informacji</w:t>
      </w:r>
      <w:r w:rsidR="006A22D3" w:rsidRPr="006A22D3">
        <w:rPr>
          <w:noProof/>
        </w:rPr>
        <w:t xml:space="preserve"> o tak</w:t>
      </w:r>
      <w:r w:rsidR="00ED3016" w:rsidRPr="006A22D3">
        <w:rPr>
          <w:noProof/>
        </w:rPr>
        <w:t>ich inicjatywach dyrektywa powinna także odnosić się do możliwości ułatwiania przez Komisję</w:t>
      </w:r>
      <w:r w:rsidR="006A22D3" w:rsidRPr="006A22D3">
        <w:rPr>
          <w:noProof/>
        </w:rPr>
        <w:t xml:space="preserve"> i pań</w:t>
      </w:r>
      <w:r w:rsidR="00ED3016" w:rsidRPr="006A22D3">
        <w:rPr>
          <w:noProof/>
        </w:rPr>
        <w:t>stwa członkowskie rozpowszechniania informacji dotyczących takich projektów lub inicjatyw</w:t>
      </w:r>
      <w:r w:rsidR="006A22D3" w:rsidRPr="006A22D3">
        <w:rPr>
          <w:noProof/>
        </w:rPr>
        <w:t xml:space="preserve"> i ich</w:t>
      </w:r>
      <w:r w:rsidR="00ED3016" w:rsidRPr="006A22D3">
        <w:rPr>
          <w:noProof/>
        </w:rPr>
        <w:t xml:space="preserve"> rezultatów. Komisja, we współpracy</w:t>
      </w:r>
      <w:r w:rsidR="006A22D3" w:rsidRPr="006A22D3">
        <w:rPr>
          <w:noProof/>
        </w:rPr>
        <w:t xml:space="preserve"> z pań</w:t>
      </w:r>
      <w:r w:rsidR="00ED3016" w:rsidRPr="006A22D3">
        <w:rPr>
          <w:noProof/>
        </w:rPr>
        <w:t>stwami członkowskimi, może wydać wytyczne dotyczące oceny adekwatności projektów branżowych</w:t>
      </w:r>
      <w:r w:rsidR="006A22D3" w:rsidRPr="006A22D3">
        <w:rPr>
          <w:noProof/>
        </w:rPr>
        <w:t xml:space="preserve"> i ini</w:t>
      </w:r>
      <w:r w:rsidR="00ED3016" w:rsidRPr="006A22D3">
        <w:rPr>
          <w:noProof/>
        </w:rPr>
        <w:t>cjatyw</w:t>
      </w:r>
      <w:r w:rsidR="006A22D3" w:rsidRPr="006A22D3">
        <w:rPr>
          <w:noProof/>
        </w:rPr>
        <w:t xml:space="preserve"> z udz</w:t>
      </w:r>
      <w:r w:rsidR="00ED3016" w:rsidRPr="006A22D3">
        <w:rPr>
          <w:noProof/>
        </w:rPr>
        <w:t>iałem wielu zainteresowanych stron.</w:t>
      </w:r>
    </w:p>
    <w:p w:rsidR="00ED3016" w:rsidRPr="006A22D3" w:rsidRDefault="00D91F29" w:rsidP="00D91F29">
      <w:pPr>
        <w:pStyle w:val="ManualConsidrant"/>
        <w:rPr>
          <w:noProof/>
        </w:rPr>
      </w:pPr>
      <w:r w:rsidRPr="00D91F29">
        <w:t>(38)</w:t>
      </w:r>
      <w:r w:rsidRPr="00D91F29">
        <w:tab/>
      </w:r>
      <w:r w:rsidR="00D308CF" w:rsidRPr="006A22D3">
        <w:rPr>
          <w:noProof/>
        </w:rPr>
        <w:t>Zgodnie</w:t>
      </w:r>
      <w:r w:rsidR="006A22D3" w:rsidRPr="006A22D3">
        <w:rPr>
          <w:noProof/>
        </w:rPr>
        <w:t xml:space="preserve"> z obo</w:t>
      </w:r>
      <w:r w:rsidR="00D308CF" w:rsidRPr="006A22D3">
        <w:rPr>
          <w:noProof/>
        </w:rPr>
        <w:t>wiązkami</w:t>
      </w:r>
      <w:r w:rsidR="006A22D3" w:rsidRPr="006A22D3">
        <w:rPr>
          <w:noProof/>
        </w:rPr>
        <w:t xml:space="preserve"> w zak</w:t>
      </w:r>
      <w:r w:rsidR="00D308CF" w:rsidRPr="006A22D3">
        <w:rPr>
          <w:noProof/>
        </w:rPr>
        <w:t>resie należytej staranności określonymi</w:t>
      </w:r>
      <w:r w:rsidR="006A22D3" w:rsidRPr="006A22D3">
        <w:rPr>
          <w:noProof/>
        </w:rPr>
        <w:t xml:space="preserve"> w nin</w:t>
      </w:r>
      <w:r w:rsidR="00D308CF" w:rsidRPr="006A22D3">
        <w:rPr>
          <w:noProof/>
        </w:rPr>
        <w:t>iejszej dyrektywie, jeśli przedsiębiorstwo stwierdzi rzeczywiste niekorzystne skutki dla praw człowieka lub środowiska, powinno zastosować odpowiednie środki, aby powstrzymać te skutki. Można oczekiwać, że przedsiębiorstwo jest</w:t>
      </w:r>
      <w:r w:rsidR="006A22D3" w:rsidRPr="006A22D3">
        <w:rPr>
          <w:noProof/>
        </w:rPr>
        <w:t xml:space="preserve"> w sta</w:t>
      </w:r>
      <w:r w:rsidR="00D308CF" w:rsidRPr="006A22D3">
        <w:rPr>
          <w:noProof/>
        </w:rPr>
        <w:t>nie powstrzymać rzeczywiste niekorzystne skutki we własnej działalności oraz</w:t>
      </w:r>
      <w:r w:rsidR="006A22D3" w:rsidRPr="006A22D3">
        <w:rPr>
          <w:noProof/>
        </w:rPr>
        <w:t xml:space="preserve"> w jed</w:t>
      </w:r>
      <w:r w:rsidR="00D308CF" w:rsidRPr="006A22D3">
        <w:rPr>
          <w:noProof/>
        </w:rPr>
        <w:t>nostkach zależnych. Należy jednak wyjaśnić, że jeśli chodzi</w:t>
      </w:r>
      <w:r w:rsidR="006A22D3" w:rsidRPr="006A22D3">
        <w:rPr>
          <w:noProof/>
        </w:rPr>
        <w:t xml:space="preserve"> o sta</w:t>
      </w:r>
      <w:r w:rsidR="00D308CF" w:rsidRPr="006A22D3">
        <w:rPr>
          <w:noProof/>
        </w:rPr>
        <w:t>łe relacje biznesowe,</w:t>
      </w:r>
      <w:r w:rsidR="006A22D3" w:rsidRPr="006A22D3">
        <w:rPr>
          <w:noProof/>
        </w:rPr>
        <w:t xml:space="preserve"> w prz</w:t>
      </w:r>
      <w:r w:rsidR="00D308CF" w:rsidRPr="006A22D3">
        <w:rPr>
          <w:noProof/>
        </w:rPr>
        <w:t>ypadku gdy nie można powstrzymać niekorzystnych skutków, przedsiębiorstwa powinny minimalizować ich zakres. Rezultat minimalizowania zakresu niekorzystnych skutków powinien być możliwie najbliższy powstrzymaniu niekorzystnych skutków. Aby zapewnić przedsiębiorstwom jasność</w:t>
      </w:r>
      <w:r w:rsidR="006A22D3" w:rsidRPr="006A22D3">
        <w:rPr>
          <w:noProof/>
        </w:rPr>
        <w:t xml:space="preserve"> i pew</w:t>
      </w:r>
      <w:r w:rsidR="00D308CF" w:rsidRPr="006A22D3">
        <w:rPr>
          <w:noProof/>
        </w:rPr>
        <w:t>ność prawa,</w:t>
      </w:r>
      <w:r w:rsidR="006A22D3" w:rsidRPr="006A22D3">
        <w:rPr>
          <w:noProof/>
        </w:rPr>
        <w:t xml:space="preserve"> w nin</w:t>
      </w:r>
      <w:r w:rsidR="00D308CF" w:rsidRPr="006A22D3">
        <w:rPr>
          <w:noProof/>
        </w:rPr>
        <w:t>iejszej dyrektywie należy określić, jakich działań należy oczekiwać od przedsiębiorstw,</w:t>
      </w:r>
      <w:r w:rsidR="006A22D3" w:rsidRPr="006A22D3">
        <w:rPr>
          <w:noProof/>
        </w:rPr>
        <w:t xml:space="preserve"> w sto</w:t>
      </w:r>
      <w:r w:rsidR="00D308CF" w:rsidRPr="006A22D3">
        <w:rPr>
          <w:noProof/>
        </w:rPr>
        <w:t>sownych przypadkach</w:t>
      </w:r>
      <w:r w:rsidR="006A22D3" w:rsidRPr="006A22D3">
        <w:rPr>
          <w:noProof/>
        </w:rPr>
        <w:t xml:space="preserve"> i w zal</w:t>
      </w:r>
      <w:r w:rsidR="00D308CF" w:rsidRPr="006A22D3">
        <w:rPr>
          <w:noProof/>
        </w:rPr>
        <w:t>eżności od sytuacji,</w:t>
      </w:r>
      <w:r w:rsidR="006A22D3" w:rsidRPr="006A22D3">
        <w:rPr>
          <w:noProof/>
        </w:rPr>
        <w:t xml:space="preserve"> w cel</w:t>
      </w:r>
      <w:r w:rsidR="00D308CF" w:rsidRPr="006A22D3">
        <w:rPr>
          <w:noProof/>
        </w:rPr>
        <w:t>u powstrzymania rzeczywistych niekorzystnych skutków dla praw człowieka</w:t>
      </w:r>
      <w:r w:rsidR="006A22D3" w:rsidRPr="006A22D3">
        <w:rPr>
          <w:noProof/>
        </w:rPr>
        <w:t xml:space="preserve"> i śro</w:t>
      </w:r>
      <w:r w:rsidR="00D308CF" w:rsidRPr="006A22D3">
        <w:rPr>
          <w:noProof/>
        </w:rPr>
        <w:t xml:space="preserve">dowiska oraz zminimalizowania ich zakresu. </w:t>
      </w:r>
    </w:p>
    <w:p w:rsidR="00ED3016" w:rsidRPr="006A22D3" w:rsidRDefault="00D91F29" w:rsidP="00D91F29">
      <w:pPr>
        <w:pStyle w:val="ManualConsidrant"/>
        <w:rPr>
          <w:noProof/>
        </w:rPr>
      </w:pPr>
      <w:r w:rsidRPr="00D91F29">
        <w:t>(39)</w:t>
      </w:r>
      <w:r w:rsidRPr="00D91F29">
        <w:tab/>
      </w:r>
      <w:r w:rsidR="00ED3016" w:rsidRPr="006A22D3">
        <w:rPr>
          <w:noProof/>
        </w:rPr>
        <w:t>Aby wypełnić obowiązek powstrzymania rzeczywistych niekorzystnych skutków</w:t>
      </w:r>
      <w:r w:rsidR="006A22D3" w:rsidRPr="006A22D3">
        <w:rPr>
          <w:noProof/>
        </w:rPr>
        <w:t xml:space="preserve"> i zmi</w:t>
      </w:r>
      <w:r w:rsidR="00ED3016" w:rsidRPr="006A22D3">
        <w:rPr>
          <w:noProof/>
        </w:rPr>
        <w:t>nimalizowania ich zakresu na podstawie niniejszej dyrektywy, od przedsiębiorstw należy</w:t>
      </w:r>
      <w:r w:rsidR="006A22D3" w:rsidRPr="006A22D3">
        <w:rPr>
          <w:noProof/>
        </w:rPr>
        <w:t xml:space="preserve"> w sto</w:t>
      </w:r>
      <w:r w:rsidR="00ED3016" w:rsidRPr="006A22D3">
        <w:rPr>
          <w:noProof/>
        </w:rPr>
        <w:t>sownych przypadkach oczekiwać podjęcia następujących działań. Powinny one zneutralizować niekorzystne skutki lub zminimalizować ich zakres, podejmując działanie proporcjonalne do znaczenia</w:t>
      </w:r>
      <w:r w:rsidR="006A22D3" w:rsidRPr="006A22D3">
        <w:rPr>
          <w:noProof/>
        </w:rPr>
        <w:t xml:space="preserve"> i ska</w:t>
      </w:r>
      <w:r w:rsidR="00ED3016" w:rsidRPr="006A22D3">
        <w:rPr>
          <w:noProof/>
        </w:rPr>
        <w:t>li niekorzystnych skutków oraz do stopnia,</w:t>
      </w:r>
      <w:r w:rsidR="006A22D3" w:rsidRPr="006A22D3">
        <w:rPr>
          <w:noProof/>
        </w:rPr>
        <w:t xml:space="preserve"> w jak</w:t>
      </w:r>
      <w:r w:rsidR="00ED3016" w:rsidRPr="006A22D3">
        <w:rPr>
          <w:noProof/>
        </w:rPr>
        <w:t>im działanie przedsiębiorstwa przyczynia się do ich powstania</w:t>
      </w:r>
      <w:r w:rsidR="006A22D3" w:rsidRPr="006A22D3">
        <w:rPr>
          <w:noProof/>
        </w:rPr>
        <w:t>. W sto</w:t>
      </w:r>
      <w:r w:rsidR="00ED3016" w:rsidRPr="006A22D3">
        <w:rPr>
          <w:noProof/>
        </w:rPr>
        <w:t>sownych przypadkach ze względu na fakt, że niekorzystnych skutków nie można powstrzymać natychmiast, przedsiębiorstwa powinny opracować</w:t>
      </w:r>
      <w:r w:rsidR="006A22D3" w:rsidRPr="006A22D3">
        <w:rPr>
          <w:noProof/>
        </w:rPr>
        <w:t xml:space="preserve"> i wdr</w:t>
      </w:r>
      <w:r w:rsidR="00ED3016" w:rsidRPr="006A22D3">
        <w:rPr>
          <w:noProof/>
        </w:rPr>
        <w:t>ożyć plan działań naprawczych</w:t>
      </w:r>
      <w:r w:rsidR="006A22D3" w:rsidRPr="006A22D3">
        <w:rPr>
          <w:noProof/>
        </w:rPr>
        <w:t xml:space="preserve"> z zas</w:t>
      </w:r>
      <w:r w:rsidR="00ED3016" w:rsidRPr="006A22D3">
        <w:rPr>
          <w:noProof/>
        </w:rPr>
        <w:t>adnymi</w:t>
      </w:r>
      <w:r w:rsidR="006A22D3" w:rsidRPr="006A22D3">
        <w:rPr>
          <w:noProof/>
        </w:rPr>
        <w:t xml:space="preserve"> i jas</w:t>
      </w:r>
      <w:r w:rsidR="00ED3016" w:rsidRPr="006A22D3">
        <w:rPr>
          <w:noProof/>
        </w:rPr>
        <w:t>no określonymi terminami działań oraz jakościowymi</w:t>
      </w:r>
      <w:r w:rsidR="006A22D3" w:rsidRPr="006A22D3">
        <w:rPr>
          <w:noProof/>
        </w:rPr>
        <w:t xml:space="preserve"> i ilo</w:t>
      </w:r>
      <w:r w:rsidR="00ED3016" w:rsidRPr="006A22D3">
        <w:rPr>
          <w:noProof/>
        </w:rPr>
        <w:t>ściowymi wskaźnikami oceny poprawy. Przedsiębiorstwa powinny również dążyć do uzyskania od bezpośredniego partnera biznesowego,</w:t>
      </w:r>
      <w:r w:rsidR="006A22D3" w:rsidRPr="006A22D3">
        <w:rPr>
          <w:noProof/>
        </w:rPr>
        <w:t xml:space="preserve"> z któ</w:t>
      </w:r>
      <w:r w:rsidR="00ED3016" w:rsidRPr="006A22D3">
        <w:rPr>
          <w:noProof/>
        </w:rPr>
        <w:t>rym utrzymują stałe relacje biznesowe, zabezpieczeń umownych, że zapewni on przestrzeganie kodeksu postępowania przedsiębiorstwa i,</w:t>
      </w:r>
      <w:r w:rsidR="006A22D3" w:rsidRPr="006A22D3">
        <w:rPr>
          <w:noProof/>
        </w:rPr>
        <w:t xml:space="preserve"> w zal</w:t>
      </w:r>
      <w:r w:rsidR="00ED3016" w:rsidRPr="006A22D3">
        <w:rPr>
          <w:noProof/>
        </w:rPr>
        <w:t>eżności od przypadku, planu działań zapobiegawczych,</w:t>
      </w:r>
      <w:r w:rsidR="006A22D3" w:rsidRPr="006A22D3">
        <w:rPr>
          <w:noProof/>
        </w:rPr>
        <w:t xml:space="preserve"> w tym</w:t>
      </w:r>
      <w:r w:rsidR="00ED3016" w:rsidRPr="006A22D3">
        <w:rPr>
          <w:noProof/>
        </w:rPr>
        <w:t xml:space="preserve"> uzyskując odpowiednie zabezpieczenia umowne od swoich partnerów</w:t>
      </w:r>
      <w:r w:rsidR="006A22D3" w:rsidRPr="006A22D3">
        <w:rPr>
          <w:noProof/>
        </w:rPr>
        <w:t xml:space="preserve"> w zak</w:t>
      </w:r>
      <w:r w:rsidR="00ED3016" w:rsidRPr="006A22D3">
        <w:rPr>
          <w:noProof/>
        </w:rPr>
        <w:t>resie,</w:t>
      </w:r>
      <w:r w:rsidR="006A22D3" w:rsidRPr="006A22D3">
        <w:rPr>
          <w:noProof/>
        </w:rPr>
        <w:t xml:space="preserve"> w jak</w:t>
      </w:r>
      <w:r w:rsidR="00ED3016" w:rsidRPr="006A22D3">
        <w:rPr>
          <w:noProof/>
        </w:rPr>
        <w:t>im ich działania stanowią część łańcucha wartości przedsiębiorstwa. Zabezpieczeniom umownym powinny towarzyszyć odpowiednie środki służące weryfikacji przestrzegania tych zabezpieczeń. Ponadto przedsiębiorstwa powinny także dokonywać inwestycji, których celem jest powstrzymanie niekorzystnych skutków lub zminimalizowanie ich zakresu, zapewniać ukierunkowane</w:t>
      </w:r>
      <w:r w:rsidR="006A22D3" w:rsidRPr="006A22D3">
        <w:rPr>
          <w:noProof/>
        </w:rPr>
        <w:t xml:space="preserve"> i pro</w:t>
      </w:r>
      <w:r w:rsidR="00ED3016" w:rsidRPr="006A22D3">
        <w:rPr>
          <w:noProof/>
        </w:rPr>
        <w:t>porcjonalne wsparcie dla MŚP,</w:t>
      </w:r>
      <w:r w:rsidR="006A22D3" w:rsidRPr="006A22D3">
        <w:rPr>
          <w:noProof/>
        </w:rPr>
        <w:t xml:space="preserve"> z któ</w:t>
      </w:r>
      <w:r w:rsidR="00ED3016" w:rsidRPr="006A22D3">
        <w:rPr>
          <w:noProof/>
        </w:rPr>
        <w:t>rymi utrzymują stałe relacje biznesowe, oraz współpracować</w:t>
      </w:r>
      <w:r w:rsidR="006A22D3" w:rsidRPr="006A22D3">
        <w:rPr>
          <w:noProof/>
        </w:rPr>
        <w:t xml:space="preserve"> z inn</w:t>
      </w:r>
      <w:r w:rsidR="00ED3016" w:rsidRPr="006A22D3">
        <w:rPr>
          <w:noProof/>
        </w:rPr>
        <w:t>ymi podmiotami,</w:t>
      </w:r>
      <w:r w:rsidR="006A22D3" w:rsidRPr="006A22D3">
        <w:rPr>
          <w:noProof/>
        </w:rPr>
        <w:t xml:space="preserve"> w tym</w:t>
      </w:r>
      <w:r w:rsidR="00ED3016" w:rsidRPr="006A22D3">
        <w:rPr>
          <w:noProof/>
        </w:rPr>
        <w:t>,</w:t>
      </w:r>
      <w:r w:rsidR="006A22D3" w:rsidRPr="006A22D3">
        <w:rPr>
          <w:noProof/>
        </w:rPr>
        <w:t xml:space="preserve"> w sto</w:t>
      </w:r>
      <w:r w:rsidR="00ED3016" w:rsidRPr="006A22D3">
        <w:rPr>
          <w:noProof/>
        </w:rPr>
        <w:t>sownych przypadkach,</w:t>
      </w:r>
      <w:r w:rsidR="006A22D3" w:rsidRPr="006A22D3">
        <w:rPr>
          <w:noProof/>
        </w:rPr>
        <w:t xml:space="preserve"> w cel</w:t>
      </w:r>
      <w:r w:rsidR="00ED3016" w:rsidRPr="006A22D3">
        <w:rPr>
          <w:noProof/>
        </w:rPr>
        <w:t>u zwiększenia zdolności przedsiębiorstwa do powstrzymania niekorzystnych skutków.</w:t>
      </w:r>
    </w:p>
    <w:p w:rsidR="00013A55" w:rsidRPr="006A22D3" w:rsidRDefault="00D91F29" w:rsidP="00D91F29">
      <w:pPr>
        <w:pStyle w:val="ManualConsidrant"/>
        <w:rPr>
          <w:noProof/>
        </w:rPr>
      </w:pPr>
      <w:r w:rsidRPr="00D91F29">
        <w:t>(40)</w:t>
      </w:r>
      <w:r w:rsidRPr="00D91F29">
        <w:tab/>
      </w:r>
      <w:r w:rsidR="00013A55" w:rsidRPr="006A22D3">
        <w:rPr>
          <w:noProof/>
        </w:rPr>
        <w:t>Aby odzwierciedlić pełen zakres możliwości, jakimi dysponuje przedsiębiorstwo,</w:t>
      </w:r>
      <w:r w:rsidR="006A22D3" w:rsidRPr="006A22D3">
        <w:rPr>
          <w:noProof/>
        </w:rPr>
        <w:t xml:space="preserve"> w prz</w:t>
      </w:r>
      <w:r w:rsidR="00013A55" w:rsidRPr="006A22D3">
        <w:rPr>
          <w:noProof/>
        </w:rPr>
        <w:t>ypadkach gdy rzeczywistych skutków nie można wyeliminować za pomocą opisanych środków, niniejsza dyrektywa powinna również odnosić się do możliwości dążenia przez przedsiębiorstwo do zawarcia umowy</w:t>
      </w:r>
      <w:r w:rsidR="006A22D3" w:rsidRPr="006A22D3">
        <w:rPr>
          <w:noProof/>
        </w:rPr>
        <w:t xml:space="preserve"> z poś</w:t>
      </w:r>
      <w:r w:rsidR="00013A55" w:rsidRPr="006A22D3">
        <w:rPr>
          <w:noProof/>
        </w:rPr>
        <w:t>rednim partnerem biznesowym</w:t>
      </w:r>
      <w:r w:rsidR="006A22D3" w:rsidRPr="006A22D3">
        <w:rPr>
          <w:noProof/>
        </w:rPr>
        <w:t xml:space="preserve"> w cel</w:t>
      </w:r>
      <w:r w:rsidR="00013A55" w:rsidRPr="006A22D3">
        <w:rPr>
          <w:noProof/>
        </w:rPr>
        <w:t>u osiągnięcia zgodności</w:t>
      </w:r>
      <w:r w:rsidR="006A22D3" w:rsidRPr="006A22D3">
        <w:rPr>
          <w:noProof/>
        </w:rPr>
        <w:t xml:space="preserve"> z kod</w:t>
      </w:r>
      <w:r w:rsidR="00013A55" w:rsidRPr="006A22D3">
        <w:rPr>
          <w:noProof/>
        </w:rPr>
        <w:t>eksem postępowania przedsiębiorstwa lub planem działań naprawczych oraz wprowadzenia odpowiednich środków sprawdzania zgodności pośrednich relacji biznesowych</w:t>
      </w:r>
      <w:r w:rsidR="006A22D3" w:rsidRPr="006A22D3">
        <w:rPr>
          <w:noProof/>
        </w:rPr>
        <w:t xml:space="preserve"> z umo</w:t>
      </w:r>
      <w:r w:rsidR="00013A55" w:rsidRPr="006A22D3">
        <w:rPr>
          <w:noProof/>
        </w:rPr>
        <w:t>wą.</w:t>
      </w:r>
      <w:r w:rsidR="00192E90" w:rsidRPr="006A22D3">
        <w:rPr>
          <w:noProof/>
        </w:rPr>
        <w:t xml:space="preserve"> </w:t>
      </w:r>
    </w:p>
    <w:p w:rsidR="0043183A" w:rsidRPr="006A22D3" w:rsidRDefault="00D91F29" w:rsidP="00D91F29">
      <w:pPr>
        <w:pStyle w:val="ManualConsidrant"/>
        <w:rPr>
          <w:noProof/>
        </w:rPr>
      </w:pPr>
      <w:r w:rsidRPr="00D91F29">
        <w:t>(41)</w:t>
      </w:r>
      <w:r w:rsidRPr="00D91F29">
        <w:tab/>
      </w:r>
      <w:r w:rsidR="00A67370" w:rsidRPr="006A22D3">
        <w:rPr>
          <w:noProof/>
        </w:rPr>
        <w:t>W celu zapewnienia skutecznego powstrzymania rzeczywistych niekorzystnych skutków lub ich zminimalizowania dla przedsiębiorstw priorytetem powinno być nawiązywanie relacji biznesowych</w:t>
      </w:r>
      <w:r w:rsidR="006A22D3" w:rsidRPr="006A22D3">
        <w:rPr>
          <w:noProof/>
        </w:rPr>
        <w:t xml:space="preserve"> w łań</w:t>
      </w:r>
      <w:r w:rsidR="00A67370" w:rsidRPr="006A22D3">
        <w:rPr>
          <w:noProof/>
        </w:rPr>
        <w:t>cuchu wartości,</w:t>
      </w:r>
      <w:r w:rsidR="006A22D3" w:rsidRPr="006A22D3">
        <w:rPr>
          <w:noProof/>
        </w:rPr>
        <w:t xml:space="preserve"> a nie</w:t>
      </w:r>
      <w:r w:rsidR="00A67370" w:rsidRPr="006A22D3">
        <w:rPr>
          <w:noProof/>
        </w:rPr>
        <w:t xml:space="preserve"> kończenie relacji biznesowych, które stanowi ostateczne rozwiązanie po bezskutecznych próbach powstrzymania rzeczywistych niekorzystnych skutków lub ich zminimalizowania. Niniejsza dyrektywa powinna jednak również –</w:t>
      </w:r>
      <w:r w:rsidR="006A22D3" w:rsidRPr="006A22D3">
        <w:rPr>
          <w:noProof/>
        </w:rPr>
        <w:t xml:space="preserve"> w prz</w:t>
      </w:r>
      <w:r w:rsidR="00A67370" w:rsidRPr="006A22D3">
        <w:rPr>
          <w:noProof/>
        </w:rPr>
        <w:t>ypadkach gdy rzeczywistych niekorzystnych skutków nie można powstrzymać ani ich odpowiednio ograniczyć za pomocą opisanych środków – odnosić się do obowiązku powstrzymania się przez przedsiębiorstwa od nawiązywania nowych lub rozszerzania istniejących relacji</w:t>
      </w:r>
      <w:r w:rsidR="006A22D3" w:rsidRPr="006A22D3">
        <w:rPr>
          <w:noProof/>
        </w:rPr>
        <w:t xml:space="preserve"> z dan</w:t>
      </w:r>
      <w:r w:rsidR="00A67370" w:rsidRPr="006A22D3">
        <w:rPr>
          <w:noProof/>
        </w:rPr>
        <w:t>ym partnerem,</w:t>
      </w:r>
      <w:r w:rsidR="006A22D3" w:rsidRPr="006A22D3">
        <w:rPr>
          <w:noProof/>
        </w:rPr>
        <w:t xml:space="preserve"> a tak</w:t>
      </w:r>
      <w:r w:rsidR="00A67370" w:rsidRPr="006A22D3">
        <w:rPr>
          <w:noProof/>
        </w:rPr>
        <w:t xml:space="preserve">że, jeśli uprawnia ich do tego prawo regulujące ich relacje, do </w:t>
      </w:r>
      <w:r w:rsidR="00A67370" w:rsidRPr="006A22D3">
        <w:rPr>
          <w:noProof/>
        </w:rPr>
        <w:tab/>
        <w:t>czasowego zawieszenia stosunków handlowych</w:t>
      </w:r>
      <w:r w:rsidR="006A22D3" w:rsidRPr="006A22D3">
        <w:rPr>
          <w:noProof/>
        </w:rPr>
        <w:t xml:space="preserve"> z dan</w:t>
      </w:r>
      <w:r w:rsidR="00A67370" w:rsidRPr="006A22D3">
        <w:rPr>
          <w:noProof/>
        </w:rPr>
        <w:t>ym partnerem, przy jednoczesnym podejmowaniu starań na rzecz powstrzymania tych skutków lub zminimalizowania ich zakresu, albo do</w:t>
      </w:r>
      <w:r w:rsidR="00192E90" w:rsidRPr="006A22D3">
        <w:rPr>
          <w:noProof/>
        </w:rPr>
        <w:t xml:space="preserve"> </w:t>
      </w:r>
      <w:r w:rsidR="00A67370" w:rsidRPr="006A22D3">
        <w:rPr>
          <w:noProof/>
        </w:rPr>
        <w:t>rozwiązania relacji biznesowych</w:t>
      </w:r>
      <w:r w:rsidR="006A22D3" w:rsidRPr="006A22D3">
        <w:rPr>
          <w:noProof/>
        </w:rPr>
        <w:t xml:space="preserve"> w odn</w:t>
      </w:r>
      <w:r w:rsidR="00A67370" w:rsidRPr="006A22D3">
        <w:rPr>
          <w:noProof/>
        </w:rPr>
        <w:t>iesieniu do danej działalności, jeśli niekorzystne skutki uznaje się za poważne. Aby umożliwić przedsiębiorstwom wywiązanie się</w:t>
      </w:r>
      <w:r w:rsidR="006A22D3" w:rsidRPr="006A22D3">
        <w:rPr>
          <w:noProof/>
        </w:rPr>
        <w:t xml:space="preserve"> z teg</w:t>
      </w:r>
      <w:r w:rsidR="00A67370" w:rsidRPr="006A22D3">
        <w:rPr>
          <w:noProof/>
        </w:rPr>
        <w:t>o obowiązku, państwa członkowskie powinny przewidzieć możliwość rozwiązania relacji biznesowych nawiązanych na podstawie umów podlegających ich prawu.</w:t>
      </w:r>
    </w:p>
    <w:p w:rsidR="00ED3016" w:rsidRPr="006A22D3" w:rsidRDefault="00D91F29" w:rsidP="00D91F29">
      <w:pPr>
        <w:pStyle w:val="ManualConsidrant"/>
        <w:rPr>
          <w:noProof/>
        </w:rPr>
      </w:pPr>
      <w:r w:rsidRPr="00D91F29">
        <w:t>(42)</w:t>
      </w:r>
      <w:r w:rsidRPr="00D91F29">
        <w:tab/>
      </w:r>
      <w:r w:rsidR="00D41640" w:rsidRPr="006A22D3">
        <w:rPr>
          <w:noProof/>
        </w:rPr>
        <w:t>Przedsiębiorstwa powinny zapewnić osobom</w:t>
      </w:r>
      <w:r w:rsidR="006A22D3" w:rsidRPr="006A22D3">
        <w:rPr>
          <w:noProof/>
        </w:rPr>
        <w:t xml:space="preserve"> i org</w:t>
      </w:r>
      <w:r w:rsidR="00D41640" w:rsidRPr="006A22D3">
        <w:rPr>
          <w:noProof/>
        </w:rPr>
        <w:t>anizacjom możliwość bezpośredniego składania do nich skarg</w:t>
      </w:r>
      <w:r w:rsidR="006A22D3" w:rsidRPr="006A22D3">
        <w:rPr>
          <w:noProof/>
        </w:rPr>
        <w:t xml:space="preserve"> w prz</w:t>
      </w:r>
      <w:r w:rsidR="00D41640" w:rsidRPr="006A22D3">
        <w:rPr>
          <w:noProof/>
        </w:rPr>
        <w:t>ypadku uzasadnionych obaw dotyczących rzeczywistych lub potencjalnych niekorzystnych skutków dla praw człowieka</w:t>
      </w:r>
      <w:r w:rsidR="006A22D3" w:rsidRPr="006A22D3">
        <w:rPr>
          <w:noProof/>
        </w:rPr>
        <w:t xml:space="preserve"> i śro</w:t>
      </w:r>
      <w:r w:rsidR="00D41640" w:rsidRPr="006A22D3">
        <w:rPr>
          <w:noProof/>
        </w:rPr>
        <w:t>dowiska. Organizacje, które mogłyby składać takie skargi, powinny obejmować związki zawodowe</w:t>
      </w:r>
      <w:r w:rsidR="006A22D3" w:rsidRPr="006A22D3">
        <w:rPr>
          <w:noProof/>
        </w:rPr>
        <w:t xml:space="preserve"> i inn</w:t>
      </w:r>
      <w:r w:rsidR="00D41640" w:rsidRPr="006A22D3">
        <w:rPr>
          <w:noProof/>
        </w:rPr>
        <w:t>ych przedstawicieli pracowników reprezentujących osoby pracujące</w:t>
      </w:r>
      <w:r w:rsidR="006A22D3" w:rsidRPr="006A22D3">
        <w:rPr>
          <w:noProof/>
        </w:rPr>
        <w:t xml:space="preserve"> w dan</w:t>
      </w:r>
      <w:r w:rsidR="00D41640" w:rsidRPr="006A22D3">
        <w:rPr>
          <w:noProof/>
        </w:rPr>
        <w:t>ym łańcuchu wartości oraz organizacje społeczeństwa obywatelskiego działające</w:t>
      </w:r>
      <w:r w:rsidR="006A22D3" w:rsidRPr="006A22D3">
        <w:rPr>
          <w:noProof/>
        </w:rPr>
        <w:t xml:space="preserve"> w obs</w:t>
      </w:r>
      <w:r w:rsidR="00D41640" w:rsidRPr="006A22D3">
        <w:rPr>
          <w:noProof/>
        </w:rPr>
        <w:t>zarach związanych</w:t>
      </w:r>
      <w:r w:rsidR="006A22D3" w:rsidRPr="006A22D3">
        <w:rPr>
          <w:noProof/>
        </w:rPr>
        <w:t xml:space="preserve"> z dan</w:t>
      </w:r>
      <w:r w:rsidR="00D41640" w:rsidRPr="006A22D3">
        <w:rPr>
          <w:noProof/>
        </w:rPr>
        <w:t>ym łańcuchem wartości, jeśli posiadają one wiedzę</w:t>
      </w:r>
      <w:r w:rsidR="006A22D3" w:rsidRPr="006A22D3">
        <w:rPr>
          <w:noProof/>
        </w:rPr>
        <w:t xml:space="preserve"> o pot</w:t>
      </w:r>
      <w:r w:rsidR="00D41640" w:rsidRPr="006A22D3">
        <w:rPr>
          <w:noProof/>
        </w:rPr>
        <w:t>encjalnych lub rzeczywistych niekorzystnych skutkach. Przedsiębiorstwa powinny ustanowić procedurę rozpatrywania takich skarg oraz</w:t>
      </w:r>
      <w:r w:rsidR="006A22D3" w:rsidRPr="006A22D3">
        <w:rPr>
          <w:noProof/>
        </w:rPr>
        <w:t xml:space="preserve"> w sto</w:t>
      </w:r>
      <w:r w:rsidR="00D41640" w:rsidRPr="006A22D3">
        <w:rPr>
          <w:noProof/>
        </w:rPr>
        <w:t>sownych przypadkach informować pracowników, związki zawodowe</w:t>
      </w:r>
      <w:r w:rsidR="006A22D3" w:rsidRPr="006A22D3">
        <w:rPr>
          <w:noProof/>
        </w:rPr>
        <w:t xml:space="preserve"> i inn</w:t>
      </w:r>
      <w:r w:rsidR="00D41640" w:rsidRPr="006A22D3">
        <w:rPr>
          <w:noProof/>
        </w:rPr>
        <w:t>ych przedstawicieli pracowników</w:t>
      </w:r>
      <w:r w:rsidR="006A22D3" w:rsidRPr="006A22D3">
        <w:rPr>
          <w:noProof/>
        </w:rPr>
        <w:t xml:space="preserve"> o tak</w:t>
      </w:r>
      <w:r w:rsidR="00D41640" w:rsidRPr="006A22D3">
        <w:rPr>
          <w:noProof/>
        </w:rPr>
        <w:t>ich procesach. Korzystanie</w:t>
      </w:r>
      <w:r w:rsidR="006A22D3" w:rsidRPr="006A22D3">
        <w:rPr>
          <w:noProof/>
        </w:rPr>
        <w:t xml:space="preserve"> z mec</w:t>
      </w:r>
      <w:r w:rsidR="00D41640" w:rsidRPr="006A22D3">
        <w:rPr>
          <w:noProof/>
        </w:rPr>
        <w:t>hanizmu skarg</w:t>
      </w:r>
      <w:r w:rsidR="006A22D3" w:rsidRPr="006A22D3">
        <w:rPr>
          <w:noProof/>
        </w:rPr>
        <w:t xml:space="preserve"> i mec</w:t>
      </w:r>
      <w:r w:rsidR="00D41640" w:rsidRPr="006A22D3">
        <w:rPr>
          <w:noProof/>
        </w:rPr>
        <w:t>hanizmu zaradczego nie powinno uniemożliwiać skarżącemu korzystania ze środków ochrony prawnej przed sądem. Zgodnie</w:t>
      </w:r>
      <w:r w:rsidR="006A22D3" w:rsidRPr="006A22D3">
        <w:rPr>
          <w:noProof/>
        </w:rPr>
        <w:t xml:space="preserve"> z nor</w:t>
      </w:r>
      <w:r w:rsidR="00D41640" w:rsidRPr="006A22D3">
        <w:rPr>
          <w:noProof/>
        </w:rPr>
        <w:t>mami międzynarodowymi skarżący powinni mieć prawo do żądania od przedsiębiorstwa podjęcia odpowiednich działań następczych</w:t>
      </w:r>
      <w:r w:rsidR="006A22D3" w:rsidRPr="006A22D3">
        <w:rPr>
          <w:noProof/>
        </w:rPr>
        <w:t xml:space="preserve"> w zwi</w:t>
      </w:r>
      <w:r w:rsidR="00D41640" w:rsidRPr="006A22D3">
        <w:rPr>
          <w:noProof/>
        </w:rPr>
        <w:t>ązku ze złożoną skargą oraz do spotkania</w:t>
      </w:r>
      <w:r w:rsidR="006A22D3" w:rsidRPr="006A22D3">
        <w:rPr>
          <w:noProof/>
        </w:rPr>
        <w:t xml:space="preserve"> z prz</w:t>
      </w:r>
      <w:r w:rsidR="00D41640" w:rsidRPr="006A22D3">
        <w:rPr>
          <w:noProof/>
        </w:rPr>
        <w:t>edstawicielami przedsiębiorstwa na odpowiednim szczeblu</w:t>
      </w:r>
      <w:r w:rsidR="006A22D3" w:rsidRPr="006A22D3">
        <w:rPr>
          <w:noProof/>
        </w:rPr>
        <w:t xml:space="preserve"> w cel</w:t>
      </w:r>
      <w:r w:rsidR="00D41640" w:rsidRPr="006A22D3">
        <w:rPr>
          <w:noProof/>
        </w:rPr>
        <w:t xml:space="preserve">u omówienia potencjalnych lub rzeczywistych poważnych niekorzystnych skutków, które są przedmiotem skargi. Dostęp ten nie powinien prowadzić do nieuzasadnionego nagabywania przedsiębiorstw. </w:t>
      </w:r>
    </w:p>
    <w:p w:rsidR="00ED3016" w:rsidRPr="006A22D3" w:rsidRDefault="00D91F29" w:rsidP="00D91F29">
      <w:pPr>
        <w:pStyle w:val="ManualConsidrant"/>
        <w:rPr>
          <w:noProof/>
        </w:rPr>
      </w:pPr>
      <w:r w:rsidRPr="00D91F29">
        <w:t>(43)</w:t>
      </w:r>
      <w:r w:rsidRPr="00D91F29">
        <w:tab/>
      </w:r>
      <w:r w:rsidR="0078540A" w:rsidRPr="006A22D3">
        <w:rPr>
          <w:noProof/>
        </w:rPr>
        <w:t>Przedsiębiorstwa powinny monitorować wdrażanie</w:t>
      </w:r>
      <w:r w:rsidR="006A22D3" w:rsidRPr="006A22D3">
        <w:rPr>
          <w:noProof/>
        </w:rPr>
        <w:t xml:space="preserve"> i sku</w:t>
      </w:r>
      <w:r w:rsidR="0078540A" w:rsidRPr="006A22D3">
        <w:rPr>
          <w:noProof/>
        </w:rPr>
        <w:t>teczność swoich środków</w:t>
      </w:r>
      <w:r w:rsidR="006A22D3" w:rsidRPr="006A22D3">
        <w:rPr>
          <w:noProof/>
        </w:rPr>
        <w:t xml:space="preserve"> w zak</w:t>
      </w:r>
      <w:r w:rsidR="0078540A" w:rsidRPr="006A22D3">
        <w:rPr>
          <w:noProof/>
        </w:rPr>
        <w:t>resie należytej staranności. Powinny one przeprowadzać okresowe oceny własnej działalności, działalności jednostek zależnych oraz – jeśli jest to związane</w:t>
      </w:r>
      <w:r w:rsidR="006A22D3" w:rsidRPr="006A22D3">
        <w:rPr>
          <w:noProof/>
        </w:rPr>
        <w:t xml:space="preserve"> z łań</w:t>
      </w:r>
      <w:r w:rsidR="0078540A" w:rsidRPr="006A22D3">
        <w:rPr>
          <w:noProof/>
        </w:rPr>
        <w:t>cuchami wartości przedsiębiorstwa – działalności</w:t>
      </w:r>
      <w:r w:rsidR="006A22D3" w:rsidRPr="006A22D3">
        <w:rPr>
          <w:noProof/>
        </w:rPr>
        <w:t xml:space="preserve"> w ram</w:t>
      </w:r>
      <w:r w:rsidR="0078540A" w:rsidRPr="006A22D3">
        <w:rPr>
          <w:noProof/>
        </w:rPr>
        <w:t>ach stałych relacji biznesowych, aby monitorować skuteczność identyfikowania, minimalizowania, powstrzymania</w:t>
      </w:r>
      <w:r w:rsidR="006A22D3" w:rsidRPr="006A22D3">
        <w:rPr>
          <w:noProof/>
        </w:rPr>
        <w:t xml:space="preserve"> i łag</w:t>
      </w:r>
      <w:r w:rsidR="0078540A" w:rsidRPr="006A22D3">
        <w:rPr>
          <w:noProof/>
        </w:rPr>
        <w:t>odzenia niekorzystnych skutków dla praw człowieka</w:t>
      </w:r>
      <w:r w:rsidR="006A22D3" w:rsidRPr="006A22D3">
        <w:rPr>
          <w:noProof/>
        </w:rPr>
        <w:t xml:space="preserve"> i śro</w:t>
      </w:r>
      <w:r w:rsidR="0078540A" w:rsidRPr="006A22D3">
        <w:rPr>
          <w:noProof/>
        </w:rPr>
        <w:t>dowiska oraz zapobiegania takim skutkom</w:t>
      </w:r>
      <w:r w:rsidR="006A22D3" w:rsidRPr="006A22D3">
        <w:rPr>
          <w:noProof/>
        </w:rPr>
        <w:t>. W ram</w:t>
      </w:r>
      <w:r w:rsidR="0078540A" w:rsidRPr="006A22D3">
        <w:rPr>
          <w:noProof/>
        </w:rPr>
        <w:t>ach takich ocen należy sprawdzić, czy właściwie zidentyfikowano niekorzystne skutki, czy wdrożono środki</w:t>
      </w:r>
      <w:r w:rsidR="006A22D3" w:rsidRPr="006A22D3">
        <w:rPr>
          <w:noProof/>
        </w:rPr>
        <w:t xml:space="preserve"> w zak</w:t>
      </w:r>
      <w:r w:rsidR="0078540A" w:rsidRPr="006A22D3">
        <w:rPr>
          <w:noProof/>
        </w:rPr>
        <w:t>resie należytej staranności</w:t>
      </w:r>
      <w:r w:rsidR="006A22D3" w:rsidRPr="006A22D3">
        <w:rPr>
          <w:noProof/>
        </w:rPr>
        <w:t xml:space="preserve"> i czy</w:t>
      </w:r>
      <w:r w:rsidR="0078540A" w:rsidRPr="006A22D3">
        <w:rPr>
          <w:noProof/>
        </w:rPr>
        <w:t xml:space="preserve"> rzeczywiście zapobieżono niekorzystnym skutkom lub je powstrzymano. Aby zapewnić aktualność takich ocen, należy je przeprowadzać co najmniej raz na</w:t>
      </w:r>
      <w:r w:rsidR="00192E90" w:rsidRPr="006A22D3">
        <w:rPr>
          <w:noProof/>
        </w:rPr>
        <w:t> </w:t>
      </w:r>
      <w:r w:rsidR="0078540A" w:rsidRPr="006A22D3">
        <w:rPr>
          <w:noProof/>
        </w:rPr>
        <w:t>12 miesięcy,</w:t>
      </w:r>
      <w:r w:rsidR="006A22D3" w:rsidRPr="006A22D3">
        <w:rPr>
          <w:noProof/>
        </w:rPr>
        <w:t xml:space="preserve"> a w mię</w:t>
      </w:r>
      <w:r w:rsidR="0078540A" w:rsidRPr="006A22D3">
        <w:rPr>
          <w:noProof/>
        </w:rPr>
        <w:t>dzyczasie poddawać je przeglądowi, jeśli istnieją uzasadnione podstawy, by sądzić, że mogło pojawić się znaczące nowe ryzyko niekorzystnych skutków.</w:t>
      </w:r>
    </w:p>
    <w:p w:rsidR="002E2E83" w:rsidRPr="006A22D3" w:rsidRDefault="00D91F29" w:rsidP="00D91F29">
      <w:pPr>
        <w:pStyle w:val="ManualConsidrant"/>
        <w:rPr>
          <w:noProof/>
        </w:rPr>
      </w:pPr>
      <w:r w:rsidRPr="00D91F29">
        <w:t>(44)</w:t>
      </w:r>
      <w:r w:rsidRPr="00D91F29">
        <w:tab/>
      </w:r>
      <w:r w:rsidR="00ED3016" w:rsidRPr="006A22D3">
        <w:rPr>
          <w:noProof/>
        </w:rPr>
        <w:tab/>
        <w:t>Podobnie jak</w:t>
      </w:r>
      <w:r w:rsidR="006A22D3" w:rsidRPr="006A22D3">
        <w:rPr>
          <w:noProof/>
        </w:rPr>
        <w:t xml:space="preserve"> w ist</w:t>
      </w:r>
      <w:r w:rsidR="00ED3016" w:rsidRPr="006A22D3">
        <w:rPr>
          <w:noProof/>
        </w:rPr>
        <w:t>niejących normach międzynarodowych ustanowionych</w:t>
      </w:r>
      <w:r w:rsidR="006A22D3" w:rsidRPr="006A22D3">
        <w:rPr>
          <w:noProof/>
        </w:rPr>
        <w:t xml:space="preserve"> w Wyt</w:t>
      </w:r>
      <w:r w:rsidR="00ED3016" w:rsidRPr="006A22D3">
        <w:rPr>
          <w:noProof/>
        </w:rPr>
        <w:t>ycznych ONZ dotyczących biznesu</w:t>
      </w:r>
      <w:r w:rsidR="006A22D3" w:rsidRPr="006A22D3">
        <w:rPr>
          <w:noProof/>
        </w:rPr>
        <w:t xml:space="preserve"> i pra</w:t>
      </w:r>
      <w:r w:rsidR="00ED3016" w:rsidRPr="006A22D3">
        <w:rPr>
          <w:noProof/>
        </w:rPr>
        <w:t>w człowieka oraz ramach OECD częścią wymogu</w:t>
      </w:r>
      <w:r w:rsidR="006A22D3" w:rsidRPr="006A22D3">
        <w:rPr>
          <w:noProof/>
        </w:rPr>
        <w:t xml:space="preserve"> w zak</w:t>
      </w:r>
      <w:r w:rsidR="00ED3016" w:rsidRPr="006A22D3">
        <w:rPr>
          <w:noProof/>
        </w:rPr>
        <w:t>resie należytej staranności jest przekazywanie na zewnątrz istotnych informacji na temat strategii, procesów</w:t>
      </w:r>
      <w:r w:rsidR="006A22D3" w:rsidRPr="006A22D3">
        <w:rPr>
          <w:noProof/>
        </w:rPr>
        <w:t xml:space="preserve"> i dzi</w:t>
      </w:r>
      <w:r w:rsidR="00ED3016" w:rsidRPr="006A22D3">
        <w:rPr>
          <w:noProof/>
        </w:rPr>
        <w:t>ałań</w:t>
      </w:r>
      <w:r w:rsidR="006A22D3" w:rsidRPr="006A22D3">
        <w:rPr>
          <w:noProof/>
        </w:rPr>
        <w:t xml:space="preserve"> w zak</w:t>
      </w:r>
      <w:r w:rsidR="00ED3016" w:rsidRPr="006A22D3">
        <w:rPr>
          <w:noProof/>
        </w:rPr>
        <w:t>resie należytej staranności prowadzonych</w:t>
      </w:r>
      <w:r w:rsidR="006A22D3" w:rsidRPr="006A22D3">
        <w:rPr>
          <w:noProof/>
        </w:rPr>
        <w:t xml:space="preserve"> w cel</w:t>
      </w:r>
      <w:r w:rsidR="00ED3016" w:rsidRPr="006A22D3">
        <w:rPr>
          <w:noProof/>
        </w:rPr>
        <w:t>u zidentyfikowania rzeczywistych lub potencjalnych niekorzystnych skutków</w:t>
      </w:r>
      <w:r w:rsidR="006A22D3" w:rsidRPr="006A22D3">
        <w:rPr>
          <w:noProof/>
        </w:rPr>
        <w:t xml:space="preserve"> i prz</w:t>
      </w:r>
      <w:r w:rsidR="00ED3016" w:rsidRPr="006A22D3">
        <w:rPr>
          <w:noProof/>
        </w:rPr>
        <w:t>eciwdziałania im,</w:t>
      </w:r>
      <w:r w:rsidR="006A22D3" w:rsidRPr="006A22D3">
        <w:rPr>
          <w:noProof/>
        </w:rPr>
        <w:t xml:space="preserve"> w tym</w:t>
      </w:r>
      <w:r w:rsidR="00ED3016" w:rsidRPr="006A22D3">
        <w:rPr>
          <w:noProof/>
        </w:rPr>
        <w:t xml:space="preserve"> ustaleń</w:t>
      </w:r>
      <w:r w:rsidR="006A22D3" w:rsidRPr="006A22D3">
        <w:rPr>
          <w:noProof/>
        </w:rPr>
        <w:t xml:space="preserve"> i wyn</w:t>
      </w:r>
      <w:r w:rsidR="00ED3016" w:rsidRPr="006A22D3">
        <w:rPr>
          <w:noProof/>
        </w:rPr>
        <w:t>ików tych działań. We wniosku dotyczącym zmiany dyrektywy 2013/34/UE</w:t>
      </w:r>
      <w:r w:rsidR="006A22D3" w:rsidRPr="006A22D3">
        <w:rPr>
          <w:noProof/>
        </w:rPr>
        <w:t xml:space="preserve"> w odn</w:t>
      </w:r>
      <w:r w:rsidR="00ED3016" w:rsidRPr="006A22D3">
        <w:rPr>
          <w:noProof/>
        </w:rPr>
        <w:t>iesieniu do sprawozdawczości przedsiębiorstw</w:t>
      </w:r>
      <w:r w:rsidR="006A22D3" w:rsidRPr="006A22D3">
        <w:rPr>
          <w:noProof/>
        </w:rPr>
        <w:t xml:space="preserve"> w zak</w:t>
      </w:r>
      <w:r w:rsidR="00ED3016" w:rsidRPr="006A22D3">
        <w:rPr>
          <w:noProof/>
        </w:rPr>
        <w:t>resie zrównoważonego rozwoju określono odpowiednie obowiązki sprawozdawcze przedsiębiorstw objętych tą dyrektywą. Aby uniknąć powielania obowiązków sprawozdawczych,</w:t>
      </w:r>
      <w:r w:rsidR="006A22D3" w:rsidRPr="006A22D3">
        <w:rPr>
          <w:noProof/>
        </w:rPr>
        <w:t xml:space="preserve"> w nin</w:t>
      </w:r>
      <w:r w:rsidR="00ED3016" w:rsidRPr="006A22D3">
        <w:rPr>
          <w:noProof/>
        </w:rPr>
        <w:t>iejszej dyrektywie nie należy zatem wprowadzać żadnych nowych obowiązków sprawozdawczych poza obowiązkami wynikającymi</w:t>
      </w:r>
      <w:r w:rsidR="006A22D3" w:rsidRPr="006A22D3">
        <w:rPr>
          <w:noProof/>
        </w:rPr>
        <w:t xml:space="preserve"> z dyr</w:t>
      </w:r>
      <w:r w:rsidR="00ED3016" w:rsidRPr="006A22D3">
        <w:rPr>
          <w:noProof/>
        </w:rPr>
        <w:t>ektywy 2013/34/UE</w:t>
      </w:r>
      <w:r w:rsidR="006A22D3" w:rsidRPr="006A22D3">
        <w:rPr>
          <w:noProof/>
        </w:rPr>
        <w:t xml:space="preserve"> w odn</w:t>
      </w:r>
      <w:r w:rsidR="00ED3016" w:rsidRPr="006A22D3">
        <w:rPr>
          <w:noProof/>
        </w:rPr>
        <w:t>iesieniu do przedsiębiorstw objętych tą dyrektywą, jak również standardów dotyczących sprawozdawczości, które należy opracować na jej podstawie. Jeśli chodzi</w:t>
      </w:r>
      <w:r w:rsidR="006A22D3" w:rsidRPr="006A22D3">
        <w:rPr>
          <w:noProof/>
        </w:rPr>
        <w:t xml:space="preserve"> o prz</w:t>
      </w:r>
      <w:r w:rsidR="00ED3016" w:rsidRPr="006A22D3">
        <w:rPr>
          <w:noProof/>
        </w:rPr>
        <w:t>edsiębiorstwa, które są objęte zakresem niniejszej dyrektywy, ale nie podlegają dyrektywie 2013/34/UE,</w:t>
      </w:r>
      <w:r w:rsidR="006A22D3" w:rsidRPr="006A22D3">
        <w:rPr>
          <w:noProof/>
        </w:rPr>
        <w:t xml:space="preserve"> w cel</w:t>
      </w:r>
      <w:r w:rsidR="00ED3016" w:rsidRPr="006A22D3">
        <w:rPr>
          <w:noProof/>
        </w:rPr>
        <w:t>u wypełnienia obowiązku informowania</w:t>
      </w:r>
      <w:r w:rsidR="006A22D3" w:rsidRPr="006A22D3">
        <w:rPr>
          <w:noProof/>
        </w:rPr>
        <w:t xml:space="preserve"> w ram</w:t>
      </w:r>
      <w:r w:rsidR="00ED3016" w:rsidRPr="006A22D3">
        <w:rPr>
          <w:noProof/>
        </w:rPr>
        <w:t>ach należytej staranności na podstawie niniejszej dyrektywy powinny one publikować na swojej stronie internetowej sprawozdanie roczne</w:t>
      </w:r>
      <w:r w:rsidR="006A22D3" w:rsidRPr="006A22D3">
        <w:rPr>
          <w:noProof/>
        </w:rPr>
        <w:t xml:space="preserve"> w jęz</w:t>
      </w:r>
      <w:r w:rsidR="00ED3016" w:rsidRPr="006A22D3">
        <w:rPr>
          <w:noProof/>
        </w:rPr>
        <w:t>yku zwyczajowo używanym</w:t>
      </w:r>
      <w:r w:rsidR="006A22D3" w:rsidRPr="006A22D3">
        <w:rPr>
          <w:noProof/>
        </w:rPr>
        <w:t xml:space="preserve"> w sfe</w:t>
      </w:r>
      <w:r w:rsidR="00ED3016" w:rsidRPr="006A22D3">
        <w:rPr>
          <w:noProof/>
        </w:rPr>
        <w:t>rze biznesu międzynarodowego.</w:t>
      </w:r>
    </w:p>
    <w:p w:rsidR="00ED3016" w:rsidRPr="006A22D3" w:rsidRDefault="00D91F29" w:rsidP="00D91F29">
      <w:pPr>
        <w:pStyle w:val="ManualConsidrant"/>
        <w:rPr>
          <w:noProof/>
        </w:rPr>
      </w:pPr>
      <w:r w:rsidRPr="00D91F29">
        <w:t>(45)</w:t>
      </w:r>
      <w:r w:rsidRPr="00D91F29">
        <w:tab/>
      </w:r>
      <w:r w:rsidR="00ED3016" w:rsidRPr="006A22D3">
        <w:rPr>
          <w:noProof/>
        </w:rPr>
        <w:tab/>
        <w:t>Aby ułatwić przedsiębiorstwom spełnianie wymogów</w:t>
      </w:r>
      <w:r w:rsidR="006A22D3" w:rsidRPr="006A22D3">
        <w:rPr>
          <w:noProof/>
        </w:rPr>
        <w:t xml:space="preserve"> w zak</w:t>
      </w:r>
      <w:r w:rsidR="00ED3016" w:rsidRPr="006A22D3">
        <w:rPr>
          <w:noProof/>
        </w:rPr>
        <w:t>resie należytej staranności</w:t>
      </w:r>
      <w:r w:rsidR="006A22D3" w:rsidRPr="006A22D3">
        <w:rPr>
          <w:noProof/>
        </w:rPr>
        <w:t xml:space="preserve"> w cał</w:t>
      </w:r>
      <w:r w:rsidR="00ED3016" w:rsidRPr="006A22D3">
        <w:rPr>
          <w:noProof/>
        </w:rPr>
        <w:t>ym łańcuchu wartości</w:t>
      </w:r>
      <w:r w:rsidR="006A22D3" w:rsidRPr="006A22D3">
        <w:rPr>
          <w:noProof/>
        </w:rPr>
        <w:t xml:space="preserve"> i ogr</w:t>
      </w:r>
      <w:r w:rsidR="00ED3016" w:rsidRPr="006A22D3">
        <w:rPr>
          <w:noProof/>
        </w:rPr>
        <w:t>aniczyć przenoszenie obciążeń związanych</w:t>
      </w:r>
      <w:r w:rsidR="006A22D3" w:rsidRPr="006A22D3">
        <w:rPr>
          <w:noProof/>
        </w:rPr>
        <w:t xml:space="preserve"> z prz</w:t>
      </w:r>
      <w:r w:rsidR="00ED3016" w:rsidRPr="006A22D3">
        <w:rPr>
          <w:noProof/>
        </w:rPr>
        <w:t>estrzeganiem przepisów na partnerów biznesowych</w:t>
      </w:r>
      <w:r w:rsidR="006A22D3" w:rsidRPr="006A22D3">
        <w:rPr>
          <w:noProof/>
        </w:rPr>
        <w:t xml:space="preserve"> z sek</w:t>
      </w:r>
      <w:r w:rsidR="00ED3016" w:rsidRPr="006A22D3">
        <w:rPr>
          <w:noProof/>
        </w:rPr>
        <w:t xml:space="preserve">tora MŚP, Komisja powinna przedstawić wytyczne dotyczące wzorcowych klauzul umownych. </w:t>
      </w:r>
    </w:p>
    <w:p w:rsidR="00ED3016" w:rsidRPr="006A22D3" w:rsidRDefault="00D91F29" w:rsidP="00D91F29">
      <w:pPr>
        <w:pStyle w:val="ManualConsidrant"/>
        <w:rPr>
          <w:noProof/>
        </w:rPr>
      </w:pPr>
      <w:r w:rsidRPr="00D91F29">
        <w:t>(46)</w:t>
      </w:r>
      <w:r w:rsidRPr="00D91F29">
        <w:tab/>
      </w:r>
      <w:r w:rsidR="00ED3016" w:rsidRPr="006A22D3">
        <w:rPr>
          <w:noProof/>
        </w:rPr>
        <w:tab/>
        <w:t>Celem zapewnienia przedsiębiorstwom lub organom państw członkowskich wsparcia</w:t>
      </w:r>
      <w:r w:rsidR="006A22D3" w:rsidRPr="006A22D3">
        <w:rPr>
          <w:noProof/>
        </w:rPr>
        <w:t xml:space="preserve"> i pra</w:t>
      </w:r>
      <w:r w:rsidR="00ED3016" w:rsidRPr="006A22D3">
        <w:rPr>
          <w:noProof/>
        </w:rPr>
        <w:t>ktycznych narzędzi</w:t>
      </w:r>
      <w:r w:rsidR="006A22D3" w:rsidRPr="006A22D3">
        <w:rPr>
          <w:noProof/>
        </w:rPr>
        <w:t xml:space="preserve"> w zak</w:t>
      </w:r>
      <w:r w:rsidR="00ED3016" w:rsidRPr="006A22D3">
        <w:rPr>
          <w:noProof/>
        </w:rPr>
        <w:t>resie sposobu,</w:t>
      </w:r>
      <w:r w:rsidR="006A22D3" w:rsidRPr="006A22D3">
        <w:rPr>
          <w:noProof/>
        </w:rPr>
        <w:t xml:space="preserve"> w jak</w:t>
      </w:r>
      <w:r w:rsidR="00ED3016" w:rsidRPr="006A22D3">
        <w:rPr>
          <w:noProof/>
        </w:rPr>
        <w:t>i przedsiębiorstwa powinny wypełniać swoje obowiązki</w:t>
      </w:r>
      <w:r w:rsidR="006A22D3" w:rsidRPr="006A22D3">
        <w:rPr>
          <w:noProof/>
        </w:rPr>
        <w:t xml:space="preserve"> w zak</w:t>
      </w:r>
      <w:r w:rsidR="00ED3016" w:rsidRPr="006A22D3">
        <w:rPr>
          <w:noProof/>
        </w:rPr>
        <w:t>resie należytej staranności, Komisja – wykorzystując jako punkt odniesienia odpowiednie międzynarodowe wytyczne</w:t>
      </w:r>
      <w:r w:rsidR="006A22D3" w:rsidRPr="006A22D3">
        <w:rPr>
          <w:noProof/>
        </w:rPr>
        <w:t xml:space="preserve"> i nor</w:t>
      </w:r>
      <w:r w:rsidR="00ED3016" w:rsidRPr="006A22D3">
        <w:rPr>
          <w:noProof/>
        </w:rPr>
        <w:t>my oraz we współpracy</w:t>
      </w:r>
      <w:r w:rsidR="006A22D3" w:rsidRPr="006A22D3">
        <w:rPr>
          <w:noProof/>
        </w:rPr>
        <w:t xml:space="preserve"> z pań</w:t>
      </w:r>
      <w:r w:rsidR="00ED3016" w:rsidRPr="006A22D3">
        <w:rPr>
          <w:noProof/>
        </w:rPr>
        <w:t>stwami członkowskimi</w:t>
      </w:r>
      <w:r w:rsidR="006A22D3" w:rsidRPr="006A22D3">
        <w:rPr>
          <w:noProof/>
        </w:rPr>
        <w:t xml:space="preserve"> i zai</w:t>
      </w:r>
      <w:r w:rsidR="00ED3016" w:rsidRPr="006A22D3">
        <w:rPr>
          <w:noProof/>
        </w:rPr>
        <w:t>nteresowanymi stronami, Agencją Praw Podstawowych Unii Europejskiej, Europejską Agencją Środowiska</w:t>
      </w:r>
      <w:r w:rsidR="006A22D3" w:rsidRPr="006A22D3">
        <w:rPr>
          <w:noProof/>
        </w:rPr>
        <w:t xml:space="preserve"> i w raz</w:t>
      </w:r>
      <w:r w:rsidR="00ED3016" w:rsidRPr="006A22D3">
        <w:rPr>
          <w:noProof/>
        </w:rPr>
        <w:t>ie potrzeby organami międzynarodowymi posiadającymi wiedzę specjalistyczną</w:t>
      </w:r>
      <w:r w:rsidR="006A22D3" w:rsidRPr="006A22D3">
        <w:rPr>
          <w:noProof/>
        </w:rPr>
        <w:t xml:space="preserve"> w zak</w:t>
      </w:r>
      <w:r w:rsidR="00ED3016" w:rsidRPr="006A22D3">
        <w:rPr>
          <w:noProof/>
        </w:rPr>
        <w:t>resie należytej staranności – powinna mieć możliwość wydania wytycznych,</w:t>
      </w:r>
      <w:r w:rsidR="006A22D3" w:rsidRPr="006A22D3">
        <w:rPr>
          <w:noProof/>
        </w:rPr>
        <w:t xml:space="preserve"> w tym</w:t>
      </w:r>
      <w:r w:rsidR="00ED3016" w:rsidRPr="006A22D3">
        <w:rPr>
          <w:noProof/>
        </w:rPr>
        <w:t xml:space="preserve"> wytycznych dotyczących konkretnych sektorów lub konkretnych niekorzystnych skutków. </w:t>
      </w:r>
    </w:p>
    <w:p w:rsidR="00ED3016" w:rsidRPr="006A22D3" w:rsidRDefault="00D91F29" w:rsidP="00D91F29">
      <w:pPr>
        <w:pStyle w:val="ManualConsidrant"/>
        <w:rPr>
          <w:noProof/>
        </w:rPr>
      </w:pPr>
      <w:r w:rsidRPr="00D91F29">
        <w:t>(47)</w:t>
      </w:r>
      <w:r w:rsidRPr="00D91F29">
        <w:tab/>
      </w:r>
      <w:r w:rsidR="00ED3016" w:rsidRPr="006A22D3">
        <w:rPr>
          <w:noProof/>
        </w:rPr>
        <w:tab/>
        <w:t>Chociaż MŚP nie są objęte zakresem niniejszej dyrektywy, jej przepisy mogą mieć na nie wpływ jako na wykonawców lub podwykonawców przedsiębiorstw objętych zakresem dyrektywy. Celem jest jednak ograniczenie obciążenia finansowego lub administracyjnego dla MŚP,</w:t>
      </w:r>
      <w:r w:rsidR="006A22D3" w:rsidRPr="006A22D3">
        <w:rPr>
          <w:noProof/>
        </w:rPr>
        <w:t xml:space="preserve"> z któ</w:t>
      </w:r>
      <w:r w:rsidR="00ED3016" w:rsidRPr="006A22D3">
        <w:rPr>
          <w:noProof/>
        </w:rPr>
        <w:t>rych wiele już ma trudności</w:t>
      </w:r>
      <w:r w:rsidR="006A22D3" w:rsidRPr="006A22D3">
        <w:rPr>
          <w:noProof/>
        </w:rPr>
        <w:t xml:space="preserve"> w kon</w:t>
      </w:r>
      <w:r w:rsidR="00ED3016" w:rsidRPr="006A22D3">
        <w:rPr>
          <w:noProof/>
        </w:rPr>
        <w:t>tekście światowego kryzysu gospodarczego</w:t>
      </w:r>
      <w:r w:rsidR="006A22D3" w:rsidRPr="006A22D3">
        <w:rPr>
          <w:noProof/>
        </w:rPr>
        <w:t xml:space="preserve"> i zdr</w:t>
      </w:r>
      <w:r w:rsidR="00ED3016" w:rsidRPr="006A22D3">
        <w:rPr>
          <w:noProof/>
        </w:rPr>
        <w:t>owotnego. Aby wspierać MŚP, państwa członkowskie powinny stworzyć</w:t>
      </w:r>
      <w:r w:rsidR="006A22D3" w:rsidRPr="006A22D3">
        <w:rPr>
          <w:noProof/>
        </w:rPr>
        <w:t xml:space="preserve"> i pro</w:t>
      </w:r>
      <w:r w:rsidR="00ED3016" w:rsidRPr="006A22D3">
        <w:rPr>
          <w:noProof/>
        </w:rPr>
        <w:t>wadzić, indywidualnie albo wspólnie, specjalne strony internetowe, portale lub platformy,</w:t>
      </w:r>
      <w:r w:rsidR="006A22D3" w:rsidRPr="006A22D3">
        <w:rPr>
          <w:noProof/>
        </w:rPr>
        <w:t xml:space="preserve"> a pań</w:t>
      </w:r>
      <w:r w:rsidR="00ED3016" w:rsidRPr="006A22D3">
        <w:rPr>
          <w:noProof/>
        </w:rPr>
        <w:t>stwa członkowskie mogłyby również wspierać finansowo MŚP</w:t>
      </w:r>
      <w:r w:rsidR="006A22D3" w:rsidRPr="006A22D3">
        <w:rPr>
          <w:noProof/>
        </w:rPr>
        <w:t xml:space="preserve"> i pom</w:t>
      </w:r>
      <w:r w:rsidR="00ED3016" w:rsidRPr="006A22D3">
        <w:rPr>
          <w:noProof/>
        </w:rPr>
        <w:t>agać im</w:t>
      </w:r>
      <w:r w:rsidR="006A22D3" w:rsidRPr="006A22D3">
        <w:rPr>
          <w:noProof/>
        </w:rPr>
        <w:t xml:space="preserve"> w bud</w:t>
      </w:r>
      <w:r w:rsidR="00ED3016" w:rsidRPr="006A22D3">
        <w:rPr>
          <w:noProof/>
        </w:rPr>
        <w:t>owaniu zdolności. Takie wsparcie powinno być również dostępne dla podmiotów gospodarczych działających na wyższym szczeblu łańcucha dostaw</w:t>
      </w:r>
      <w:r w:rsidR="006A22D3" w:rsidRPr="006A22D3">
        <w:rPr>
          <w:noProof/>
        </w:rPr>
        <w:t xml:space="preserve"> w pań</w:t>
      </w:r>
      <w:r w:rsidR="00ED3016" w:rsidRPr="006A22D3">
        <w:rPr>
          <w:noProof/>
        </w:rPr>
        <w:t>stwach trzecich,</w:t>
      </w:r>
      <w:r w:rsidR="006A22D3" w:rsidRPr="006A22D3">
        <w:rPr>
          <w:noProof/>
        </w:rPr>
        <w:t xml:space="preserve"> a w raz</w:t>
      </w:r>
      <w:r w:rsidR="00ED3016" w:rsidRPr="006A22D3">
        <w:rPr>
          <w:noProof/>
        </w:rPr>
        <w:t>ie potrzeby dostosowane do tych podmiotów i na nie rozszerzone. Przedsiębiorstwa, których partnerami biznesowymi są MŚP, zachęca się również do wspierania ich</w:t>
      </w:r>
      <w:r w:rsidR="006A22D3" w:rsidRPr="006A22D3">
        <w:rPr>
          <w:noProof/>
        </w:rPr>
        <w:t xml:space="preserve"> w sto</w:t>
      </w:r>
      <w:r w:rsidR="00ED3016" w:rsidRPr="006A22D3">
        <w:rPr>
          <w:noProof/>
        </w:rPr>
        <w:t>sowaniu się do środków</w:t>
      </w:r>
      <w:r w:rsidR="006A22D3" w:rsidRPr="006A22D3">
        <w:rPr>
          <w:noProof/>
        </w:rPr>
        <w:t xml:space="preserve"> w zak</w:t>
      </w:r>
      <w:r w:rsidR="00ED3016" w:rsidRPr="006A22D3">
        <w:rPr>
          <w:noProof/>
        </w:rPr>
        <w:t>resie należytej staranności,</w:t>
      </w:r>
      <w:r w:rsidR="006A22D3" w:rsidRPr="006A22D3">
        <w:rPr>
          <w:noProof/>
        </w:rPr>
        <w:t xml:space="preserve"> w prz</w:t>
      </w:r>
      <w:r w:rsidR="00ED3016" w:rsidRPr="006A22D3">
        <w:rPr>
          <w:noProof/>
        </w:rPr>
        <w:t>ypadku gdy takie wymogi mogłyby zagrozić rentowności MŚP, oraz do stosowania sprawiedliwych, zasadnych, niedyskryminujących</w:t>
      </w:r>
      <w:r w:rsidR="006A22D3" w:rsidRPr="006A22D3">
        <w:rPr>
          <w:noProof/>
        </w:rPr>
        <w:t xml:space="preserve"> i pro</w:t>
      </w:r>
      <w:r w:rsidR="00ED3016" w:rsidRPr="006A22D3">
        <w:rPr>
          <w:noProof/>
        </w:rPr>
        <w:t>porcjonalnych wymogów</w:t>
      </w:r>
      <w:r w:rsidR="006A22D3" w:rsidRPr="006A22D3">
        <w:rPr>
          <w:noProof/>
        </w:rPr>
        <w:t xml:space="preserve"> w sto</w:t>
      </w:r>
      <w:r w:rsidR="00ED3016" w:rsidRPr="006A22D3">
        <w:rPr>
          <w:noProof/>
        </w:rPr>
        <w:t xml:space="preserve">sunku do MŚP. </w:t>
      </w:r>
    </w:p>
    <w:p w:rsidR="00ED3016" w:rsidRPr="006A22D3" w:rsidRDefault="00D91F29" w:rsidP="00D91F29">
      <w:pPr>
        <w:pStyle w:val="ManualConsidrant"/>
        <w:rPr>
          <w:noProof/>
        </w:rPr>
      </w:pPr>
      <w:r w:rsidRPr="00D91F29">
        <w:t>(48)</w:t>
      </w:r>
      <w:r w:rsidRPr="00D91F29">
        <w:tab/>
      </w:r>
      <w:r w:rsidR="00ED3016" w:rsidRPr="006A22D3">
        <w:rPr>
          <w:noProof/>
        </w:rPr>
        <w:tab/>
        <w:t>Aby uzupełnić wsparcie państw członkowskich dla MŚP, Komisja może oprzeć się na istniejących narzędziach, projektach</w:t>
      </w:r>
      <w:r w:rsidR="006A22D3" w:rsidRPr="006A22D3">
        <w:rPr>
          <w:noProof/>
        </w:rPr>
        <w:t xml:space="preserve"> i inn</w:t>
      </w:r>
      <w:r w:rsidR="00ED3016" w:rsidRPr="006A22D3">
        <w:rPr>
          <w:noProof/>
        </w:rPr>
        <w:t>ych działaniach UE pomagających we wdrażaniu zasad należytej staranności w UE</w:t>
      </w:r>
      <w:r w:rsidR="006A22D3" w:rsidRPr="006A22D3">
        <w:rPr>
          <w:noProof/>
        </w:rPr>
        <w:t xml:space="preserve"> i w pań</w:t>
      </w:r>
      <w:r w:rsidR="00ED3016" w:rsidRPr="006A22D3">
        <w:rPr>
          <w:noProof/>
        </w:rPr>
        <w:t>stwach trzecich. Może ustanowić nowe środki wsparcia, które zapewnią przedsiębiorstwom,</w:t>
      </w:r>
      <w:r w:rsidR="006A22D3" w:rsidRPr="006A22D3">
        <w:rPr>
          <w:noProof/>
        </w:rPr>
        <w:t xml:space="preserve"> w tym</w:t>
      </w:r>
      <w:r w:rsidR="00ED3016" w:rsidRPr="006A22D3">
        <w:rPr>
          <w:noProof/>
        </w:rPr>
        <w:t xml:space="preserve"> MŚP, pomoc dotyczącą wymogów</w:t>
      </w:r>
      <w:r w:rsidR="006A22D3" w:rsidRPr="006A22D3">
        <w:rPr>
          <w:noProof/>
        </w:rPr>
        <w:t xml:space="preserve"> w zak</w:t>
      </w:r>
      <w:r w:rsidR="00ED3016" w:rsidRPr="006A22D3">
        <w:rPr>
          <w:noProof/>
        </w:rPr>
        <w:t>resie należytej staranności,</w:t>
      </w:r>
      <w:r w:rsidR="006A22D3" w:rsidRPr="006A22D3">
        <w:rPr>
          <w:noProof/>
        </w:rPr>
        <w:t xml:space="preserve"> w tym</w:t>
      </w:r>
      <w:r w:rsidR="00ED3016" w:rsidRPr="006A22D3">
        <w:rPr>
          <w:noProof/>
        </w:rPr>
        <w:t xml:space="preserve"> obserwatorium przejrzystości łańcucha wartości</w:t>
      </w:r>
      <w:r w:rsidR="006A22D3" w:rsidRPr="006A22D3">
        <w:rPr>
          <w:noProof/>
        </w:rPr>
        <w:t xml:space="preserve"> i uła</w:t>
      </w:r>
      <w:r w:rsidR="00ED3016" w:rsidRPr="006A22D3">
        <w:rPr>
          <w:noProof/>
        </w:rPr>
        <w:t>twianie wspólnych inicjatyw zainteresowanych stron.</w:t>
      </w:r>
    </w:p>
    <w:p w:rsidR="002B48CB" w:rsidRPr="006A22D3" w:rsidRDefault="00D91F29" w:rsidP="00D91F29">
      <w:pPr>
        <w:pStyle w:val="ManualConsidrant"/>
        <w:rPr>
          <w:noProof/>
        </w:rPr>
      </w:pPr>
      <w:r w:rsidRPr="00D91F29">
        <w:t>(49)</w:t>
      </w:r>
      <w:r w:rsidRPr="00D91F29">
        <w:tab/>
      </w:r>
      <w:r w:rsidR="002B48CB" w:rsidRPr="006A22D3">
        <w:rPr>
          <w:noProof/>
        </w:rPr>
        <w:t>Komisja</w:t>
      </w:r>
      <w:r w:rsidR="006A22D3" w:rsidRPr="006A22D3">
        <w:rPr>
          <w:noProof/>
        </w:rPr>
        <w:t xml:space="preserve"> i pań</w:t>
      </w:r>
      <w:r w:rsidR="002B48CB" w:rsidRPr="006A22D3">
        <w:rPr>
          <w:noProof/>
        </w:rPr>
        <w:t>stwa członkowskie powinny kontynuować współpracę partnerską</w:t>
      </w:r>
      <w:r w:rsidR="006A22D3" w:rsidRPr="006A22D3">
        <w:rPr>
          <w:noProof/>
        </w:rPr>
        <w:t xml:space="preserve"> z pań</w:t>
      </w:r>
      <w:r w:rsidR="002B48CB" w:rsidRPr="006A22D3">
        <w:rPr>
          <w:noProof/>
        </w:rPr>
        <w:t>stwami trzecimi, aby wspierać podmioty gospodarcze działające na wyższym szczeblu łańcucha dostaw</w:t>
      </w:r>
      <w:r w:rsidR="006A22D3" w:rsidRPr="006A22D3">
        <w:rPr>
          <w:noProof/>
        </w:rPr>
        <w:t xml:space="preserve"> w bud</w:t>
      </w:r>
      <w:r w:rsidR="002B48CB" w:rsidRPr="006A22D3">
        <w:rPr>
          <w:noProof/>
        </w:rPr>
        <w:t>owaniu zdolności do skutecznego zapobiegania niekorzystnym skutkom ich działalności</w:t>
      </w:r>
      <w:r w:rsidR="006A22D3" w:rsidRPr="006A22D3">
        <w:rPr>
          <w:noProof/>
        </w:rPr>
        <w:t xml:space="preserve"> i rel</w:t>
      </w:r>
      <w:r w:rsidR="002B48CB" w:rsidRPr="006A22D3">
        <w:rPr>
          <w:noProof/>
        </w:rPr>
        <w:t>acji biznesowych dla praw człowieka</w:t>
      </w:r>
      <w:r w:rsidR="006A22D3" w:rsidRPr="006A22D3">
        <w:rPr>
          <w:noProof/>
        </w:rPr>
        <w:t xml:space="preserve"> i śro</w:t>
      </w:r>
      <w:r w:rsidR="002B48CB" w:rsidRPr="006A22D3">
        <w:rPr>
          <w:noProof/>
        </w:rPr>
        <w:t>dowiska oraz łagodzenia tych skutków, zwracając szczególną uwagę na wyzwania stojące przed małymi gospodarstwami rolnymi. Powinny wykorzystać swoje instrumenty sąsiedztwa, rozwoju</w:t>
      </w:r>
      <w:r w:rsidR="006A22D3" w:rsidRPr="006A22D3">
        <w:rPr>
          <w:noProof/>
        </w:rPr>
        <w:t xml:space="preserve"> i wsp</w:t>
      </w:r>
      <w:r w:rsidR="002B48CB" w:rsidRPr="006A22D3">
        <w:rPr>
          <w:noProof/>
        </w:rPr>
        <w:t>ółpracy międzynarodowej do wspierania rządów państw trzecich</w:t>
      </w:r>
      <w:r w:rsidR="006A22D3" w:rsidRPr="006A22D3">
        <w:rPr>
          <w:noProof/>
        </w:rPr>
        <w:t xml:space="preserve"> i pod</w:t>
      </w:r>
      <w:r w:rsidR="002B48CB" w:rsidRPr="006A22D3">
        <w:rPr>
          <w:noProof/>
        </w:rPr>
        <w:t>miotów gospodarczych działających na wyższym szczeblu łańcucha dostaw</w:t>
      </w:r>
      <w:r w:rsidR="006A22D3" w:rsidRPr="006A22D3">
        <w:rPr>
          <w:noProof/>
        </w:rPr>
        <w:t xml:space="preserve"> w pań</w:t>
      </w:r>
      <w:r w:rsidR="002B48CB" w:rsidRPr="006A22D3">
        <w:rPr>
          <w:noProof/>
        </w:rPr>
        <w:t>stwach trzecich</w:t>
      </w:r>
      <w:r w:rsidR="006A22D3" w:rsidRPr="006A22D3">
        <w:rPr>
          <w:noProof/>
        </w:rPr>
        <w:t xml:space="preserve"> w roz</w:t>
      </w:r>
      <w:r w:rsidR="002B48CB" w:rsidRPr="006A22D3">
        <w:rPr>
          <w:noProof/>
        </w:rPr>
        <w:t>wiązywaniu problemów związanych</w:t>
      </w:r>
      <w:r w:rsidR="006A22D3" w:rsidRPr="006A22D3">
        <w:rPr>
          <w:noProof/>
        </w:rPr>
        <w:t xml:space="preserve"> z nie</w:t>
      </w:r>
      <w:r w:rsidR="002B48CB" w:rsidRPr="006A22D3">
        <w:rPr>
          <w:noProof/>
        </w:rPr>
        <w:t>korzystnymi skutkami ich działalności</w:t>
      </w:r>
      <w:r w:rsidR="006A22D3" w:rsidRPr="006A22D3">
        <w:rPr>
          <w:noProof/>
        </w:rPr>
        <w:t xml:space="preserve"> i rel</w:t>
      </w:r>
      <w:r w:rsidR="002B48CB" w:rsidRPr="006A22D3">
        <w:rPr>
          <w:noProof/>
        </w:rPr>
        <w:t>acji biznesowych na wyższym szczeblu łańcucha dostaw dla praw człowieka</w:t>
      </w:r>
      <w:r w:rsidR="006A22D3" w:rsidRPr="006A22D3">
        <w:rPr>
          <w:noProof/>
        </w:rPr>
        <w:t xml:space="preserve"> i śro</w:t>
      </w:r>
      <w:r w:rsidR="002B48CB" w:rsidRPr="006A22D3">
        <w:rPr>
          <w:noProof/>
        </w:rPr>
        <w:t>dowiska. Działania te mogą obejmować współpracę</w:t>
      </w:r>
      <w:r w:rsidR="006A22D3" w:rsidRPr="006A22D3">
        <w:rPr>
          <w:noProof/>
        </w:rPr>
        <w:t xml:space="preserve"> z rzą</w:t>
      </w:r>
      <w:r w:rsidR="002B48CB" w:rsidRPr="006A22D3">
        <w:rPr>
          <w:noProof/>
        </w:rPr>
        <w:t>dami krajów partnerskich, lokalnym sektorem prywatnym</w:t>
      </w:r>
      <w:r w:rsidR="006A22D3" w:rsidRPr="006A22D3">
        <w:rPr>
          <w:noProof/>
        </w:rPr>
        <w:t xml:space="preserve"> i zai</w:t>
      </w:r>
      <w:r w:rsidR="002B48CB" w:rsidRPr="006A22D3">
        <w:rPr>
          <w:noProof/>
        </w:rPr>
        <w:t>nteresowanymi stronami</w:t>
      </w:r>
      <w:r w:rsidR="006A22D3" w:rsidRPr="006A22D3">
        <w:rPr>
          <w:noProof/>
        </w:rPr>
        <w:t xml:space="preserve"> w zak</w:t>
      </w:r>
      <w:r w:rsidR="002B48CB" w:rsidRPr="006A22D3">
        <w:rPr>
          <w:noProof/>
        </w:rPr>
        <w:t>resie eliminowania podstawowych przyczyn niekorzystnych skutków dla praw człowieka</w:t>
      </w:r>
      <w:r w:rsidR="006A22D3" w:rsidRPr="006A22D3">
        <w:rPr>
          <w:noProof/>
        </w:rPr>
        <w:t xml:space="preserve"> i śro</w:t>
      </w:r>
      <w:r w:rsidR="002B48CB" w:rsidRPr="006A22D3">
        <w:rPr>
          <w:noProof/>
        </w:rPr>
        <w:t xml:space="preserve">dowiska. </w:t>
      </w:r>
    </w:p>
    <w:p w:rsidR="008B5B6D" w:rsidRPr="006A22D3" w:rsidRDefault="00D91F29" w:rsidP="00D91F29">
      <w:pPr>
        <w:pStyle w:val="ManualConsidrant"/>
        <w:rPr>
          <w:noProof/>
        </w:rPr>
      </w:pPr>
      <w:r w:rsidRPr="00D91F29">
        <w:t>(50)</w:t>
      </w:r>
      <w:r w:rsidRPr="00D91F29">
        <w:tab/>
      </w:r>
      <w:r w:rsidR="008B5B6D" w:rsidRPr="006A22D3">
        <w:rPr>
          <w:noProof/>
        </w:rPr>
        <w:t>W celu zapewnienia, aby niniejsza dyrektywa skutecznie przyczyniała się do przeciwdziałania zmianie klimatu, przedsiębiorstwa powinny przyjąć plan służący zapewnieniu, aby model biznesowy</w:t>
      </w:r>
      <w:r w:rsidR="006A22D3" w:rsidRPr="006A22D3">
        <w:rPr>
          <w:noProof/>
        </w:rPr>
        <w:t xml:space="preserve"> i str</w:t>
      </w:r>
      <w:r w:rsidR="008B5B6D" w:rsidRPr="006A22D3">
        <w:rPr>
          <w:noProof/>
        </w:rPr>
        <w:t>ategia przedsiębiorstwa były spójne</w:t>
      </w:r>
      <w:r w:rsidR="006A22D3" w:rsidRPr="006A22D3">
        <w:rPr>
          <w:noProof/>
        </w:rPr>
        <w:t xml:space="preserve"> z zał</w:t>
      </w:r>
      <w:r w:rsidR="008B5B6D" w:rsidRPr="006A22D3">
        <w:rPr>
          <w:noProof/>
        </w:rPr>
        <w:t>ożeniami procesu przechodzenia na gospodarkę zrównoważoną oraz</w:t>
      </w:r>
      <w:r w:rsidR="006A22D3" w:rsidRPr="006A22D3">
        <w:rPr>
          <w:noProof/>
        </w:rPr>
        <w:t xml:space="preserve"> z cel</w:t>
      </w:r>
      <w:r w:rsidR="008B5B6D" w:rsidRPr="006A22D3">
        <w:rPr>
          <w:noProof/>
        </w:rPr>
        <w:t>em polegającym na ograniczeniu globalnego ocieplenia do</w:t>
      </w:r>
      <w:r w:rsidR="00192E90" w:rsidRPr="006A22D3">
        <w:rPr>
          <w:noProof/>
        </w:rPr>
        <w:t> </w:t>
      </w:r>
      <w:r w:rsidR="008B5B6D" w:rsidRPr="006A22D3">
        <w:rPr>
          <w:noProof/>
        </w:rPr>
        <w:t>1,5</w:t>
      </w:r>
      <w:r w:rsidR="00192E90" w:rsidRPr="006A22D3">
        <w:rPr>
          <w:noProof/>
        </w:rPr>
        <w:t> </w:t>
      </w:r>
      <w:r w:rsidR="008B5B6D" w:rsidRPr="006A22D3">
        <w:rPr>
          <w:noProof/>
        </w:rPr>
        <w:t>°C zgodnie</w:t>
      </w:r>
      <w:r w:rsidR="006A22D3" w:rsidRPr="006A22D3">
        <w:rPr>
          <w:noProof/>
        </w:rPr>
        <w:t xml:space="preserve"> z pos</w:t>
      </w:r>
      <w:r w:rsidR="008B5B6D" w:rsidRPr="006A22D3">
        <w:rPr>
          <w:noProof/>
        </w:rPr>
        <w:t>tanowieniami porozumienia paryskiego</w:t>
      </w:r>
      <w:r w:rsidR="006A22D3" w:rsidRPr="006A22D3">
        <w:rPr>
          <w:noProof/>
        </w:rPr>
        <w:t>. W prz</w:t>
      </w:r>
      <w:r w:rsidR="008B5B6D" w:rsidRPr="006A22D3">
        <w:rPr>
          <w:noProof/>
        </w:rPr>
        <w:t>ypadku gdy klimat jest uznawany lub należy go uznawać za główne ryzyko związane</w:t>
      </w:r>
      <w:r w:rsidR="006A22D3" w:rsidRPr="006A22D3">
        <w:rPr>
          <w:noProof/>
        </w:rPr>
        <w:t xml:space="preserve"> z dzi</w:t>
      </w:r>
      <w:r w:rsidR="008B5B6D" w:rsidRPr="006A22D3">
        <w:rPr>
          <w:noProof/>
        </w:rPr>
        <w:t xml:space="preserve">ałalnością przedsiębiorstwa lub obszar, na który ma ona główny wpływ, przedsiębiorstwo powinno włączyć do swojego planu cele redukcji emisji. </w:t>
      </w:r>
    </w:p>
    <w:p w:rsidR="008B5B6D" w:rsidRPr="006A22D3" w:rsidRDefault="00D91F29" w:rsidP="00D91F29">
      <w:pPr>
        <w:pStyle w:val="ManualConsidrant"/>
        <w:rPr>
          <w:noProof/>
        </w:rPr>
      </w:pPr>
      <w:r w:rsidRPr="00D91F29">
        <w:t>(51)</w:t>
      </w:r>
      <w:r w:rsidRPr="00D91F29">
        <w:tab/>
      </w:r>
      <w:r w:rsidR="00C908E6" w:rsidRPr="006A22D3">
        <w:rPr>
          <w:noProof/>
        </w:rPr>
        <w:t>Aby zapewnić prawidłowe wdrożenie takiego planu redukcji emisji</w:t>
      </w:r>
      <w:r w:rsidR="006A22D3" w:rsidRPr="006A22D3">
        <w:rPr>
          <w:noProof/>
        </w:rPr>
        <w:t xml:space="preserve"> i włą</w:t>
      </w:r>
      <w:r w:rsidR="00C908E6" w:rsidRPr="006A22D3">
        <w:rPr>
          <w:noProof/>
        </w:rPr>
        <w:t>czenie go do zachęt finansowych dla dyrektorów, konieczne jest należyte uwzględnienie tego planu przy ustalaniu wynagrodzenia zmiennego dyrektorów, jeśli wynagrodzenie zmienne jest powiązane</w:t>
      </w:r>
      <w:r w:rsidR="006A22D3" w:rsidRPr="006A22D3">
        <w:rPr>
          <w:noProof/>
        </w:rPr>
        <w:t xml:space="preserve"> z wkł</w:t>
      </w:r>
      <w:r w:rsidR="00C908E6" w:rsidRPr="006A22D3">
        <w:rPr>
          <w:noProof/>
        </w:rPr>
        <w:t>adem dyrektora</w:t>
      </w:r>
      <w:r w:rsidR="006A22D3" w:rsidRPr="006A22D3">
        <w:rPr>
          <w:noProof/>
        </w:rPr>
        <w:t xml:space="preserve"> w rea</w:t>
      </w:r>
      <w:r w:rsidR="00C908E6" w:rsidRPr="006A22D3">
        <w:rPr>
          <w:noProof/>
        </w:rPr>
        <w:t>lizację strategii biznesowej przedsiębiorstwa oraz jego długoterminowych interesów</w:t>
      </w:r>
      <w:r w:rsidR="006A22D3" w:rsidRPr="006A22D3">
        <w:rPr>
          <w:noProof/>
        </w:rPr>
        <w:t xml:space="preserve"> i zró</w:t>
      </w:r>
      <w:r w:rsidR="00C908E6" w:rsidRPr="006A22D3">
        <w:rPr>
          <w:noProof/>
        </w:rPr>
        <w:t xml:space="preserve">wnoważonego rozwoju. </w:t>
      </w:r>
    </w:p>
    <w:p w:rsidR="00ED3016" w:rsidRPr="006A22D3" w:rsidRDefault="00D91F29" w:rsidP="00D91F29">
      <w:pPr>
        <w:pStyle w:val="ManualConsidrant"/>
        <w:rPr>
          <w:noProof/>
        </w:rPr>
      </w:pPr>
      <w:r w:rsidRPr="00D91F29">
        <w:t>(52)</w:t>
      </w:r>
      <w:r w:rsidRPr="00D91F29">
        <w:tab/>
      </w:r>
      <w:r w:rsidR="00ED3016" w:rsidRPr="006A22D3">
        <w:rPr>
          <w:noProof/>
        </w:rPr>
        <w:t>W celu umożliwienia skutecznego nadzoru oraz,</w:t>
      </w:r>
      <w:r w:rsidR="006A22D3" w:rsidRPr="006A22D3">
        <w:rPr>
          <w:noProof/>
        </w:rPr>
        <w:t xml:space="preserve"> w sto</w:t>
      </w:r>
      <w:r w:rsidR="00ED3016" w:rsidRPr="006A22D3">
        <w:rPr>
          <w:noProof/>
        </w:rPr>
        <w:t>sownych przypadkach, wykonywania niniejszej dyrektywy</w:t>
      </w:r>
      <w:r w:rsidR="006A22D3" w:rsidRPr="006A22D3">
        <w:rPr>
          <w:noProof/>
        </w:rPr>
        <w:t xml:space="preserve"> w odn</w:t>
      </w:r>
      <w:r w:rsidR="00ED3016" w:rsidRPr="006A22D3">
        <w:rPr>
          <w:noProof/>
        </w:rPr>
        <w:t>iesieniu do przedsiębiorstw, które nie podlegają prawu państwa członkowskiego, przedsiębiorstwa te powinny wyznaczyć odpowiednio umocowanego upoważnionego przedstawiciela</w:t>
      </w:r>
      <w:r w:rsidR="006A22D3" w:rsidRPr="006A22D3">
        <w:rPr>
          <w:noProof/>
        </w:rPr>
        <w:t xml:space="preserve"> w Uni</w:t>
      </w:r>
      <w:r w:rsidR="00ED3016" w:rsidRPr="006A22D3">
        <w:rPr>
          <w:noProof/>
        </w:rPr>
        <w:t>i oraz przekazać informacje dotyczące swoich upoważnionych przedstawicieli. Upoważniony przedstawiciel powinien mieć możliwość pełnienia również funkcji punktu kontaktowego, pod warunkiem że spełniono odpowiednie wymogi niniejszej dyrektywy.</w:t>
      </w:r>
    </w:p>
    <w:p w:rsidR="00ED3016" w:rsidRPr="006A22D3" w:rsidRDefault="00D91F29" w:rsidP="00D91F29">
      <w:pPr>
        <w:pStyle w:val="ManualConsidrant"/>
        <w:rPr>
          <w:noProof/>
        </w:rPr>
      </w:pPr>
      <w:r w:rsidRPr="00D91F29">
        <w:t>(53)</w:t>
      </w:r>
      <w:r w:rsidRPr="00D91F29">
        <w:tab/>
      </w:r>
      <w:r w:rsidR="00ED3016" w:rsidRPr="006A22D3">
        <w:rPr>
          <w:noProof/>
        </w:rPr>
        <w:t>W celu zapewnienia monitorowania prawidłowego wypełniania przez przedsiębiorstwa obowiązków</w:t>
      </w:r>
      <w:r w:rsidR="006A22D3" w:rsidRPr="006A22D3">
        <w:rPr>
          <w:noProof/>
        </w:rPr>
        <w:t xml:space="preserve"> w zak</w:t>
      </w:r>
      <w:r w:rsidR="00ED3016" w:rsidRPr="006A22D3">
        <w:rPr>
          <w:noProof/>
        </w:rPr>
        <w:t>resie należytej staranności oraz zapewnienia właściwego wykonywania niniejszej dyrektywy, państwa członkowskie powinny wyznaczyć jeden krajowy organ nadzorczy lub większą ich liczbę. Te organy nadzorcze powinny mieć charakter publiczny, być niezależne od przedsiębiorstw objętych zakresem niniejszej dyrektywy lub innych interesów rynkowych oraz wolne od konfliktów interesów. Zgodnie</w:t>
      </w:r>
      <w:r w:rsidR="006A22D3" w:rsidRPr="006A22D3">
        <w:rPr>
          <w:noProof/>
        </w:rPr>
        <w:t xml:space="preserve"> z pra</w:t>
      </w:r>
      <w:r w:rsidR="00ED3016" w:rsidRPr="006A22D3">
        <w:rPr>
          <w:noProof/>
        </w:rPr>
        <w:t>wem krajowym państwa członkowskie powinny zapewnić należyte finansowanie tych organów. Organy te powinny być uprawnione do prowadzenia postępowań</w:t>
      </w:r>
      <w:r w:rsidR="006A22D3" w:rsidRPr="006A22D3">
        <w:rPr>
          <w:noProof/>
        </w:rPr>
        <w:t xml:space="preserve"> z wła</w:t>
      </w:r>
      <w:r w:rsidR="00ED3016" w:rsidRPr="006A22D3">
        <w:rPr>
          <w:noProof/>
        </w:rPr>
        <w:t>snej inicjatywy lub na podstawie skarg lub uzasadnionych obaw zgłoszonych na mocy niniejszej dyrektywy</w:t>
      </w:r>
      <w:r w:rsidR="006A22D3" w:rsidRPr="006A22D3">
        <w:rPr>
          <w:noProof/>
        </w:rPr>
        <w:t>. W prz</w:t>
      </w:r>
      <w:r w:rsidR="00ED3016" w:rsidRPr="006A22D3">
        <w:rPr>
          <w:noProof/>
        </w:rPr>
        <w:t>ypadku istnienia właściwych organów utworzonych na podstawie przepisów sektorowych państwa członkowskie mogą wskazać te organy jako odpowiedzialne za stosowanie niniejszej dyrektywy</w:t>
      </w:r>
      <w:r w:rsidR="006A22D3" w:rsidRPr="006A22D3">
        <w:rPr>
          <w:noProof/>
        </w:rPr>
        <w:t xml:space="preserve"> w obs</w:t>
      </w:r>
      <w:r w:rsidR="00ED3016" w:rsidRPr="006A22D3">
        <w:rPr>
          <w:noProof/>
        </w:rPr>
        <w:t>zarach ich kompetencji. Mogą one wyznaczyć organy sprawujące nadzór nad regulowanymi przedsiębiorstwami finansowymi również jako organy nadzorcze do celów niniejszej dyrektywy.</w:t>
      </w:r>
    </w:p>
    <w:p w:rsidR="008B19A4" w:rsidRPr="006A22D3" w:rsidRDefault="00D91F29" w:rsidP="00D91F29">
      <w:pPr>
        <w:pStyle w:val="ManualConsidrant"/>
        <w:rPr>
          <w:noProof/>
        </w:rPr>
      </w:pPr>
      <w:r w:rsidRPr="00D91F29">
        <w:t>(54)</w:t>
      </w:r>
      <w:r w:rsidRPr="00D91F29">
        <w:tab/>
      </w:r>
      <w:r w:rsidR="00ED3016" w:rsidRPr="006A22D3">
        <w:rPr>
          <w:noProof/>
        </w:rPr>
        <w:tab/>
        <w:t>Aby zapewnić skuteczne egzekwowanie środków krajowych wdrażających niniejszą dyrektywę, państwa członkowskie powinny przewidzieć odstraszające, proporcjonalne</w:t>
      </w:r>
      <w:r w:rsidR="006A22D3" w:rsidRPr="006A22D3">
        <w:rPr>
          <w:noProof/>
        </w:rPr>
        <w:t xml:space="preserve"> i sku</w:t>
      </w:r>
      <w:r w:rsidR="00ED3016" w:rsidRPr="006A22D3">
        <w:rPr>
          <w:noProof/>
        </w:rPr>
        <w:t>teczne sankcje za naruszanie tych środków. Aby taki system sankcji był skuteczny, sankcje administracyjne nakładane przez krajowe organy nadzorcze powinny obejmować kary pieniężne. Jeżeli ustrój prawny państwa członkowskiego nie przewiduje sankcji administracyjnych przewidzianych</w:t>
      </w:r>
      <w:r w:rsidR="006A22D3" w:rsidRPr="006A22D3">
        <w:rPr>
          <w:noProof/>
        </w:rPr>
        <w:t xml:space="preserve"> w nin</w:t>
      </w:r>
      <w:r w:rsidR="00ED3016" w:rsidRPr="006A22D3">
        <w:rPr>
          <w:noProof/>
        </w:rPr>
        <w:t>iejszej dyrektywie, przepisy dotyczące sankcji administracyjnych należy stosować</w:t>
      </w:r>
      <w:r w:rsidR="006A22D3" w:rsidRPr="006A22D3">
        <w:rPr>
          <w:noProof/>
        </w:rPr>
        <w:t xml:space="preserve"> w ten</w:t>
      </w:r>
      <w:r w:rsidR="00ED3016" w:rsidRPr="006A22D3">
        <w:rPr>
          <w:noProof/>
        </w:rPr>
        <w:t xml:space="preserve"> sposób, że</w:t>
      </w:r>
      <w:r w:rsidR="006A22D3" w:rsidRPr="006A22D3">
        <w:rPr>
          <w:noProof/>
        </w:rPr>
        <w:t xml:space="preserve"> o zas</w:t>
      </w:r>
      <w:r w:rsidR="00ED3016" w:rsidRPr="006A22D3">
        <w:rPr>
          <w:noProof/>
        </w:rPr>
        <w:t>tosowanie sankcji wnosi właściwy organ nadzorczy,</w:t>
      </w:r>
      <w:r w:rsidR="006A22D3" w:rsidRPr="006A22D3">
        <w:rPr>
          <w:noProof/>
        </w:rPr>
        <w:t xml:space="preserve"> a nak</w:t>
      </w:r>
      <w:r w:rsidR="00ED3016" w:rsidRPr="006A22D3">
        <w:rPr>
          <w:noProof/>
        </w:rPr>
        <w:t>łada je organ wymiaru sprawiedliwości. Te państwa członkowskie powinny zatem zapewnić, aby stosowanie przepisów</w:t>
      </w:r>
      <w:r w:rsidR="006A22D3" w:rsidRPr="006A22D3">
        <w:rPr>
          <w:noProof/>
        </w:rPr>
        <w:t xml:space="preserve"> i san</w:t>
      </w:r>
      <w:r w:rsidR="00ED3016" w:rsidRPr="006A22D3">
        <w:rPr>
          <w:noProof/>
        </w:rPr>
        <w:t xml:space="preserve">kcji miało skutek równoważny sankcjom administracyjnym nakładanym przez właściwe organy nadzorcze. </w:t>
      </w:r>
    </w:p>
    <w:p w:rsidR="00ED3016" w:rsidRPr="006A22D3" w:rsidRDefault="00D91F29" w:rsidP="00D91F29">
      <w:pPr>
        <w:pStyle w:val="ManualConsidrant"/>
        <w:rPr>
          <w:noProof/>
        </w:rPr>
      </w:pPr>
      <w:r w:rsidRPr="00D91F29">
        <w:t>(55)</w:t>
      </w:r>
      <w:r w:rsidRPr="00D91F29">
        <w:tab/>
      </w:r>
      <w:r w:rsidR="00D86323" w:rsidRPr="006A22D3">
        <w:rPr>
          <w:noProof/>
        </w:rPr>
        <w:t>W celu zapewnienia spójnego stosowania</w:t>
      </w:r>
      <w:r w:rsidR="006A22D3" w:rsidRPr="006A22D3">
        <w:rPr>
          <w:noProof/>
        </w:rPr>
        <w:t xml:space="preserve"> i egz</w:t>
      </w:r>
      <w:r w:rsidR="00D86323" w:rsidRPr="006A22D3">
        <w:rPr>
          <w:noProof/>
        </w:rPr>
        <w:t>ekwowania przepisów krajowych przyjętych zgodnie</w:t>
      </w:r>
      <w:r w:rsidR="006A22D3" w:rsidRPr="006A22D3">
        <w:rPr>
          <w:noProof/>
        </w:rPr>
        <w:t xml:space="preserve"> z nin</w:t>
      </w:r>
      <w:r w:rsidR="00D86323" w:rsidRPr="006A22D3">
        <w:rPr>
          <w:noProof/>
        </w:rPr>
        <w:t>iejszą dyrektywą, krajowe organy nadzorcze powinny współpracować</w:t>
      </w:r>
      <w:r w:rsidR="006A22D3" w:rsidRPr="006A22D3">
        <w:rPr>
          <w:noProof/>
        </w:rPr>
        <w:t xml:space="preserve"> i koo</w:t>
      </w:r>
      <w:r w:rsidR="00D86323" w:rsidRPr="006A22D3">
        <w:rPr>
          <w:noProof/>
        </w:rPr>
        <w:t>rdynować swoje działania</w:t>
      </w:r>
      <w:r w:rsidR="006A22D3" w:rsidRPr="006A22D3">
        <w:rPr>
          <w:noProof/>
        </w:rPr>
        <w:t>. W tym</w:t>
      </w:r>
      <w:r w:rsidR="00D86323" w:rsidRPr="006A22D3">
        <w:rPr>
          <w:noProof/>
        </w:rPr>
        <w:t xml:space="preserve"> celu Komisja powinna utworzyć Europejską Sieć Organów Nadzorczych,</w:t>
      </w:r>
      <w:r w:rsidR="006A22D3" w:rsidRPr="006A22D3">
        <w:rPr>
          <w:noProof/>
        </w:rPr>
        <w:t xml:space="preserve"> a org</w:t>
      </w:r>
      <w:r w:rsidR="00D86323" w:rsidRPr="006A22D3">
        <w:rPr>
          <w:noProof/>
        </w:rPr>
        <w:t>any nadzorcze powinny się wzajemnie wspierać</w:t>
      </w:r>
      <w:r w:rsidR="006A22D3" w:rsidRPr="006A22D3">
        <w:rPr>
          <w:noProof/>
        </w:rPr>
        <w:t xml:space="preserve"> w wyk</w:t>
      </w:r>
      <w:r w:rsidR="00D86323" w:rsidRPr="006A22D3">
        <w:rPr>
          <w:noProof/>
        </w:rPr>
        <w:t>onywaniu swoich zadań oraz świadczyć sobie wzajemną pomoc.</w:t>
      </w:r>
    </w:p>
    <w:p w:rsidR="00135186" w:rsidRPr="006A22D3" w:rsidRDefault="00D91F29" w:rsidP="00D91F29">
      <w:pPr>
        <w:pStyle w:val="ManualConsidrant"/>
        <w:rPr>
          <w:noProof/>
        </w:rPr>
      </w:pPr>
      <w:r w:rsidRPr="00D91F29">
        <w:t>(56)</w:t>
      </w:r>
      <w:r w:rsidRPr="00D91F29">
        <w:tab/>
      </w:r>
      <w:r w:rsidR="00ED3016" w:rsidRPr="006A22D3">
        <w:rPr>
          <w:noProof/>
        </w:rPr>
        <w:t>W celu zapewnienia skutecznej rekompensaty dla ofiar niekorzystnych skutków państwa członkowskie należy zobowiązać do ustanowienia przepisów regulujących odpowiedzialność cywilną przedsiębiorstw za szkody powstałe</w:t>
      </w:r>
      <w:r w:rsidR="006A22D3" w:rsidRPr="006A22D3">
        <w:rPr>
          <w:noProof/>
        </w:rPr>
        <w:t xml:space="preserve"> w wyn</w:t>
      </w:r>
      <w:r w:rsidR="00ED3016" w:rsidRPr="006A22D3">
        <w:rPr>
          <w:noProof/>
        </w:rPr>
        <w:t>iku niedopełnienia procedury należytej staranności. Przedsiębiorstwo powinno odpowiadać za szkody, jeśli nie dopełniło obowiązku zapobiegania potencjalnym niekorzystnym skutkom</w:t>
      </w:r>
      <w:r w:rsidR="006A22D3" w:rsidRPr="006A22D3">
        <w:rPr>
          <w:noProof/>
        </w:rPr>
        <w:t xml:space="preserve"> i ogr</w:t>
      </w:r>
      <w:r w:rsidR="00ED3016" w:rsidRPr="006A22D3">
        <w:rPr>
          <w:noProof/>
        </w:rPr>
        <w:t>aniczenia tych skutków lub powstrzymania rzeczywistych skutków</w:t>
      </w:r>
      <w:r w:rsidR="006A22D3" w:rsidRPr="006A22D3">
        <w:rPr>
          <w:noProof/>
        </w:rPr>
        <w:t xml:space="preserve"> i zmi</w:t>
      </w:r>
      <w:r w:rsidR="00ED3016" w:rsidRPr="006A22D3">
        <w:rPr>
          <w:noProof/>
        </w:rPr>
        <w:t>nimalizowania ich zasięgu,</w:t>
      </w:r>
      <w:r w:rsidR="006A22D3" w:rsidRPr="006A22D3">
        <w:rPr>
          <w:noProof/>
        </w:rPr>
        <w:t xml:space="preserve"> a w wyn</w:t>
      </w:r>
      <w:r w:rsidR="00ED3016" w:rsidRPr="006A22D3">
        <w:rPr>
          <w:noProof/>
        </w:rPr>
        <w:t>iku niewywiązania się</w:t>
      </w:r>
      <w:r w:rsidR="006A22D3" w:rsidRPr="006A22D3">
        <w:rPr>
          <w:noProof/>
        </w:rPr>
        <w:t xml:space="preserve"> z teg</w:t>
      </w:r>
      <w:r w:rsidR="00ED3016" w:rsidRPr="006A22D3">
        <w:rPr>
          <w:noProof/>
        </w:rPr>
        <w:t>o obowiązku wystąpiły niekorzystne skutki, które należało zidentyfikować, zapobiec im, złagodzić je, powstrzymać lub zminimalizować ich zasięg za pomocą odpowiednich środków,</w:t>
      </w:r>
      <w:r w:rsidR="006A22D3" w:rsidRPr="006A22D3">
        <w:rPr>
          <w:noProof/>
        </w:rPr>
        <w:t xml:space="preserve"> i dop</w:t>
      </w:r>
      <w:r w:rsidR="00ED3016" w:rsidRPr="006A22D3">
        <w:rPr>
          <w:noProof/>
        </w:rPr>
        <w:t>rowadziły do powstania szkody.</w:t>
      </w:r>
      <w:r w:rsidR="00192E90" w:rsidRPr="006A22D3">
        <w:rPr>
          <w:noProof/>
        </w:rPr>
        <w:t xml:space="preserve"> </w:t>
      </w:r>
    </w:p>
    <w:p w:rsidR="005A26E2" w:rsidRPr="006A22D3" w:rsidRDefault="00D91F29" w:rsidP="00D91F29">
      <w:pPr>
        <w:pStyle w:val="ManualConsidrant"/>
        <w:rPr>
          <w:noProof/>
        </w:rPr>
      </w:pPr>
      <w:r w:rsidRPr="00D91F29">
        <w:t>(57)</w:t>
      </w:r>
      <w:r w:rsidRPr="00D91F29">
        <w:tab/>
      </w:r>
      <w:r w:rsidR="005A26E2" w:rsidRPr="006A22D3">
        <w:rPr>
          <w:noProof/>
        </w:rPr>
        <w:tab/>
      </w:r>
      <w:r w:rsidR="005A26E2" w:rsidRPr="006A22D3">
        <w:rPr>
          <w:noProof/>
        </w:rPr>
        <w:tab/>
        <w:t>Jeśli chodzi</w:t>
      </w:r>
      <w:r w:rsidR="006A22D3" w:rsidRPr="006A22D3">
        <w:rPr>
          <w:noProof/>
        </w:rPr>
        <w:t xml:space="preserve"> o szk</w:t>
      </w:r>
      <w:r w:rsidR="005A26E2" w:rsidRPr="006A22D3">
        <w:rPr>
          <w:noProof/>
        </w:rPr>
        <w:t>ody powstałe na poziomie stałych pośrednich relacji biznesowych, odpowiedzialność przedsiębiorstwa powinna podlegać szczególnym warunkom. Przedsiębiorstwo nie powinno ponosić odpowiedzialności, jeśli wprowadziło określone środki</w:t>
      </w:r>
      <w:r w:rsidR="006A22D3" w:rsidRPr="006A22D3">
        <w:rPr>
          <w:noProof/>
        </w:rPr>
        <w:t xml:space="preserve"> w zak</w:t>
      </w:r>
      <w:r w:rsidR="005A26E2" w:rsidRPr="006A22D3">
        <w:rPr>
          <w:noProof/>
        </w:rPr>
        <w:t>resie należytej staranności. Nie powinno jednak być zwolnione</w:t>
      </w:r>
      <w:r w:rsidR="006A22D3" w:rsidRPr="006A22D3">
        <w:rPr>
          <w:noProof/>
        </w:rPr>
        <w:t xml:space="preserve"> z odp</w:t>
      </w:r>
      <w:r w:rsidR="005A26E2" w:rsidRPr="006A22D3">
        <w:rPr>
          <w:noProof/>
        </w:rPr>
        <w:t>owiedzialności</w:t>
      </w:r>
      <w:r w:rsidR="006A22D3" w:rsidRPr="006A22D3">
        <w:rPr>
          <w:noProof/>
        </w:rPr>
        <w:t xml:space="preserve"> w zwi</w:t>
      </w:r>
      <w:r w:rsidR="005A26E2" w:rsidRPr="006A22D3">
        <w:rPr>
          <w:noProof/>
        </w:rPr>
        <w:t>ązku</w:t>
      </w:r>
      <w:r w:rsidR="006A22D3" w:rsidRPr="006A22D3">
        <w:rPr>
          <w:noProof/>
        </w:rPr>
        <w:t xml:space="preserve"> z wdr</w:t>
      </w:r>
      <w:r w:rsidR="005A26E2" w:rsidRPr="006A22D3">
        <w:rPr>
          <w:noProof/>
        </w:rPr>
        <w:t>ożeniem takich środków, jeśli nie można było racjonalnie oczekiwać, że faktycznie podjęte działania,</w:t>
      </w:r>
      <w:r w:rsidR="006A22D3" w:rsidRPr="006A22D3">
        <w:rPr>
          <w:noProof/>
        </w:rPr>
        <w:t xml:space="preserve"> w tym w zak</w:t>
      </w:r>
      <w:r w:rsidR="005A26E2" w:rsidRPr="006A22D3">
        <w:rPr>
          <w:noProof/>
        </w:rPr>
        <w:t>resie weryfikacji przestrzegania przepisów, będą odpowiednie do tego, aby zapobiec tym niekorzystnym skutkom, złagodzić je, powstrzymać lub zminimalizować. Ponadto</w:t>
      </w:r>
      <w:r w:rsidR="006A22D3" w:rsidRPr="006A22D3">
        <w:rPr>
          <w:noProof/>
        </w:rPr>
        <w:t xml:space="preserve"> w oce</w:t>
      </w:r>
      <w:r w:rsidR="005A26E2" w:rsidRPr="006A22D3">
        <w:rPr>
          <w:noProof/>
        </w:rPr>
        <w:t>nie istnienia</w:t>
      </w:r>
      <w:r w:rsidR="006A22D3" w:rsidRPr="006A22D3">
        <w:rPr>
          <w:noProof/>
        </w:rPr>
        <w:t xml:space="preserve"> i zak</w:t>
      </w:r>
      <w:r w:rsidR="005A26E2" w:rsidRPr="006A22D3">
        <w:rPr>
          <w:noProof/>
        </w:rPr>
        <w:t>resu odpowiedzialności należy należycie uwzględnić podjęte dotychczas starania przedsiębiorstwa –</w:t>
      </w:r>
      <w:r w:rsidR="006A22D3" w:rsidRPr="006A22D3">
        <w:rPr>
          <w:noProof/>
        </w:rPr>
        <w:t xml:space="preserve"> w zak</w:t>
      </w:r>
      <w:r w:rsidR="005A26E2" w:rsidRPr="006A22D3">
        <w:rPr>
          <w:noProof/>
        </w:rPr>
        <w:t>resie,</w:t>
      </w:r>
      <w:r w:rsidR="006A22D3" w:rsidRPr="006A22D3">
        <w:rPr>
          <w:noProof/>
        </w:rPr>
        <w:t xml:space="preserve"> w jak</w:t>
      </w:r>
      <w:r w:rsidR="005A26E2" w:rsidRPr="006A22D3">
        <w:rPr>
          <w:noProof/>
        </w:rPr>
        <w:t>im dotyczą bezpośrednio przedmiotowej szkody –</w:t>
      </w:r>
      <w:r w:rsidR="006A22D3" w:rsidRPr="006A22D3">
        <w:rPr>
          <w:noProof/>
        </w:rPr>
        <w:t xml:space="preserve"> w cel</w:t>
      </w:r>
      <w:r w:rsidR="005A26E2" w:rsidRPr="006A22D3">
        <w:rPr>
          <w:noProof/>
        </w:rPr>
        <w:t>u podjęcia wszelkich działań zaradczych wymaganych od niego przez organ nadzorczy, wszelkie dokonane inwestycje</w:t>
      </w:r>
      <w:r w:rsidR="006A22D3" w:rsidRPr="006A22D3">
        <w:rPr>
          <w:noProof/>
        </w:rPr>
        <w:t xml:space="preserve"> i uki</w:t>
      </w:r>
      <w:r w:rsidR="005A26E2" w:rsidRPr="006A22D3">
        <w:rPr>
          <w:noProof/>
        </w:rPr>
        <w:t>erunkowane udzielone wsparcie,</w:t>
      </w:r>
      <w:r w:rsidR="006A22D3" w:rsidRPr="006A22D3">
        <w:rPr>
          <w:noProof/>
        </w:rPr>
        <w:t xml:space="preserve"> a tak</w:t>
      </w:r>
      <w:r w:rsidR="005A26E2" w:rsidRPr="006A22D3">
        <w:rPr>
          <w:noProof/>
        </w:rPr>
        <w:t>że współpracę</w:t>
      </w:r>
      <w:r w:rsidR="006A22D3" w:rsidRPr="006A22D3">
        <w:rPr>
          <w:noProof/>
        </w:rPr>
        <w:t xml:space="preserve"> z inn</w:t>
      </w:r>
      <w:r w:rsidR="005A26E2" w:rsidRPr="006A22D3">
        <w:rPr>
          <w:noProof/>
        </w:rPr>
        <w:t>ymi podmiotami</w:t>
      </w:r>
      <w:r w:rsidR="006A22D3" w:rsidRPr="006A22D3">
        <w:rPr>
          <w:noProof/>
        </w:rPr>
        <w:t xml:space="preserve"> w cel</w:t>
      </w:r>
      <w:r w:rsidR="005A26E2" w:rsidRPr="006A22D3">
        <w:rPr>
          <w:noProof/>
        </w:rPr>
        <w:t>u przeciwdziałania niekorzystnym skutkom</w:t>
      </w:r>
      <w:r w:rsidR="006A22D3" w:rsidRPr="006A22D3">
        <w:rPr>
          <w:noProof/>
        </w:rPr>
        <w:t xml:space="preserve"> w łań</w:t>
      </w:r>
      <w:r w:rsidR="005A26E2" w:rsidRPr="006A22D3">
        <w:rPr>
          <w:noProof/>
        </w:rPr>
        <w:t>cuchach wartości.</w:t>
      </w:r>
    </w:p>
    <w:p w:rsidR="00C263A3" w:rsidRPr="006A22D3" w:rsidRDefault="00D91F29" w:rsidP="00D91F29">
      <w:pPr>
        <w:pStyle w:val="ManualConsidrant"/>
        <w:rPr>
          <w:noProof/>
        </w:rPr>
      </w:pPr>
      <w:r w:rsidRPr="00D91F29">
        <w:t>(58)</w:t>
      </w:r>
      <w:r w:rsidRPr="00D91F29">
        <w:tab/>
      </w:r>
      <w:r w:rsidR="005044BC" w:rsidRPr="006A22D3">
        <w:rPr>
          <w:noProof/>
        </w:rPr>
        <w:t>System odpowiedzialności nie reguluje, kto powinien udowodnić, że działanie przedsiębiorstwa było zasadnie adekwatne do okoliczności danego przypadku, dlatego kwestię tę pozostawiono</w:t>
      </w:r>
      <w:r w:rsidR="006A22D3" w:rsidRPr="006A22D3">
        <w:rPr>
          <w:noProof/>
        </w:rPr>
        <w:t xml:space="preserve"> w ges</w:t>
      </w:r>
      <w:r w:rsidR="005044BC" w:rsidRPr="006A22D3">
        <w:rPr>
          <w:noProof/>
        </w:rPr>
        <w:t xml:space="preserve">tii prawa krajowego. </w:t>
      </w:r>
    </w:p>
    <w:p w:rsidR="00B91870" w:rsidRPr="006A22D3" w:rsidRDefault="00D91F29" w:rsidP="00D91F29">
      <w:pPr>
        <w:pStyle w:val="ManualConsidrant"/>
        <w:rPr>
          <w:noProof/>
        </w:rPr>
      </w:pPr>
      <w:r w:rsidRPr="00D91F29">
        <w:t>(59)</w:t>
      </w:r>
      <w:r w:rsidRPr="00D91F29">
        <w:tab/>
      </w:r>
      <w:r w:rsidR="00B91870" w:rsidRPr="006A22D3">
        <w:rPr>
          <w:noProof/>
        </w:rPr>
        <w:t>Jeśli chodzi</w:t>
      </w:r>
      <w:r w:rsidR="006A22D3" w:rsidRPr="006A22D3">
        <w:rPr>
          <w:noProof/>
        </w:rPr>
        <w:t xml:space="preserve"> o zas</w:t>
      </w:r>
      <w:r w:rsidR="00B91870" w:rsidRPr="006A22D3">
        <w:rPr>
          <w:noProof/>
        </w:rPr>
        <w:t>ady odpowiedzialności cywilnej, odpowiedzialność cywilna przedsiębiorstwa za szkody powstałe</w:t>
      </w:r>
      <w:r w:rsidR="006A22D3" w:rsidRPr="006A22D3">
        <w:rPr>
          <w:noProof/>
        </w:rPr>
        <w:t xml:space="preserve"> w wyn</w:t>
      </w:r>
      <w:r w:rsidR="00B91870" w:rsidRPr="006A22D3">
        <w:rPr>
          <w:noProof/>
        </w:rPr>
        <w:t>iku niezachowania należytej staranności powinna pozostawać bez uszczerbku dla odpowiedzialności cywilnej jego jednostek zależnych oraz odpowiedzialności cywilnej bezpośrednich</w:t>
      </w:r>
      <w:r w:rsidR="006A22D3" w:rsidRPr="006A22D3">
        <w:rPr>
          <w:noProof/>
        </w:rPr>
        <w:t xml:space="preserve"> i poś</w:t>
      </w:r>
      <w:r w:rsidR="00B91870" w:rsidRPr="006A22D3">
        <w:rPr>
          <w:noProof/>
        </w:rPr>
        <w:t>rednich partnerów biznesowych</w:t>
      </w:r>
      <w:r w:rsidR="006A22D3" w:rsidRPr="006A22D3">
        <w:rPr>
          <w:noProof/>
        </w:rPr>
        <w:t xml:space="preserve"> w łań</w:t>
      </w:r>
      <w:r w:rsidR="00B91870" w:rsidRPr="006A22D3">
        <w:rPr>
          <w:noProof/>
        </w:rPr>
        <w:t>cuchu wartości. Ponadto zasady odpowiedzialności cywilnej wynikające</w:t>
      </w:r>
      <w:r w:rsidR="006A22D3" w:rsidRPr="006A22D3">
        <w:rPr>
          <w:noProof/>
        </w:rPr>
        <w:t xml:space="preserve"> z nin</w:t>
      </w:r>
      <w:r w:rsidR="00B91870" w:rsidRPr="006A22D3">
        <w:rPr>
          <w:noProof/>
        </w:rPr>
        <w:t>iejszej dyrektywy powinny pozostawać bez uszczerbku dla unijnych lub krajowych przepisów dotyczących odpowiedzialności cywilnej związanej</w:t>
      </w:r>
      <w:r w:rsidR="006A22D3" w:rsidRPr="006A22D3">
        <w:rPr>
          <w:noProof/>
        </w:rPr>
        <w:t xml:space="preserve"> z nie</w:t>
      </w:r>
      <w:r w:rsidR="00B91870" w:rsidRPr="006A22D3">
        <w:rPr>
          <w:noProof/>
        </w:rPr>
        <w:t>korzystnymi skutkami dla praw człowieka lub niekorzystnymi skutkami dla środowiska, które przewidują odpowiedzialność</w:t>
      </w:r>
      <w:r w:rsidR="006A22D3" w:rsidRPr="006A22D3">
        <w:rPr>
          <w:noProof/>
        </w:rPr>
        <w:t xml:space="preserve"> w syt</w:t>
      </w:r>
      <w:r w:rsidR="00B91870" w:rsidRPr="006A22D3">
        <w:rPr>
          <w:noProof/>
        </w:rPr>
        <w:t>uacjach nieobjętych niniejszą dyrektywą lub przewidujących odpowiedzialność surowszą niż niniejsza dyrektywa.</w:t>
      </w:r>
    </w:p>
    <w:p w:rsidR="00B63F97" w:rsidRPr="006A22D3" w:rsidRDefault="00D91F29" w:rsidP="00D91F29">
      <w:pPr>
        <w:pStyle w:val="ManualConsidrant"/>
        <w:rPr>
          <w:noProof/>
        </w:rPr>
      </w:pPr>
      <w:r w:rsidRPr="00D91F29">
        <w:t>(60)</w:t>
      </w:r>
      <w:r w:rsidRPr="00D91F29">
        <w:tab/>
      </w:r>
      <w:r w:rsidR="00ED3016" w:rsidRPr="006A22D3">
        <w:rPr>
          <w:noProof/>
        </w:rPr>
        <w:t>Jeśli chodzi</w:t>
      </w:r>
      <w:r w:rsidR="006A22D3" w:rsidRPr="006A22D3">
        <w:rPr>
          <w:noProof/>
        </w:rPr>
        <w:t xml:space="preserve"> o odp</w:t>
      </w:r>
      <w:r w:rsidR="00ED3016" w:rsidRPr="006A22D3">
        <w:rPr>
          <w:noProof/>
        </w:rPr>
        <w:t>owiedzialność cywilną wynikającą</w:t>
      </w:r>
      <w:r w:rsidR="006A22D3" w:rsidRPr="006A22D3">
        <w:rPr>
          <w:noProof/>
        </w:rPr>
        <w:t xml:space="preserve"> z nie</w:t>
      </w:r>
      <w:r w:rsidR="00ED3016" w:rsidRPr="006A22D3">
        <w:rPr>
          <w:noProof/>
        </w:rPr>
        <w:t>korzystnych skutków dla środowiska, osoby, które ponoszą szkodę, mogą dochodzić rekompensaty na podstawie niniejszej dyrektywy, nawet jeśli ich roszczenia pokrywają się</w:t>
      </w:r>
      <w:r w:rsidR="006A22D3" w:rsidRPr="006A22D3">
        <w:rPr>
          <w:noProof/>
        </w:rPr>
        <w:t xml:space="preserve"> z ros</w:t>
      </w:r>
      <w:r w:rsidR="00ED3016" w:rsidRPr="006A22D3">
        <w:rPr>
          <w:noProof/>
        </w:rPr>
        <w:t>zczeniami związanymi</w:t>
      </w:r>
      <w:r w:rsidR="006A22D3" w:rsidRPr="006A22D3">
        <w:rPr>
          <w:noProof/>
        </w:rPr>
        <w:t xml:space="preserve"> z pra</w:t>
      </w:r>
      <w:r w:rsidR="00ED3016" w:rsidRPr="006A22D3">
        <w:rPr>
          <w:noProof/>
        </w:rPr>
        <w:t xml:space="preserve">wami człowieka. </w:t>
      </w:r>
    </w:p>
    <w:p w:rsidR="00014836" w:rsidRPr="006A22D3" w:rsidRDefault="00D91F29" w:rsidP="00D91F29">
      <w:pPr>
        <w:pStyle w:val="ManualConsidrant"/>
        <w:rPr>
          <w:noProof/>
        </w:rPr>
      </w:pPr>
      <w:r w:rsidRPr="00D91F29">
        <w:t>(61)</w:t>
      </w:r>
      <w:r w:rsidRPr="00D91F29">
        <w:tab/>
      </w:r>
      <w:r w:rsidR="00014836" w:rsidRPr="006A22D3">
        <w:rPr>
          <w:noProof/>
        </w:rPr>
        <w:t>W celu zapewnienia ofiarom szkód</w:t>
      </w:r>
      <w:r w:rsidR="006A22D3" w:rsidRPr="006A22D3">
        <w:rPr>
          <w:noProof/>
        </w:rPr>
        <w:t xml:space="preserve"> w zak</w:t>
      </w:r>
      <w:r w:rsidR="00014836" w:rsidRPr="006A22D3">
        <w:rPr>
          <w:noProof/>
        </w:rPr>
        <w:t>resie praw człowieka</w:t>
      </w:r>
      <w:r w:rsidR="006A22D3" w:rsidRPr="006A22D3">
        <w:rPr>
          <w:noProof/>
        </w:rPr>
        <w:t xml:space="preserve"> i śro</w:t>
      </w:r>
      <w:r w:rsidR="00014836" w:rsidRPr="006A22D3">
        <w:rPr>
          <w:noProof/>
        </w:rPr>
        <w:t>dowiska możliwości wniesienia powództwa</w:t>
      </w:r>
      <w:r w:rsidR="006A22D3" w:rsidRPr="006A22D3">
        <w:rPr>
          <w:noProof/>
        </w:rPr>
        <w:t xml:space="preserve"> o ods</w:t>
      </w:r>
      <w:r w:rsidR="00014836" w:rsidRPr="006A22D3">
        <w:rPr>
          <w:noProof/>
        </w:rPr>
        <w:t>zkodowanie</w:t>
      </w:r>
      <w:r w:rsidR="006A22D3" w:rsidRPr="006A22D3">
        <w:rPr>
          <w:noProof/>
        </w:rPr>
        <w:t xml:space="preserve"> i żąd</w:t>
      </w:r>
      <w:r w:rsidR="00014836" w:rsidRPr="006A22D3">
        <w:rPr>
          <w:noProof/>
        </w:rPr>
        <w:t>ania odszkodowania</w:t>
      </w:r>
      <w:r w:rsidR="006A22D3" w:rsidRPr="006A22D3">
        <w:rPr>
          <w:noProof/>
        </w:rPr>
        <w:t xml:space="preserve"> w zwi</w:t>
      </w:r>
      <w:r w:rsidR="00014836" w:rsidRPr="006A22D3">
        <w:rPr>
          <w:noProof/>
        </w:rPr>
        <w:t>ązku</w:t>
      </w:r>
      <w:r w:rsidR="006A22D3" w:rsidRPr="006A22D3">
        <w:rPr>
          <w:noProof/>
        </w:rPr>
        <w:t xml:space="preserve"> z nie</w:t>
      </w:r>
      <w:r w:rsidR="00014836" w:rsidRPr="006A22D3">
        <w:rPr>
          <w:noProof/>
        </w:rPr>
        <w:t>wypełnieniem przez przedsiębiorstwo obowiązków</w:t>
      </w:r>
      <w:r w:rsidR="006A22D3" w:rsidRPr="006A22D3">
        <w:rPr>
          <w:noProof/>
        </w:rPr>
        <w:t xml:space="preserve"> w zak</w:t>
      </w:r>
      <w:r w:rsidR="00014836" w:rsidRPr="006A22D3">
        <w:rPr>
          <w:noProof/>
        </w:rPr>
        <w:t>resie należytej staranności wynikających</w:t>
      </w:r>
      <w:r w:rsidR="006A22D3" w:rsidRPr="006A22D3">
        <w:rPr>
          <w:noProof/>
        </w:rPr>
        <w:t xml:space="preserve"> z nin</w:t>
      </w:r>
      <w:r w:rsidR="00014836" w:rsidRPr="006A22D3">
        <w:rPr>
          <w:noProof/>
        </w:rPr>
        <w:t>iejszej dyrektywy, nawet jeśli prawo właściwe dla takich roszczeń nie jest prawem państwa członkowskiego, co może się na przykład zdarzyć zgodnie</w:t>
      </w:r>
      <w:r w:rsidR="006A22D3" w:rsidRPr="006A22D3">
        <w:rPr>
          <w:noProof/>
        </w:rPr>
        <w:t xml:space="preserve"> z zas</w:t>
      </w:r>
      <w:r w:rsidR="00014836" w:rsidRPr="006A22D3">
        <w:rPr>
          <w:noProof/>
        </w:rPr>
        <w:t>adami międzynarodowego prawa prywatnego, gdy szkoda ma miejsce</w:t>
      </w:r>
      <w:r w:rsidR="006A22D3" w:rsidRPr="006A22D3">
        <w:rPr>
          <w:noProof/>
        </w:rPr>
        <w:t xml:space="preserve"> w pań</w:t>
      </w:r>
      <w:r w:rsidR="00014836" w:rsidRPr="006A22D3">
        <w:rPr>
          <w:noProof/>
        </w:rPr>
        <w:t>stwie trzecim,</w:t>
      </w:r>
      <w:r w:rsidR="006A22D3" w:rsidRPr="006A22D3">
        <w:rPr>
          <w:noProof/>
        </w:rPr>
        <w:t xml:space="preserve"> w nin</w:t>
      </w:r>
      <w:r w:rsidR="00014836" w:rsidRPr="006A22D3">
        <w:rPr>
          <w:noProof/>
        </w:rPr>
        <w:t>iejszej dyrektywie należy zobowiązać państwa członkowskie do zapewnienia, aby odpowiedzialność przewidziana</w:t>
      </w:r>
      <w:r w:rsidR="006A22D3" w:rsidRPr="006A22D3">
        <w:rPr>
          <w:noProof/>
        </w:rPr>
        <w:t xml:space="preserve"> w prz</w:t>
      </w:r>
      <w:r w:rsidR="00014836" w:rsidRPr="006A22D3">
        <w:rPr>
          <w:noProof/>
        </w:rPr>
        <w:t>episach prawa krajowego transponujących ten artykuł miała nadrzędne, bezwzględnie obowiązujące zastosowanie</w:t>
      </w:r>
      <w:r w:rsidR="006A22D3" w:rsidRPr="006A22D3">
        <w:rPr>
          <w:noProof/>
        </w:rPr>
        <w:t xml:space="preserve"> w prz</w:t>
      </w:r>
      <w:r w:rsidR="00014836" w:rsidRPr="006A22D3">
        <w:rPr>
          <w:noProof/>
        </w:rPr>
        <w:t>ypadkach, gdy prawo właściwe dla roszczeń</w:t>
      </w:r>
      <w:r w:rsidR="006A22D3" w:rsidRPr="006A22D3">
        <w:rPr>
          <w:noProof/>
        </w:rPr>
        <w:t xml:space="preserve"> w tym</w:t>
      </w:r>
      <w:r w:rsidR="00014836" w:rsidRPr="006A22D3">
        <w:rPr>
          <w:noProof/>
        </w:rPr>
        <w:t xml:space="preserve"> zakresie nie jest prawem państwa członkowskiego. </w:t>
      </w:r>
    </w:p>
    <w:p w:rsidR="00ED3016" w:rsidRPr="006A22D3" w:rsidRDefault="00D91F29" w:rsidP="00D91F29">
      <w:pPr>
        <w:pStyle w:val="ManualConsidrant"/>
        <w:rPr>
          <w:noProof/>
        </w:rPr>
      </w:pPr>
      <w:r w:rsidRPr="00D91F29">
        <w:t>(62)</w:t>
      </w:r>
      <w:r w:rsidRPr="00D91F29">
        <w:tab/>
      </w:r>
      <w:r w:rsidR="00B63F97" w:rsidRPr="006A22D3">
        <w:rPr>
          <w:noProof/>
        </w:rPr>
        <w:t>System odpowiedzialności cywilnej przewidziany</w:t>
      </w:r>
      <w:r w:rsidR="006A22D3" w:rsidRPr="006A22D3">
        <w:rPr>
          <w:noProof/>
        </w:rPr>
        <w:t xml:space="preserve"> w nin</w:t>
      </w:r>
      <w:r w:rsidR="00B63F97" w:rsidRPr="006A22D3">
        <w:rPr>
          <w:noProof/>
        </w:rPr>
        <w:t>iejszej dyrektywie powinien pozostawać bez uszczerbku dla dyrektywy 2004/35/WE</w:t>
      </w:r>
      <w:r w:rsidR="006A22D3" w:rsidRPr="006A22D3">
        <w:rPr>
          <w:noProof/>
        </w:rPr>
        <w:t xml:space="preserve"> w spr</w:t>
      </w:r>
      <w:r w:rsidR="00B63F97" w:rsidRPr="006A22D3">
        <w:rPr>
          <w:noProof/>
        </w:rPr>
        <w:t>awie odpowiedzialności za środowisko. Niniejsza dyrektywa nie powinna uniemożliwiać państwom członkowskim nakładania dalszych, bardziej rygorystycznych obowiązków na przedsiębiorstwa lub wprowadzania</w:t>
      </w:r>
      <w:r w:rsidR="006A22D3" w:rsidRPr="006A22D3">
        <w:rPr>
          <w:noProof/>
        </w:rPr>
        <w:t xml:space="preserve"> w inn</w:t>
      </w:r>
      <w:r w:rsidR="00B63F97" w:rsidRPr="006A22D3">
        <w:rPr>
          <w:noProof/>
        </w:rPr>
        <w:t xml:space="preserve">y sposób dalszych środków mających te same cele co wspomniana dyrektywa. </w:t>
      </w:r>
    </w:p>
    <w:p w:rsidR="008924AF" w:rsidRPr="006A22D3" w:rsidRDefault="00D91F29" w:rsidP="00D91F29">
      <w:pPr>
        <w:pStyle w:val="ManualConsidrant"/>
        <w:rPr>
          <w:noProof/>
        </w:rPr>
      </w:pPr>
      <w:r w:rsidRPr="00D91F29">
        <w:t>(63)</w:t>
      </w:r>
      <w:r w:rsidRPr="00D91F29">
        <w:tab/>
      </w:r>
      <w:r w:rsidR="008924AF" w:rsidRPr="006A22D3">
        <w:rPr>
          <w:noProof/>
        </w:rPr>
        <w:t>Zgodnie</w:t>
      </w:r>
      <w:r w:rsidR="006A22D3" w:rsidRPr="006A22D3">
        <w:rPr>
          <w:noProof/>
        </w:rPr>
        <w:t xml:space="preserve"> z pra</w:t>
      </w:r>
      <w:r w:rsidR="008924AF" w:rsidRPr="006A22D3">
        <w:rPr>
          <w:noProof/>
        </w:rPr>
        <w:t>wem krajowym wszystkich państw członkowskich na dyrektorach spoczywa obowiązek dbałości wobec przedsiębiorstwa</w:t>
      </w:r>
      <w:r w:rsidR="006A22D3" w:rsidRPr="006A22D3">
        <w:rPr>
          <w:noProof/>
        </w:rPr>
        <w:t>. W cel</w:t>
      </w:r>
      <w:r w:rsidR="008924AF" w:rsidRPr="006A22D3">
        <w:rPr>
          <w:noProof/>
        </w:rPr>
        <w:t>u zapewnienia, aby ten ogólny obowiązek rozumiano</w:t>
      </w:r>
      <w:r w:rsidR="006A22D3" w:rsidRPr="006A22D3">
        <w:rPr>
          <w:noProof/>
        </w:rPr>
        <w:t xml:space="preserve"> i sto</w:t>
      </w:r>
      <w:r w:rsidR="008924AF" w:rsidRPr="006A22D3">
        <w:rPr>
          <w:noProof/>
        </w:rPr>
        <w:t>sowano</w:t>
      </w:r>
      <w:r w:rsidR="006A22D3" w:rsidRPr="006A22D3">
        <w:rPr>
          <w:noProof/>
        </w:rPr>
        <w:t xml:space="preserve"> w spo</w:t>
      </w:r>
      <w:r w:rsidR="008924AF" w:rsidRPr="006A22D3">
        <w:rPr>
          <w:noProof/>
        </w:rPr>
        <w:t>sób spójny</w:t>
      </w:r>
      <w:r w:rsidR="006A22D3" w:rsidRPr="006A22D3">
        <w:rPr>
          <w:noProof/>
        </w:rPr>
        <w:t xml:space="preserve"> i zgo</w:t>
      </w:r>
      <w:r w:rsidR="008924AF" w:rsidRPr="006A22D3">
        <w:rPr>
          <w:noProof/>
        </w:rPr>
        <w:t>dny</w:t>
      </w:r>
      <w:r w:rsidR="006A22D3" w:rsidRPr="006A22D3">
        <w:rPr>
          <w:noProof/>
        </w:rPr>
        <w:t xml:space="preserve"> z obo</w:t>
      </w:r>
      <w:r w:rsidR="008924AF" w:rsidRPr="006A22D3">
        <w:rPr>
          <w:noProof/>
        </w:rPr>
        <w:t>wiązkami</w:t>
      </w:r>
      <w:r w:rsidR="006A22D3" w:rsidRPr="006A22D3">
        <w:rPr>
          <w:noProof/>
        </w:rPr>
        <w:t xml:space="preserve"> w zak</w:t>
      </w:r>
      <w:r w:rsidR="008924AF" w:rsidRPr="006A22D3">
        <w:rPr>
          <w:noProof/>
        </w:rPr>
        <w:t>resie należytej staranności wprowadzonymi niniejszą dyrektywą oraz aby dyrektorzy</w:t>
      </w:r>
      <w:r w:rsidR="006A22D3" w:rsidRPr="006A22D3">
        <w:rPr>
          <w:noProof/>
        </w:rPr>
        <w:t xml:space="preserve"> w swo</w:t>
      </w:r>
      <w:r w:rsidR="008924AF" w:rsidRPr="006A22D3">
        <w:rPr>
          <w:noProof/>
        </w:rPr>
        <w:t>ich decyzjach systematycznie uwzględniali kwestie zrównoważonego rozwoju,</w:t>
      </w:r>
      <w:r w:rsidR="006A22D3" w:rsidRPr="006A22D3">
        <w:rPr>
          <w:noProof/>
        </w:rPr>
        <w:t xml:space="preserve"> w nin</w:t>
      </w:r>
      <w:r w:rsidR="008924AF" w:rsidRPr="006A22D3">
        <w:rPr>
          <w:noProof/>
        </w:rPr>
        <w:t>iejszej dyrektywie należy wyjaśnić,</w:t>
      </w:r>
      <w:r w:rsidR="006A22D3" w:rsidRPr="006A22D3">
        <w:rPr>
          <w:noProof/>
        </w:rPr>
        <w:t xml:space="preserve"> w spo</w:t>
      </w:r>
      <w:r w:rsidR="008924AF" w:rsidRPr="006A22D3">
        <w:rPr>
          <w:noProof/>
        </w:rPr>
        <w:t>sób zharmonizowany, ogólny obowiązek dbałości dyrektorów</w:t>
      </w:r>
      <w:r w:rsidR="006A22D3" w:rsidRPr="006A22D3">
        <w:rPr>
          <w:noProof/>
        </w:rPr>
        <w:t xml:space="preserve"> o dzi</w:t>
      </w:r>
      <w:r w:rsidR="008924AF" w:rsidRPr="006A22D3">
        <w:rPr>
          <w:noProof/>
        </w:rPr>
        <w:t>ałanie</w:t>
      </w:r>
      <w:r w:rsidR="006A22D3" w:rsidRPr="006A22D3">
        <w:rPr>
          <w:noProof/>
        </w:rPr>
        <w:t xml:space="preserve"> w naj</w:t>
      </w:r>
      <w:r w:rsidR="008924AF" w:rsidRPr="006A22D3">
        <w:rPr>
          <w:noProof/>
        </w:rPr>
        <w:t>lepszym interesie przedsiębiorstwa, stanowiąc, aby dyrektorzy brali pod uwagę kwestie zrównoważonego rozwoju,</w:t>
      </w:r>
      <w:r w:rsidR="006A22D3" w:rsidRPr="006A22D3">
        <w:rPr>
          <w:noProof/>
        </w:rPr>
        <w:t xml:space="preserve"> o któ</w:t>
      </w:r>
      <w:r w:rsidR="008924AF" w:rsidRPr="006A22D3">
        <w:rPr>
          <w:noProof/>
        </w:rPr>
        <w:t>rych mowa</w:t>
      </w:r>
      <w:r w:rsidR="006A22D3" w:rsidRPr="006A22D3">
        <w:rPr>
          <w:noProof/>
        </w:rPr>
        <w:t xml:space="preserve"> w dyr</w:t>
      </w:r>
      <w:r w:rsidR="008924AF" w:rsidRPr="006A22D3">
        <w:rPr>
          <w:noProof/>
        </w:rPr>
        <w:t>ektywie 2013/34/UE,</w:t>
      </w:r>
      <w:r w:rsidR="006A22D3" w:rsidRPr="006A22D3">
        <w:rPr>
          <w:noProof/>
        </w:rPr>
        <w:t xml:space="preserve"> w tym</w:t>
      </w:r>
      <w:r w:rsidR="008924AF" w:rsidRPr="006A22D3">
        <w:rPr>
          <w:noProof/>
        </w:rPr>
        <w:t>,</w:t>
      </w:r>
      <w:r w:rsidR="006A22D3" w:rsidRPr="006A22D3">
        <w:rPr>
          <w:noProof/>
        </w:rPr>
        <w:t xml:space="preserve"> w sto</w:t>
      </w:r>
      <w:r w:rsidR="008924AF" w:rsidRPr="006A22D3">
        <w:rPr>
          <w:noProof/>
        </w:rPr>
        <w:t>sownych przypadkach, prawa człowieka, zmianę klimatu</w:t>
      </w:r>
      <w:r w:rsidR="006A22D3" w:rsidRPr="006A22D3">
        <w:rPr>
          <w:noProof/>
        </w:rPr>
        <w:t xml:space="preserve"> i kon</w:t>
      </w:r>
      <w:r w:rsidR="008924AF" w:rsidRPr="006A22D3">
        <w:rPr>
          <w:noProof/>
        </w:rPr>
        <w:t>sekwencje dla środowiska,</w:t>
      </w:r>
      <w:r w:rsidR="006A22D3" w:rsidRPr="006A22D3">
        <w:rPr>
          <w:noProof/>
        </w:rPr>
        <w:t xml:space="preserve"> w tym w per</w:t>
      </w:r>
      <w:r w:rsidR="008924AF" w:rsidRPr="006A22D3">
        <w:rPr>
          <w:noProof/>
        </w:rPr>
        <w:t>spektywie krótko-, średnio-</w:t>
      </w:r>
      <w:r w:rsidR="006A22D3" w:rsidRPr="006A22D3">
        <w:rPr>
          <w:noProof/>
        </w:rPr>
        <w:t xml:space="preserve"> i dłu</w:t>
      </w:r>
      <w:r w:rsidR="008924AF" w:rsidRPr="006A22D3">
        <w:rPr>
          <w:noProof/>
        </w:rPr>
        <w:t xml:space="preserve">goterminowej. Takie wyjaśnienie nie wymaga zmiany istniejących krajowych struktur korporacyjnych. </w:t>
      </w:r>
    </w:p>
    <w:p w:rsidR="0076335A" w:rsidRPr="006A22D3" w:rsidRDefault="00D91F29" w:rsidP="00D91F29">
      <w:pPr>
        <w:pStyle w:val="ManualConsidrant"/>
        <w:rPr>
          <w:noProof/>
        </w:rPr>
      </w:pPr>
      <w:r w:rsidRPr="00D91F29">
        <w:t>(64)</w:t>
      </w:r>
      <w:r w:rsidRPr="00D91F29">
        <w:tab/>
      </w:r>
      <w:r w:rsidR="0076335A" w:rsidRPr="006A22D3">
        <w:rPr>
          <w:noProof/>
        </w:rPr>
        <w:t>Odpowiedzialność za zachowanie należytej staranności powinna spoczywać na dyrektorach przedsiębiorstwa zgodnie</w:t>
      </w:r>
      <w:r w:rsidR="006A22D3" w:rsidRPr="006A22D3">
        <w:rPr>
          <w:noProof/>
        </w:rPr>
        <w:t xml:space="preserve"> z mię</w:t>
      </w:r>
      <w:r w:rsidR="0076335A" w:rsidRPr="006A22D3">
        <w:rPr>
          <w:noProof/>
        </w:rPr>
        <w:t>dzynarodowymi ramami należytej staranności. Dyrektorzy powinni być zatem odpowiedzialni za wprowadzenie</w:t>
      </w:r>
      <w:r w:rsidR="006A22D3" w:rsidRPr="006A22D3">
        <w:rPr>
          <w:noProof/>
        </w:rPr>
        <w:t xml:space="preserve"> i nad</w:t>
      </w:r>
      <w:r w:rsidR="0076335A" w:rsidRPr="006A22D3">
        <w:rPr>
          <w:noProof/>
        </w:rPr>
        <w:t>zorowanie działań</w:t>
      </w:r>
      <w:r w:rsidR="006A22D3" w:rsidRPr="006A22D3">
        <w:rPr>
          <w:noProof/>
        </w:rPr>
        <w:t xml:space="preserve"> w zak</w:t>
      </w:r>
      <w:r w:rsidR="0076335A" w:rsidRPr="006A22D3">
        <w:rPr>
          <w:noProof/>
        </w:rPr>
        <w:t>resie należytej staranności określonych</w:t>
      </w:r>
      <w:r w:rsidR="006A22D3" w:rsidRPr="006A22D3">
        <w:rPr>
          <w:noProof/>
        </w:rPr>
        <w:t xml:space="preserve"> w nin</w:t>
      </w:r>
      <w:r w:rsidR="0076335A" w:rsidRPr="006A22D3">
        <w:rPr>
          <w:noProof/>
        </w:rPr>
        <w:t>iejszej dyrektywie oraz za przyjęcie polityki należytej staranności przedsiębiorstwa, uwzględniając wkład zainteresowanych stron</w:t>
      </w:r>
      <w:r w:rsidR="006A22D3" w:rsidRPr="006A22D3">
        <w:rPr>
          <w:noProof/>
        </w:rPr>
        <w:t xml:space="preserve"> i org</w:t>
      </w:r>
      <w:r w:rsidR="0076335A" w:rsidRPr="006A22D3">
        <w:rPr>
          <w:noProof/>
        </w:rPr>
        <w:t>anizacji społeczeństwa obywatelskiego oraz włączając należytą staranność do systemów zarządzania przedsiębiorstwem. Dyrektorzy powinni także dostosowywać strategię przedsiębiorstwa do zidentyfikowanych rzeczywistych</w:t>
      </w:r>
      <w:r w:rsidR="006A22D3" w:rsidRPr="006A22D3">
        <w:rPr>
          <w:noProof/>
        </w:rPr>
        <w:t xml:space="preserve"> i pot</w:t>
      </w:r>
      <w:r w:rsidR="0076335A" w:rsidRPr="006A22D3">
        <w:rPr>
          <w:noProof/>
        </w:rPr>
        <w:t>encjalnych skutków oraz do zastosowanych środków</w:t>
      </w:r>
      <w:r w:rsidR="006A22D3" w:rsidRPr="006A22D3">
        <w:rPr>
          <w:noProof/>
        </w:rPr>
        <w:t xml:space="preserve"> z zak</w:t>
      </w:r>
      <w:r w:rsidR="0076335A" w:rsidRPr="006A22D3">
        <w:rPr>
          <w:noProof/>
        </w:rPr>
        <w:t xml:space="preserve">resu należytej staranności. </w:t>
      </w:r>
    </w:p>
    <w:p w:rsidR="003C7FD1" w:rsidRPr="006A22D3" w:rsidRDefault="00D91F29" w:rsidP="00D91F29">
      <w:pPr>
        <w:pStyle w:val="ManualConsidrant"/>
        <w:rPr>
          <w:noProof/>
        </w:rPr>
      </w:pPr>
      <w:r w:rsidRPr="00D91F29">
        <w:t>(65)</w:t>
      </w:r>
      <w:r w:rsidRPr="00D91F29">
        <w:tab/>
      </w:r>
      <w:r w:rsidR="00ED3016" w:rsidRPr="006A22D3">
        <w:rPr>
          <w:noProof/>
        </w:rPr>
        <w:t>Osoby pracujące dla przedsiębiorstw podlegających obowiązkom</w:t>
      </w:r>
      <w:r w:rsidR="006A22D3" w:rsidRPr="006A22D3">
        <w:rPr>
          <w:noProof/>
        </w:rPr>
        <w:t xml:space="preserve"> w zak</w:t>
      </w:r>
      <w:r w:rsidR="00ED3016" w:rsidRPr="006A22D3">
        <w:rPr>
          <w:noProof/>
        </w:rPr>
        <w:t>resie należytej staranności wynikającym</w:t>
      </w:r>
      <w:r w:rsidR="006A22D3" w:rsidRPr="006A22D3">
        <w:rPr>
          <w:noProof/>
        </w:rPr>
        <w:t xml:space="preserve"> z nin</w:t>
      </w:r>
      <w:r w:rsidR="00ED3016" w:rsidRPr="006A22D3">
        <w:rPr>
          <w:noProof/>
        </w:rPr>
        <w:t>iejszej dyrektywy lub mające kontakt</w:t>
      </w:r>
      <w:r w:rsidR="006A22D3" w:rsidRPr="006A22D3">
        <w:rPr>
          <w:noProof/>
        </w:rPr>
        <w:t xml:space="preserve"> z tak</w:t>
      </w:r>
      <w:r w:rsidR="00ED3016" w:rsidRPr="006A22D3">
        <w:rPr>
          <w:noProof/>
        </w:rPr>
        <w:t>imi przedsiębiorstwami</w:t>
      </w:r>
      <w:r w:rsidR="006A22D3" w:rsidRPr="006A22D3">
        <w:rPr>
          <w:noProof/>
        </w:rPr>
        <w:t xml:space="preserve"> w kon</w:t>
      </w:r>
      <w:r w:rsidR="00ED3016" w:rsidRPr="006A22D3">
        <w:rPr>
          <w:noProof/>
        </w:rPr>
        <w:t>tekście swojej działalności zawodowej mogą odegrać kluczową rolę</w:t>
      </w:r>
      <w:r w:rsidR="006A22D3" w:rsidRPr="006A22D3">
        <w:rPr>
          <w:noProof/>
        </w:rPr>
        <w:t xml:space="preserve"> w uja</w:t>
      </w:r>
      <w:r w:rsidR="00ED3016" w:rsidRPr="006A22D3">
        <w:rPr>
          <w:noProof/>
        </w:rPr>
        <w:t>wnianiu naruszeń przepisów niniejszej dyrektywy. Mogą one zatem przyczynić się do zapobiegania takim naruszeniom</w:t>
      </w:r>
      <w:r w:rsidR="006A22D3" w:rsidRPr="006A22D3">
        <w:rPr>
          <w:noProof/>
        </w:rPr>
        <w:t xml:space="preserve"> i zni</w:t>
      </w:r>
      <w:r w:rsidR="00ED3016" w:rsidRPr="006A22D3">
        <w:rPr>
          <w:noProof/>
        </w:rPr>
        <w:t>echęcania do ich popełniania oraz do wzmocnienia egzekwowania niniejszej dyrektywy</w:t>
      </w:r>
      <w:r w:rsidR="006A22D3" w:rsidRPr="006A22D3">
        <w:rPr>
          <w:noProof/>
        </w:rPr>
        <w:t>. W odn</w:t>
      </w:r>
      <w:r w:rsidR="00ED3016" w:rsidRPr="006A22D3">
        <w:rPr>
          <w:noProof/>
        </w:rPr>
        <w:t>iesieniu do przypadków zgłaszania wszystkich naruszeń niniejszej dyrektywy oraz</w:t>
      </w:r>
      <w:r w:rsidR="006A22D3" w:rsidRPr="006A22D3">
        <w:rPr>
          <w:noProof/>
        </w:rPr>
        <w:t xml:space="preserve"> w kwe</w:t>
      </w:r>
      <w:r w:rsidR="00ED3016" w:rsidRPr="006A22D3">
        <w:rPr>
          <w:noProof/>
        </w:rPr>
        <w:t>stiach ochrony osób zgłaszających takie naruszenia zastosowanie mają przepisy dyrektywy Parlamentu Europejskiego</w:t>
      </w:r>
      <w:r w:rsidR="006A22D3" w:rsidRPr="006A22D3">
        <w:rPr>
          <w:noProof/>
        </w:rPr>
        <w:t xml:space="preserve"> i Rad</w:t>
      </w:r>
      <w:r w:rsidR="00ED3016" w:rsidRPr="006A22D3">
        <w:rPr>
          <w:noProof/>
        </w:rPr>
        <w:t>y (UE) 2019/1937</w:t>
      </w:r>
      <w:r w:rsidR="00ED3016" w:rsidRPr="006A22D3">
        <w:rPr>
          <w:rStyle w:val="FootnoteReference"/>
          <w:noProof/>
        </w:rPr>
        <w:footnoteReference w:id="107"/>
      </w:r>
      <w:r w:rsidR="00ED3016" w:rsidRPr="006A22D3">
        <w:rPr>
          <w:noProof/>
        </w:rPr>
        <w:t>.</w:t>
      </w:r>
    </w:p>
    <w:p w:rsidR="003A0A54" w:rsidRPr="006A22D3" w:rsidRDefault="00D91F29" w:rsidP="00D91F29">
      <w:pPr>
        <w:pStyle w:val="ManualConsidrant"/>
        <w:rPr>
          <w:noProof/>
        </w:rPr>
      </w:pPr>
      <w:r w:rsidRPr="00D91F29">
        <w:t>(66)</w:t>
      </w:r>
      <w:r w:rsidRPr="00D91F29">
        <w:tab/>
      </w:r>
      <w:r w:rsidR="00A64533" w:rsidRPr="006A22D3">
        <w:rPr>
          <w:noProof/>
        </w:rPr>
        <w:t>W celu określenia informacji, które przedsiębiorstwa niepodlegające wymogom sprawozdawczym na podstawie przepisów dotyczących sprawozdawczości przedsiębiorstw</w:t>
      </w:r>
      <w:r w:rsidR="006A22D3" w:rsidRPr="006A22D3">
        <w:rPr>
          <w:noProof/>
        </w:rPr>
        <w:t xml:space="preserve"> w zak</w:t>
      </w:r>
      <w:r w:rsidR="00A64533" w:rsidRPr="006A22D3">
        <w:rPr>
          <w:noProof/>
        </w:rPr>
        <w:t>resie zrównoważonego rozwoju zgodnie</w:t>
      </w:r>
      <w:r w:rsidR="006A22D3" w:rsidRPr="006A22D3">
        <w:rPr>
          <w:noProof/>
        </w:rPr>
        <w:t xml:space="preserve"> z dyr</w:t>
      </w:r>
      <w:r w:rsidR="00A64533" w:rsidRPr="006A22D3">
        <w:rPr>
          <w:noProof/>
        </w:rPr>
        <w:t>ektywą 2013/34/UE powinny przekazywać</w:t>
      </w:r>
      <w:r w:rsidR="006A22D3" w:rsidRPr="006A22D3">
        <w:rPr>
          <w:noProof/>
        </w:rPr>
        <w:t xml:space="preserve"> w kwe</w:t>
      </w:r>
      <w:r w:rsidR="00A64533" w:rsidRPr="006A22D3">
        <w:rPr>
          <w:noProof/>
        </w:rPr>
        <w:t>stiach objętych niniejszą dyrektywą, należy przekazać Komisji uprawnienia do przyjęcia aktów zgodnie</w:t>
      </w:r>
      <w:r w:rsidR="006A22D3" w:rsidRPr="006A22D3">
        <w:rPr>
          <w:noProof/>
        </w:rPr>
        <w:t xml:space="preserve"> z art</w:t>
      </w:r>
      <w:r w:rsidR="00A64533" w:rsidRPr="006A22D3">
        <w:rPr>
          <w:noProof/>
        </w:rPr>
        <w:t>.</w:t>
      </w:r>
      <w:r w:rsidR="00192E90" w:rsidRPr="006A22D3">
        <w:rPr>
          <w:noProof/>
        </w:rPr>
        <w:t> </w:t>
      </w:r>
      <w:r w:rsidR="00A64533" w:rsidRPr="006A22D3">
        <w:rPr>
          <w:noProof/>
        </w:rPr>
        <w:t>290 Traktatu</w:t>
      </w:r>
      <w:r w:rsidR="006A22D3" w:rsidRPr="006A22D3">
        <w:rPr>
          <w:noProof/>
        </w:rPr>
        <w:t xml:space="preserve"> o fun</w:t>
      </w:r>
      <w:r w:rsidR="00A64533" w:rsidRPr="006A22D3">
        <w:rPr>
          <w:noProof/>
        </w:rPr>
        <w:t>kcjonowaniu Unii Europejskiej</w:t>
      </w:r>
      <w:r w:rsidR="006A22D3" w:rsidRPr="006A22D3">
        <w:rPr>
          <w:noProof/>
        </w:rPr>
        <w:t xml:space="preserve"> w odn</w:t>
      </w:r>
      <w:r w:rsidR="00A64533" w:rsidRPr="006A22D3">
        <w:rPr>
          <w:noProof/>
        </w:rPr>
        <w:t>iesieniu do określania dodatkowych przepisów dotyczących treści</w:t>
      </w:r>
      <w:r w:rsidR="006A22D3" w:rsidRPr="006A22D3">
        <w:rPr>
          <w:noProof/>
        </w:rPr>
        <w:t xml:space="preserve"> i kry</w:t>
      </w:r>
      <w:r w:rsidR="00A64533" w:rsidRPr="006A22D3">
        <w:rPr>
          <w:noProof/>
        </w:rPr>
        <w:t>teriów takiej sprawozdawczości, określających informacje odnoszące się do opisu należytej staranności, potencjalnych</w:t>
      </w:r>
      <w:r w:rsidR="006A22D3" w:rsidRPr="006A22D3">
        <w:rPr>
          <w:noProof/>
        </w:rPr>
        <w:t xml:space="preserve"> i rze</w:t>
      </w:r>
      <w:r w:rsidR="00A64533" w:rsidRPr="006A22D3">
        <w:rPr>
          <w:noProof/>
        </w:rPr>
        <w:t>czywistych skutków oraz działań podjętych</w:t>
      </w:r>
      <w:r w:rsidR="006A22D3" w:rsidRPr="006A22D3">
        <w:rPr>
          <w:noProof/>
        </w:rPr>
        <w:t xml:space="preserve"> w zwi</w:t>
      </w:r>
      <w:r w:rsidR="00A64533" w:rsidRPr="006A22D3">
        <w:rPr>
          <w:noProof/>
        </w:rPr>
        <w:t>ązku</w:t>
      </w:r>
      <w:r w:rsidR="006A22D3" w:rsidRPr="006A22D3">
        <w:rPr>
          <w:noProof/>
        </w:rPr>
        <w:t xml:space="preserve"> z nim</w:t>
      </w:r>
      <w:r w:rsidR="00A64533" w:rsidRPr="006A22D3">
        <w:rPr>
          <w:noProof/>
        </w:rPr>
        <w:t>i. Szczególnie ważne jest, aby</w:t>
      </w:r>
      <w:r w:rsidR="006A22D3" w:rsidRPr="006A22D3">
        <w:rPr>
          <w:noProof/>
        </w:rPr>
        <w:t xml:space="preserve"> w cza</w:t>
      </w:r>
      <w:r w:rsidR="00A64533" w:rsidRPr="006A22D3">
        <w:rPr>
          <w:noProof/>
        </w:rPr>
        <w:t>sie prac przygotowawczych Komisja prowadziła stosowne konsultacje,</w:t>
      </w:r>
      <w:r w:rsidR="006A22D3" w:rsidRPr="006A22D3">
        <w:rPr>
          <w:noProof/>
        </w:rPr>
        <w:t xml:space="preserve"> w tym</w:t>
      </w:r>
      <w:r w:rsidR="00A64533" w:rsidRPr="006A22D3">
        <w:rPr>
          <w:noProof/>
        </w:rPr>
        <w:t xml:space="preserve"> na poziomie ekspertów, oraz aby konsultacje te prowadzone były zgodnie</w:t>
      </w:r>
      <w:r w:rsidR="006A22D3" w:rsidRPr="006A22D3">
        <w:rPr>
          <w:noProof/>
        </w:rPr>
        <w:t xml:space="preserve"> z zas</w:t>
      </w:r>
      <w:r w:rsidR="00A64533" w:rsidRPr="006A22D3">
        <w:rPr>
          <w:noProof/>
        </w:rPr>
        <w:t>adami określonymi</w:t>
      </w:r>
      <w:r w:rsidR="006A22D3" w:rsidRPr="006A22D3">
        <w:rPr>
          <w:noProof/>
        </w:rPr>
        <w:t xml:space="preserve"> w Por</w:t>
      </w:r>
      <w:r w:rsidR="00A64533" w:rsidRPr="006A22D3">
        <w:rPr>
          <w:noProof/>
        </w:rPr>
        <w:t>ozumieniu międzyinstytucjonalnym</w:t>
      </w:r>
      <w:r w:rsidR="006A22D3" w:rsidRPr="006A22D3">
        <w:rPr>
          <w:noProof/>
        </w:rPr>
        <w:t xml:space="preserve"> z dni</w:t>
      </w:r>
      <w:r w:rsidR="00A64533" w:rsidRPr="006A22D3">
        <w:rPr>
          <w:noProof/>
        </w:rPr>
        <w:t>a 13 kwietnia 2016</w:t>
      </w:r>
      <w:r w:rsidR="00192E90" w:rsidRPr="006A22D3">
        <w:rPr>
          <w:noProof/>
        </w:rPr>
        <w:t> </w:t>
      </w:r>
      <w:r w:rsidR="00A64533" w:rsidRPr="006A22D3">
        <w:rPr>
          <w:noProof/>
        </w:rPr>
        <w:t>r.</w:t>
      </w:r>
      <w:r w:rsidR="006A22D3" w:rsidRPr="006A22D3">
        <w:rPr>
          <w:noProof/>
        </w:rPr>
        <w:t xml:space="preserve"> w spr</w:t>
      </w:r>
      <w:r w:rsidR="00A64533" w:rsidRPr="006A22D3">
        <w:rPr>
          <w:noProof/>
        </w:rPr>
        <w:t>awie lepszego stanowienia prawa</w:t>
      </w:r>
      <w:r w:rsidR="00A64533" w:rsidRPr="006A22D3">
        <w:rPr>
          <w:rStyle w:val="FootnoteReference"/>
          <w:noProof/>
        </w:rPr>
        <w:footnoteReference w:id="108"/>
      </w:r>
      <w:r w:rsidR="006A22D3" w:rsidRPr="006A22D3">
        <w:rPr>
          <w:noProof/>
        </w:rPr>
        <w:t>. W szc</w:t>
      </w:r>
      <w:r w:rsidR="00A64533" w:rsidRPr="006A22D3">
        <w:rPr>
          <w:noProof/>
        </w:rPr>
        <w:t>zególności, aby zapewnić Parlamentowi Europejskiemu</w:t>
      </w:r>
      <w:r w:rsidR="006A22D3" w:rsidRPr="006A22D3">
        <w:rPr>
          <w:noProof/>
        </w:rPr>
        <w:t xml:space="preserve"> i Rad</w:t>
      </w:r>
      <w:r w:rsidR="00A64533" w:rsidRPr="006A22D3">
        <w:rPr>
          <w:noProof/>
        </w:rPr>
        <w:t>zie udział na równych zasadach</w:t>
      </w:r>
      <w:r w:rsidR="006A22D3" w:rsidRPr="006A22D3">
        <w:rPr>
          <w:noProof/>
        </w:rPr>
        <w:t xml:space="preserve"> w prz</w:t>
      </w:r>
      <w:r w:rsidR="00A64533" w:rsidRPr="006A22D3">
        <w:rPr>
          <w:noProof/>
        </w:rPr>
        <w:t>ygotowaniu aktów delegowanych, instytucje te otrzymują wszelkie dokumenty</w:t>
      </w:r>
      <w:r w:rsidR="006A22D3" w:rsidRPr="006A22D3">
        <w:rPr>
          <w:noProof/>
        </w:rPr>
        <w:t xml:space="preserve"> w tym</w:t>
      </w:r>
      <w:r w:rsidR="00A64533" w:rsidRPr="006A22D3">
        <w:rPr>
          <w:noProof/>
        </w:rPr>
        <w:t xml:space="preserve"> samym czasie co eksperci państw członkowskich,</w:t>
      </w:r>
      <w:r w:rsidR="006A22D3" w:rsidRPr="006A22D3">
        <w:rPr>
          <w:noProof/>
        </w:rPr>
        <w:t xml:space="preserve"> a eks</w:t>
      </w:r>
      <w:r w:rsidR="00A64533" w:rsidRPr="006A22D3">
        <w:rPr>
          <w:noProof/>
        </w:rPr>
        <w:t>perci tych instytucji mogą systematycznie brać udział</w:t>
      </w:r>
      <w:r w:rsidR="006A22D3" w:rsidRPr="006A22D3">
        <w:rPr>
          <w:noProof/>
        </w:rPr>
        <w:t xml:space="preserve"> w pos</w:t>
      </w:r>
      <w:r w:rsidR="00A64533" w:rsidRPr="006A22D3">
        <w:rPr>
          <w:noProof/>
        </w:rPr>
        <w:t>iedzeniach grup ekspertów Komisji zajmujących się przygotowaniem aktów delegowanych.</w:t>
      </w:r>
    </w:p>
    <w:p w:rsidR="00ED3016" w:rsidRPr="006A22D3" w:rsidRDefault="00D91F29" w:rsidP="00D91F29">
      <w:pPr>
        <w:pStyle w:val="ManualConsidrant"/>
        <w:rPr>
          <w:noProof/>
        </w:rPr>
      </w:pPr>
      <w:r w:rsidRPr="00D91F29">
        <w:t>(67)</w:t>
      </w:r>
      <w:r w:rsidRPr="00D91F29">
        <w:tab/>
      </w:r>
      <w:r w:rsidR="003C7FD1" w:rsidRPr="006A22D3">
        <w:rPr>
          <w:noProof/>
        </w:rPr>
        <w:t>Niniejszą dyrektywę należy stosować zgodnie</w:t>
      </w:r>
      <w:r w:rsidR="006A22D3" w:rsidRPr="006A22D3">
        <w:rPr>
          <w:noProof/>
        </w:rPr>
        <w:t xml:space="preserve"> z pra</w:t>
      </w:r>
      <w:r w:rsidR="003C7FD1" w:rsidRPr="006A22D3">
        <w:rPr>
          <w:noProof/>
        </w:rPr>
        <w:t>wem Unii</w:t>
      </w:r>
      <w:r w:rsidR="006A22D3" w:rsidRPr="006A22D3">
        <w:rPr>
          <w:noProof/>
        </w:rPr>
        <w:t xml:space="preserve"> w dzi</w:t>
      </w:r>
      <w:r w:rsidR="003C7FD1" w:rsidRPr="006A22D3">
        <w:rPr>
          <w:noProof/>
        </w:rPr>
        <w:t>edzinie ochrony danych oraz</w:t>
      </w:r>
      <w:r w:rsidR="006A22D3" w:rsidRPr="006A22D3">
        <w:rPr>
          <w:noProof/>
        </w:rPr>
        <w:t xml:space="preserve"> z pra</w:t>
      </w:r>
      <w:r w:rsidR="003C7FD1" w:rsidRPr="006A22D3">
        <w:rPr>
          <w:noProof/>
        </w:rPr>
        <w:t>wem do ochrony prywatności</w:t>
      </w:r>
      <w:r w:rsidR="006A22D3" w:rsidRPr="006A22D3">
        <w:rPr>
          <w:noProof/>
        </w:rPr>
        <w:t xml:space="preserve"> i dan</w:t>
      </w:r>
      <w:r w:rsidR="003C7FD1" w:rsidRPr="006A22D3">
        <w:rPr>
          <w:noProof/>
        </w:rPr>
        <w:t>ych osobowych zapisanymi</w:t>
      </w:r>
      <w:r w:rsidR="006A22D3" w:rsidRPr="006A22D3">
        <w:rPr>
          <w:noProof/>
        </w:rPr>
        <w:t xml:space="preserve"> w art</w:t>
      </w:r>
      <w:r w:rsidR="003C7FD1" w:rsidRPr="006A22D3">
        <w:rPr>
          <w:noProof/>
        </w:rPr>
        <w:t>.</w:t>
      </w:r>
      <w:r w:rsidR="00192E90" w:rsidRPr="006A22D3">
        <w:rPr>
          <w:noProof/>
        </w:rPr>
        <w:t> </w:t>
      </w:r>
      <w:r w:rsidR="003C7FD1" w:rsidRPr="006A22D3">
        <w:rPr>
          <w:noProof/>
        </w:rPr>
        <w:t>7</w:t>
      </w:r>
      <w:r w:rsidR="006A22D3" w:rsidRPr="006A22D3">
        <w:rPr>
          <w:noProof/>
        </w:rPr>
        <w:t xml:space="preserve"> i 8</w:t>
      </w:r>
      <w:r w:rsidR="003C7FD1" w:rsidRPr="006A22D3">
        <w:rPr>
          <w:noProof/>
        </w:rPr>
        <w:t xml:space="preserve"> Karty praw podstawowych Unii Europejskiej. Wszelkie przetwarzanie danych osobowych na podstawie niniejszej dyrektywy ma być podejmowane zgodnie</w:t>
      </w:r>
      <w:r w:rsidR="006A22D3" w:rsidRPr="006A22D3">
        <w:rPr>
          <w:noProof/>
        </w:rPr>
        <w:t xml:space="preserve"> z roz</w:t>
      </w:r>
      <w:r w:rsidR="003C7FD1" w:rsidRPr="006A22D3">
        <w:rPr>
          <w:noProof/>
        </w:rPr>
        <w:t>porządzeniem Parlamentu Europejskiego</w:t>
      </w:r>
      <w:r w:rsidR="006A22D3" w:rsidRPr="006A22D3">
        <w:rPr>
          <w:noProof/>
        </w:rPr>
        <w:t xml:space="preserve"> i Rad</w:t>
      </w:r>
      <w:r w:rsidR="003C7FD1" w:rsidRPr="006A22D3">
        <w:rPr>
          <w:noProof/>
        </w:rPr>
        <w:t>y (UE) 2016/679</w:t>
      </w:r>
      <w:r w:rsidR="009775B9" w:rsidRPr="006A22D3">
        <w:rPr>
          <w:rStyle w:val="FootnoteReference"/>
          <w:noProof/>
        </w:rPr>
        <w:footnoteReference w:id="109"/>
      </w:r>
      <w:r w:rsidR="003C7FD1" w:rsidRPr="006A22D3">
        <w:rPr>
          <w:noProof/>
        </w:rPr>
        <w:t>,</w:t>
      </w:r>
      <w:r w:rsidR="006A22D3" w:rsidRPr="006A22D3">
        <w:rPr>
          <w:noProof/>
        </w:rPr>
        <w:t xml:space="preserve"> w tym z wym</w:t>
      </w:r>
      <w:r w:rsidR="003C7FD1" w:rsidRPr="006A22D3">
        <w:rPr>
          <w:noProof/>
        </w:rPr>
        <w:t>ogami dotyczącymi ograniczenia celu, minimalizacji danych</w:t>
      </w:r>
      <w:r w:rsidR="006A22D3" w:rsidRPr="006A22D3">
        <w:rPr>
          <w:noProof/>
        </w:rPr>
        <w:t xml:space="preserve"> i ogr</w:t>
      </w:r>
      <w:r w:rsidR="003C7FD1" w:rsidRPr="006A22D3">
        <w:rPr>
          <w:noProof/>
        </w:rPr>
        <w:t>aniczenia przechowywania.</w:t>
      </w:r>
    </w:p>
    <w:p w:rsidR="003C7FD1" w:rsidRPr="006A22D3" w:rsidRDefault="00D91F29" w:rsidP="00D91F29">
      <w:pPr>
        <w:pStyle w:val="ManualConsidrant"/>
        <w:rPr>
          <w:noProof/>
        </w:rPr>
      </w:pPr>
      <w:r w:rsidRPr="00D91F29">
        <w:t>(68)</w:t>
      </w:r>
      <w:r w:rsidRPr="00D91F29">
        <w:tab/>
      </w:r>
      <w:r w:rsidR="003C7FD1" w:rsidRPr="006A22D3">
        <w:rPr>
          <w:noProof/>
        </w:rPr>
        <w:t>Zgodnie</w:t>
      </w:r>
      <w:r w:rsidR="006A22D3" w:rsidRPr="006A22D3">
        <w:rPr>
          <w:noProof/>
        </w:rPr>
        <w:t xml:space="preserve"> z art</w:t>
      </w:r>
      <w:r w:rsidR="003C7FD1" w:rsidRPr="006A22D3">
        <w:rPr>
          <w:noProof/>
        </w:rPr>
        <w:t>.</w:t>
      </w:r>
      <w:r w:rsidR="00192E90" w:rsidRPr="006A22D3">
        <w:rPr>
          <w:noProof/>
        </w:rPr>
        <w:t> </w:t>
      </w:r>
      <w:r w:rsidR="003C7FD1" w:rsidRPr="006A22D3">
        <w:rPr>
          <w:noProof/>
        </w:rPr>
        <w:t>28 ust.</w:t>
      </w:r>
      <w:r w:rsidR="00192E90" w:rsidRPr="006A22D3">
        <w:rPr>
          <w:noProof/>
        </w:rPr>
        <w:t> </w:t>
      </w:r>
      <w:r w:rsidR="003C7FD1" w:rsidRPr="006A22D3">
        <w:rPr>
          <w:noProof/>
        </w:rPr>
        <w:t>2 rozporządzenia Parlamentu Europejskiego</w:t>
      </w:r>
      <w:r w:rsidR="006A22D3" w:rsidRPr="006A22D3">
        <w:rPr>
          <w:noProof/>
        </w:rPr>
        <w:t xml:space="preserve"> i Rad</w:t>
      </w:r>
      <w:r w:rsidR="003C7FD1" w:rsidRPr="006A22D3">
        <w:rPr>
          <w:noProof/>
        </w:rPr>
        <w:t>y (UE) 2018/1725</w:t>
      </w:r>
      <w:r w:rsidR="00B57CA3" w:rsidRPr="006A22D3">
        <w:rPr>
          <w:rStyle w:val="FootnoteReference"/>
          <w:noProof/>
        </w:rPr>
        <w:footnoteReference w:id="110"/>
      </w:r>
      <w:r w:rsidR="003C7FD1" w:rsidRPr="006A22D3">
        <w:rPr>
          <w:noProof/>
        </w:rPr>
        <w:t xml:space="preserve"> skonsultowano się</w:t>
      </w:r>
      <w:r w:rsidR="006A22D3" w:rsidRPr="006A22D3">
        <w:rPr>
          <w:noProof/>
        </w:rPr>
        <w:t xml:space="preserve"> z Eur</w:t>
      </w:r>
      <w:r w:rsidR="003C7FD1" w:rsidRPr="006A22D3">
        <w:rPr>
          <w:noProof/>
        </w:rPr>
        <w:t>opejskim Inspektorem Ochrony Danych, który wydał opinię</w:t>
      </w:r>
      <w:r w:rsidR="006A22D3" w:rsidRPr="006A22D3">
        <w:rPr>
          <w:noProof/>
        </w:rPr>
        <w:t xml:space="preserve"> w dni</w:t>
      </w:r>
      <w:r w:rsidR="003C7FD1" w:rsidRPr="006A22D3">
        <w:rPr>
          <w:noProof/>
        </w:rPr>
        <w:t>u ... 2022</w:t>
      </w:r>
      <w:r w:rsidR="00192E90" w:rsidRPr="006A22D3">
        <w:rPr>
          <w:noProof/>
        </w:rPr>
        <w:t> </w:t>
      </w:r>
      <w:r w:rsidR="003C7FD1" w:rsidRPr="006A22D3">
        <w:rPr>
          <w:noProof/>
        </w:rPr>
        <w:t>r.</w:t>
      </w:r>
    </w:p>
    <w:p w:rsidR="00ED3016" w:rsidRPr="006A22D3" w:rsidRDefault="00D91F29" w:rsidP="00D91F29">
      <w:pPr>
        <w:pStyle w:val="ManualConsidrant"/>
        <w:rPr>
          <w:noProof/>
        </w:rPr>
      </w:pPr>
      <w:r w:rsidRPr="00D91F29">
        <w:t>(69)</w:t>
      </w:r>
      <w:r w:rsidRPr="00D91F29">
        <w:tab/>
      </w:r>
      <w:r w:rsidR="00ED3016" w:rsidRPr="006A22D3">
        <w:rPr>
          <w:noProof/>
        </w:rPr>
        <w:t>Przepisy niniejszej dyrektywy pozostają bez uszczerbku dla obowiązków</w:t>
      </w:r>
      <w:r w:rsidR="006A22D3" w:rsidRPr="006A22D3">
        <w:rPr>
          <w:noProof/>
        </w:rPr>
        <w:t xml:space="preserve"> w dzi</w:t>
      </w:r>
      <w:r w:rsidR="00ED3016" w:rsidRPr="006A22D3">
        <w:rPr>
          <w:noProof/>
        </w:rPr>
        <w:t>edzinie praw człowieka, ochrony środowiska</w:t>
      </w:r>
      <w:r w:rsidR="006A22D3" w:rsidRPr="006A22D3">
        <w:rPr>
          <w:noProof/>
        </w:rPr>
        <w:t xml:space="preserve"> i zmi</w:t>
      </w:r>
      <w:r w:rsidR="00ED3016" w:rsidRPr="006A22D3">
        <w:rPr>
          <w:noProof/>
        </w:rPr>
        <w:t>any klimatu ustanowionych</w:t>
      </w:r>
      <w:r w:rsidR="006A22D3" w:rsidRPr="006A22D3">
        <w:rPr>
          <w:noProof/>
        </w:rPr>
        <w:t xml:space="preserve"> w inn</w:t>
      </w:r>
      <w:r w:rsidR="00ED3016" w:rsidRPr="006A22D3">
        <w:rPr>
          <w:noProof/>
        </w:rPr>
        <w:t>ych aktach ustawodawczych Unii. Jeżeli przepisy niniejszej dyrektywy okazałyby się sprzeczne</w:t>
      </w:r>
      <w:r w:rsidR="006A22D3" w:rsidRPr="006A22D3">
        <w:rPr>
          <w:noProof/>
        </w:rPr>
        <w:t xml:space="preserve"> z prz</w:t>
      </w:r>
      <w:r w:rsidR="00ED3016" w:rsidRPr="006A22D3">
        <w:rPr>
          <w:noProof/>
        </w:rPr>
        <w:t>episami innego aktu ustawodawczego Unii służącego realizacji tych samych celów</w:t>
      </w:r>
      <w:r w:rsidR="006A22D3" w:rsidRPr="006A22D3">
        <w:rPr>
          <w:noProof/>
        </w:rPr>
        <w:t xml:space="preserve"> i prz</w:t>
      </w:r>
      <w:r w:rsidR="00ED3016" w:rsidRPr="006A22D3">
        <w:rPr>
          <w:noProof/>
        </w:rPr>
        <w:t>ewidującego szerzej zakrojone lub precyzyjniej określone obowiązki, pierwszeństwo powinny mieć przepisy takiego innego aktu ustawodawczego Unii</w:t>
      </w:r>
      <w:r w:rsidR="006A22D3" w:rsidRPr="006A22D3">
        <w:rPr>
          <w:noProof/>
        </w:rPr>
        <w:t xml:space="preserve"> w zak</w:t>
      </w:r>
      <w:r w:rsidR="00ED3016" w:rsidRPr="006A22D3">
        <w:rPr>
          <w:noProof/>
        </w:rPr>
        <w:t>resie,</w:t>
      </w:r>
      <w:r w:rsidR="006A22D3" w:rsidRPr="006A22D3">
        <w:rPr>
          <w:noProof/>
        </w:rPr>
        <w:t xml:space="preserve"> w jak</w:t>
      </w:r>
      <w:r w:rsidR="00ED3016" w:rsidRPr="006A22D3">
        <w:rPr>
          <w:noProof/>
        </w:rPr>
        <w:t>im są one sprzeczne</w:t>
      </w:r>
      <w:r w:rsidR="006A22D3" w:rsidRPr="006A22D3">
        <w:rPr>
          <w:noProof/>
        </w:rPr>
        <w:t xml:space="preserve"> z prz</w:t>
      </w:r>
      <w:r w:rsidR="00ED3016" w:rsidRPr="006A22D3">
        <w:rPr>
          <w:noProof/>
        </w:rPr>
        <w:t>episami niniejszej dyrektywy, przy czym przepisy takiego innego aktu mają zastosowanie do odpowiednich obowiązków przewidzianych</w:t>
      </w:r>
      <w:r w:rsidR="006A22D3" w:rsidRPr="006A22D3">
        <w:rPr>
          <w:noProof/>
        </w:rPr>
        <w:t xml:space="preserve"> w nin</w:t>
      </w:r>
      <w:r w:rsidR="00ED3016" w:rsidRPr="006A22D3">
        <w:rPr>
          <w:noProof/>
        </w:rPr>
        <w:t xml:space="preserve">iejszej dyrektywie. </w:t>
      </w:r>
    </w:p>
    <w:p w:rsidR="003F2FA2" w:rsidRPr="006A22D3" w:rsidRDefault="00D91F29" w:rsidP="00D91F29">
      <w:pPr>
        <w:pStyle w:val="ManualConsidrant"/>
        <w:rPr>
          <w:noProof/>
        </w:rPr>
      </w:pPr>
      <w:r w:rsidRPr="00D91F29">
        <w:t>(70)</w:t>
      </w:r>
      <w:r w:rsidRPr="00D91F29">
        <w:tab/>
      </w:r>
      <w:r w:rsidR="003F2FA2" w:rsidRPr="006A22D3">
        <w:rPr>
          <w:noProof/>
        </w:rPr>
        <w:t>Komisja powinna ocenić</w:t>
      </w:r>
      <w:r w:rsidR="006A22D3" w:rsidRPr="006A22D3">
        <w:rPr>
          <w:noProof/>
        </w:rPr>
        <w:t xml:space="preserve"> i poi</w:t>
      </w:r>
      <w:r w:rsidR="003F2FA2" w:rsidRPr="006A22D3">
        <w:rPr>
          <w:noProof/>
        </w:rPr>
        <w:t>nformować, czy do wykazu sektorów</w:t>
      </w:r>
      <w:r w:rsidR="006A22D3" w:rsidRPr="006A22D3">
        <w:rPr>
          <w:noProof/>
        </w:rPr>
        <w:t xml:space="preserve"> o duż</w:t>
      </w:r>
      <w:r w:rsidR="003F2FA2" w:rsidRPr="006A22D3">
        <w:rPr>
          <w:noProof/>
        </w:rPr>
        <w:t>ym wpływie objętych niniejszą dyrektywą należy dodać nowe sektory</w:t>
      </w:r>
      <w:r w:rsidR="006A22D3" w:rsidRPr="006A22D3">
        <w:rPr>
          <w:noProof/>
        </w:rPr>
        <w:t xml:space="preserve"> w cel</w:t>
      </w:r>
      <w:r w:rsidR="003F2FA2" w:rsidRPr="006A22D3">
        <w:rPr>
          <w:noProof/>
        </w:rPr>
        <w:t>u dostosowania go do wytycznych Organizacji Współpracy Gospodarczej</w:t>
      </w:r>
      <w:r w:rsidR="006A22D3" w:rsidRPr="006A22D3">
        <w:rPr>
          <w:noProof/>
        </w:rPr>
        <w:t xml:space="preserve"> i Roz</w:t>
      </w:r>
      <w:r w:rsidR="003F2FA2" w:rsidRPr="006A22D3">
        <w:rPr>
          <w:noProof/>
        </w:rPr>
        <w:t>woju lub</w:t>
      </w:r>
      <w:r w:rsidR="006A22D3" w:rsidRPr="006A22D3">
        <w:rPr>
          <w:noProof/>
        </w:rPr>
        <w:t xml:space="preserve"> w świ</w:t>
      </w:r>
      <w:r w:rsidR="003F2FA2" w:rsidRPr="006A22D3">
        <w:rPr>
          <w:noProof/>
        </w:rPr>
        <w:t>etle wyraźnych dowodów dotyczących wyzysku pracowników, naruszeń praw człowieka lub nowo pojawiających się zagrożeń dla środowiska, czy należy zmienić wykaz odpowiednich konwencji międzynarodowych,</w:t>
      </w:r>
      <w:r w:rsidR="006A22D3" w:rsidRPr="006A22D3">
        <w:rPr>
          <w:noProof/>
        </w:rPr>
        <w:t xml:space="preserve"> o któ</w:t>
      </w:r>
      <w:r w:rsidR="003F2FA2" w:rsidRPr="006A22D3">
        <w:rPr>
          <w:noProof/>
        </w:rPr>
        <w:t>rych mowa</w:t>
      </w:r>
      <w:r w:rsidR="006A22D3" w:rsidRPr="006A22D3">
        <w:rPr>
          <w:noProof/>
        </w:rPr>
        <w:t xml:space="preserve"> w nin</w:t>
      </w:r>
      <w:r w:rsidR="003F2FA2" w:rsidRPr="006A22D3">
        <w:rPr>
          <w:noProof/>
        </w:rPr>
        <w:t>iejszej dyrektywie,</w:t>
      </w:r>
      <w:r w:rsidR="006A22D3" w:rsidRPr="006A22D3">
        <w:rPr>
          <w:noProof/>
        </w:rPr>
        <w:t xml:space="preserve"> w szc</w:t>
      </w:r>
      <w:r w:rsidR="003F2FA2" w:rsidRPr="006A22D3">
        <w:rPr>
          <w:noProof/>
        </w:rPr>
        <w:t>zególności</w:t>
      </w:r>
      <w:r w:rsidR="006A22D3" w:rsidRPr="006A22D3">
        <w:rPr>
          <w:noProof/>
        </w:rPr>
        <w:t xml:space="preserve"> w świ</w:t>
      </w:r>
      <w:r w:rsidR="003F2FA2" w:rsidRPr="006A22D3">
        <w:rPr>
          <w:noProof/>
        </w:rPr>
        <w:t>etle sytuacji międzynarodowej, lub czy przepisy dotyczące należytej staranności zawarte</w:t>
      </w:r>
      <w:r w:rsidR="006A22D3" w:rsidRPr="006A22D3">
        <w:rPr>
          <w:noProof/>
        </w:rPr>
        <w:t xml:space="preserve"> w nin</w:t>
      </w:r>
      <w:r w:rsidR="003F2FA2" w:rsidRPr="006A22D3">
        <w:rPr>
          <w:noProof/>
        </w:rPr>
        <w:t>iejszej dyrektywie należy rozszerzyć na niekorzystne skutki dla klimatu.</w:t>
      </w:r>
    </w:p>
    <w:p w:rsidR="000037A9" w:rsidRPr="006A22D3" w:rsidDel="000037A9" w:rsidRDefault="00D91F29" w:rsidP="00D91F29">
      <w:pPr>
        <w:pStyle w:val="ManualConsidrant"/>
        <w:rPr>
          <w:noProof/>
        </w:rPr>
      </w:pPr>
      <w:r w:rsidRPr="00D91F29">
        <w:t>(71)</w:t>
      </w:r>
      <w:r w:rsidRPr="00D91F29">
        <w:tab/>
      </w:r>
      <w:r w:rsidR="00C619AA" w:rsidRPr="006A22D3">
        <w:rPr>
          <w:noProof/>
        </w:rPr>
        <w:t>Celu niniejszej dyrektywy,</w:t>
      </w:r>
      <w:r w:rsidR="006A22D3" w:rsidRPr="006A22D3">
        <w:rPr>
          <w:noProof/>
        </w:rPr>
        <w:t xml:space="preserve"> a mia</w:t>
      </w:r>
      <w:r w:rsidR="00C619AA" w:rsidRPr="006A22D3">
        <w:rPr>
          <w:noProof/>
        </w:rPr>
        <w:t>nowicie lepszego wykorzystania potencjału jednolitego rynku</w:t>
      </w:r>
      <w:r w:rsidR="006A22D3" w:rsidRPr="006A22D3">
        <w:rPr>
          <w:noProof/>
        </w:rPr>
        <w:t xml:space="preserve"> w cel</w:t>
      </w:r>
      <w:r w:rsidR="00C619AA" w:rsidRPr="006A22D3">
        <w:rPr>
          <w:noProof/>
        </w:rPr>
        <w:t>u przyczynienia się do przejścia na gospodarkę zrównoważoną oraz przyczynienia się do zrównoważonego rozwoju poprzez zapobieganie potencjalnym lub rzeczywistym niekorzystnym skutkom dla praw człowieka</w:t>
      </w:r>
      <w:r w:rsidR="006A22D3" w:rsidRPr="006A22D3">
        <w:rPr>
          <w:noProof/>
        </w:rPr>
        <w:t xml:space="preserve"> i śro</w:t>
      </w:r>
      <w:r w:rsidR="00C619AA" w:rsidRPr="006A22D3">
        <w:rPr>
          <w:noProof/>
        </w:rPr>
        <w:t>dowiska</w:t>
      </w:r>
      <w:r w:rsidR="006A22D3" w:rsidRPr="006A22D3">
        <w:rPr>
          <w:noProof/>
        </w:rPr>
        <w:t xml:space="preserve"> w łań</w:t>
      </w:r>
      <w:r w:rsidR="00C619AA" w:rsidRPr="006A22D3">
        <w:rPr>
          <w:noProof/>
        </w:rPr>
        <w:t>cuchach wartości przedsiębiorstw</w:t>
      </w:r>
      <w:r w:rsidR="006A22D3" w:rsidRPr="006A22D3">
        <w:rPr>
          <w:noProof/>
        </w:rPr>
        <w:t xml:space="preserve"> i ogr</w:t>
      </w:r>
      <w:r w:rsidR="00C619AA" w:rsidRPr="006A22D3">
        <w:rPr>
          <w:noProof/>
        </w:rPr>
        <w:t>aniczanie takich skutków, państwa członkowskie nie mogą osiągnąć</w:t>
      </w:r>
      <w:r w:rsidR="006A22D3" w:rsidRPr="006A22D3">
        <w:rPr>
          <w:noProof/>
        </w:rPr>
        <w:t xml:space="preserve"> w spo</w:t>
      </w:r>
      <w:r w:rsidR="00C619AA" w:rsidRPr="006A22D3">
        <w:rPr>
          <w:noProof/>
        </w:rPr>
        <w:t>sób wystarczający, działając indywidualnie lub</w:t>
      </w:r>
      <w:r w:rsidR="006A22D3" w:rsidRPr="006A22D3">
        <w:rPr>
          <w:noProof/>
        </w:rPr>
        <w:t xml:space="preserve"> w spo</w:t>
      </w:r>
      <w:r w:rsidR="00C619AA" w:rsidRPr="006A22D3">
        <w:rPr>
          <w:noProof/>
        </w:rPr>
        <w:t>sób nieskoordynowany, ale ze względu na skalę</w:t>
      </w:r>
      <w:r w:rsidR="006A22D3" w:rsidRPr="006A22D3">
        <w:rPr>
          <w:noProof/>
        </w:rPr>
        <w:t xml:space="preserve"> i sku</w:t>
      </w:r>
      <w:r w:rsidR="00C619AA" w:rsidRPr="006A22D3">
        <w:rPr>
          <w:noProof/>
        </w:rPr>
        <w:t>tki działań można go lepiej osiągnąć na poziomie Unii</w:t>
      </w:r>
      <w:r w:rsidR="006A22D3" w:rsidRPr="006A22D3">
        <w:rPr>
          <w:noProof/>
        </w:rPr>
        <w:t>. W szc</w:t>
      </w:r>
      <w:r w:rsidR="00C619AA" w:rsidRPr="006A22D3">
        <w:rPr>
          <w:noProof/>
        </w:rPr>
        <w:t>zególności poruszane problemy</w:t>
      </w:r>
      <w:r w:rsidR="006A22D3" w:rsidRPr="006A22D3">
        <w:rPr>
          <w:noProof/>
        </w:rPr>
        <w:t xml:space="preserve"> i ich</w:t>
      </w:r>
      <w:r w:rsidR="00C619AA" w:rsidRPr="006A22D3">
        <w:rPr>
          <w:noProof/>
        </w:rPr>
        <w:t xml:space="preserve"> przyczyny mają wymiar ponadnarodowy, ponieważ wiele przedsiębiorstw prowadzi działalność</w:t>
      </w:r>
      <w:r w:rsidR="006A22D3" w:rsidRPr="006A22D3">
        <w:rPr>
          <w:noProof/>
        </w:rPr>
        <w:t xml:space="preserve"> w cał</w:t>
      </w:r>
      <w:r w:rsidR="00C619AA" w:rsidRPr="006A22D3">
        <w:rPr>
          <w:noProof/>
        </w:rPr>
        <w:t>ej Unii lub na skalę światową,</w:t>
      </w:r>
      <w:r w:rsidR="006A22D3" w:rsidRPr="006A22D3">
        <w:rPr>
          <w:noProof/>
        </w:rPr>
        <w:t xml:space="preserve"> a łań</w:t>
      </w:r>
      <w:r w:rsidR="00C619AA" w:rsidRPr="006A22D3">
        <w:rPr>
          <w:noProof/>
        </w:rPr>
        <w:t>cuchy wartości rozszerzają się na inne państwa członkowskie i na państwa trzecie. Ponadto istnieje ryzyko, że środki wprowadzane przez poszczególne państwa członkowskie będą nieskuteczne</w:t>
      </w:r>
      <w:r w:rsidR="006A22D3" w:rsidRPr="006A22D3">
        <w:rPr>
          <w:noProof/>
        </w:rPr>
        <w:t xml:space="preserve"> i dop</w:t>
      </w:r>
      <w:r w:rsidR="00C619AA" w:rsidRPr="006A22D3">
        <w:rPr>
          <w:noProof/>
        </w:rPr>
        <w:t>rowadzą do fragmentaryzacji rynku wewnętrznego</w:t>
      </w:r>
      <w:r w:rsidR="006A22D3" w:rsidRPr="006A22D3">
        <w:rPr>
          <w:noProof/>
        </w:rPr>
        <w:t>. W zwi</w:t>
      </w:r>
      <w:r w:rsidR="00C619AA" w:rsidRPr="006A22D3">
        <w:rPr>
          <w:noProof/>
        </w:rPr>
        <w:t>ązku</w:t>
      </w:r>
      <w:r w:rsidR="006A22D3" w:rsidRPr="006A22D3">
        <w:rPr>
          <w:noProof/>
        </w:rPr>
        <w:t xml:space="preserve"> z tym</w:t>
      </w:r>
      <w:r w:rsidR="00C619AA" w:rsidRPr="006A22D3">
        <w:rPr>
          <w:noProof/>
        </w:rPr>
        <w:t xml:space="preserve"> Unia może przyjąć środki zgodnie</w:t>
      </w:r>
      <w:r w:rsidR="006A22D3" w:rsidRPr="006A22D3">
        <w:rPr>
          <w:noProof/>
        </w:rPr>
        <w:t xml:space="preserve"> z zas</w:t>
      </w:r>
      <w:r w:rsidR="00C619AA" w:rsidRPr="006A22D3">
        <w:rPr>
          <w:noProof/>
        </w:rPr>
        <w:t>adą pomocniczości określoną</w:t>
      </w:r>
      <w:r w:rsidR="006A22D3" w:rsidRPr="006A22D3">
        <w:rPr>
          <w:noProof/>
        </w:rPr>
        <w:t xml:space="preserve"> w art</w:t>
      </w:r>
      <w:r w:rsidR="00C619AA" w:rsidRPr="006A22D3">
        <w:rPr>
          <w:noProof/>
        </w:rPr>
        <w:t>.</w:t>
      </w:r>
      <w:r w:rsidR="00192E90" w:rsidRPr="006A22D3">
        <w:rPr>
          <w:noProof/>
        </w:rPr>
        <w:t> </w:t>
      </w:r>
      <w:r w:rsidR="00C619AA" w:rsidRPr="006A22D3">
        <w:rPr>
          <w:noProof/>
        </w:rPr>
        <w:t>5 TUE. Zgodnie</w:t>
      </w:r>
      <w:r w:rsidR="006A22D3" w:rsidRPr="006A22D3">
        <w:rPr>
          <w:noProof/>
        </w:rPr>
        <w:t xml:space="preserve"> z zas</w:t>
      </w:r>
      <w:r w:rsidR="00C619AA" w:rsidRPr="006A22D3">
        <w:rPr>
          <w:noProof/>
        </w:rPr>
        <w:t>adą proporcjonalności określoną</w:t>
      </w:r>
      <w:r w:rsidR="006A22D3" w:rsidRPr="006A22D3">
        <w:rPr>
          <w:noProof/>
        </w:rPr>
        <w:t xml:space="preserve"> w tym</w:t>
      </w:r>
      <w:r w:rsidR="00C619AA" w:rsidRPr="006A22D3">
        <w:rPr>
          <w:noProof/>
        </w:rPr>
        <w:t xml:space="preserve"> artykule niniejsza dyrektywa nie wykracza poza to, co jest konieczne do osiągnięcia tego celu,</w:t>
      </w:r>
    </w:p>
    <w:p w:rsidR="00022B65" w:rsidRPr="006A22D3" w:rsidRDefault="4DE26774">
      <w:pPr>
        <w:pStyle w:val="Formuledadoption"/>
        <w:spacing w:before="720" w:after="720"/>
        <w:rPr>
          <w:noProof/>
        </w:rPr>
      </w:pPr>
      <w:r w:rsidRPr="006A22D3">
        <w:rPr>
          <w:noProof/>
        </w:rPr>
        <w:t>PRZYJMUJĄ NINIEJSZĄ DYREKTYWĘ:</w:t>
      </w:r>
    </w:p>
    <w:p w:rsidR="00343D24" w:rsidRPr="006A22D3" w:rsidRDefault="00343D24" w:rsidP="00343D24">
      <w:pPr>
        <w:pStyle w:val="Titrearticle"/>
        <w:rPr>
          <w:noProof/>
        </w:rPr>
      </w:pPr>
      <w:r w:rsidRPr="006A22D3">
        <w:rPr>
          <w:noProof/>
        </w:rPr>
        <w:t>Artykuł 1</w:t>
      </w:r>
    </w:p>
    <w:p w:rsidR="00343D24" w:rsidRPr="006A22D3" w:rsidRDefault="00343D24" w:rsidP="00343D24">
      <w:pPr>
        <w:pStyle w:val="Articletitle"/>
        <w:rPr>
          <w:noProof/>
        </w:rPr>
      </w:pPr>
      <w:r w:rsidRPr="006A22D3">
        <w:rPr>
          <w:noProof/>
        </w:rPr>
        <w:t>Przedmiot</w:t>
      </w:r>
    </w:p>
    <w:p w:rsidR="00343D24" w:rsidRPr="006A22D3" w:rsidRDefault="00D91F29" w:rsidP="00D91F29">
      <w:pPr>
        <w:pStyle w:val="ManualNumPar1"/>
        <w:rPr>
          <w:noProof/>
        </w:rPr>
      </w:pPr>
      <w:r w:rsidRPr="00D91F29">
        <w:t>1.</w:t>
      </w:r>
      <w:r w:rsidRPr="00D91F29">
        <w:tab/>
      </w:r>
      <w:r w:rsidR="00343D24" w:rsidRPr="006A22D3">
        <w:rPr>
          <w:noProof/>
        </w:rPr>
        <w:t xml:space="preserve">Niniejsza dyrektywa ustanawia przepisy dotyczące: </w:t>
      </w:r>
    </w:p>
    <w:p w:rsidR="00343D24" w:rsidRPr="006A22D3" w:rsidRDefault="006A22D3" w:rsidP="006A22D3">
      <w:pPr>
        <w:pStyle w:val="Point1"/>
        <w:rPr>
          <w:noProof/>
        </w:rPr>
      </w:pPr>
      <w:r w:rsidRPr="006A22D3">
        <w:rPr>
          <w:noProof/>
        </w:rPr>
        <w:t>a)</w:t>
      </w:r>
      <w:r w:rsidRPr="006A22D3">
        <w:rPr>
          <w:noProof/>
        </w:rPr>
        <w:tab/>
      </w:r>
      <w:r w:rsidR="00343D24" w:rsidRPr="006A22D3">
        <w:rPr>
          <w:noProof/>
        </w:rPr>
        <w:t>obowiązków przedsiębiorstw dotyczących rzeczywistych</w:t>
      </w:r>
      <w:r w:rsidRPr="006A22D3">
        <w:rPr>
          <w:noProof/>
        </w:rPr>
        <w:t xml:space="preserve"> i pot</w:t>
      </w:r>
      <w:r w:rsidR="00343D24" w:rsidRPr="006A22D3">
        <w:rPr>
          <w:noProof/>
        </w:rPr>
        <w:t>encjalnych niekorzystnych skutków dla praw człowieka</w:t>
      </w:r>
      <w:r w:rsidRPr="006A22D3">
        <w:rPr>
          <w:noProof/>
        </w:rPr>
        <w:t xml:space="preserve"> i śro</w:t>
      </w:r>
      <w:r w:rsidR="00343D24" w:rsidRPr="006A22D3">
        <w:rPr>
          <w:noProof/>
        </w:rPr>
        <w:t>dowiska</w:t>
      </w:r>
      <w:r w:rsidRPr="006A22D3">
        <w:rPr>
          <w:noProof/>
        </w:rPr>
        <w:t xml:space="preserve"> w odn</w:t>
      </w:r>
      <w:r w:rsidR="00343D24" w:rsidRPr="006A22D3">
        <w:rPr>
          <w:noProof/>
        </w:rPr>
        <w:t>iesieniu do ich własnej działalności, działalności ich jednostek zależnych oraz działalności</w:t>
      </w:r>
      <w:r w:rsidRPr="006A22D3">
        <w:rPr>
          <w:noProof/>
        </w:rPr>
        <w:t xml:space="preserve"> w ram</w:t>
      </w:r>
      <w:r w:rsidR="00343D24" w:rsidRPr="006A22D3">
        <w:rPr>
          <w:noProof/>
        </w:rPr>
        <w:t>ach łańcucha wartości prowadzonej za pośrednictwem podmiotów,</w:t>
      </w:r>
      <w:r w:rsidRPr="006A22D3">
        <w:rPr>
          <w:noProof/>
        </w:rPr>
        <w:t xml:space="preserve"> z któ</w:t>
      </w:r>
      <w:r w:rsidR="00343D24" w:rsidRPr="006A22D3">
        <w:rPr>
          <w:noProof/>
        </w:rPr>
        <w:t xml:space="preserve">rymi przedsiębiorstwo utrzymuje stałe relacje biznesowe oraz </w:t>
      </w:r>
    </w:p>
    <w:p w:rsidR="00343D24" w:rsidRPr="006A22D3" w:rsidRDefault="006A22D3" w:rsidP="006A22D3">
      <w:pPr>
        <w:pStyle w:val="Point1"/>
        <w:rPr>
          <w:noProof/>
        </w:rPr>
      </w:pPr>
      <w:r w:rsidRPr="006A22D3">
        <w:rPr>
          <w:noProof/>
        </w:rPr>
        <w:t>b)</w:t>
      </w:r>
      <w:r w:rsidRPr="006A22D3">
        <w:rPr>
          <w:noProof/>
        </w:rPr>
        <w:tab/>
      </w:r>
      <w:r w:rsidR="00343D24" w:rsidRPr="006A22D3">
        <w:rPr>
          <w:noProof/>
        </w:rPr>
        <w:t xml:space="preserve">odpowiedzialności za naruszenia wyżej wymienionych obowiązków. </w:t>
      </w:r>
    </w:p>
    <w:p w:rsidR="00343D24" w:rsidRPr="006A22D3" w:rsidRDefault="00343D24" w:rsidP="00021ADA">
      <w:pPr>
        <w:pStyle w:val="Text1"/>
        <w:rPr>
          <w:noProof/>
        </w:rPr>
      </w:pPr>
      <w:r w:rsidRPr="006A22D3">
        <w:rPr>
          <w:noProof/>
        </w:rPr>
        <w:t>„Stałość” relacji biznesowych należy oceniać regularnie,</w:t>
      </w:r>
      <w:r w:rsidR="006A22D3" w:rsidRPr="006A22D3">
        <w:rPr>
          <w:noProof/>
        </w:rPr>
        <w:t xml:space="preserve"> a prz</w:t>
      </w:r>
      <w:r w:rsidRPr="006A22D3">
        <w:rPr>
          <w:noProof/>
        </w:rPr>
        <w:t>ynajmniej co</w:t>
      </w:r>
      <w:r w:rsidR="00192E90" w:rsidRPr="006A22D3">
        <w:rPr>
          <w:noProof/>
        </w:rPr>
        <w:t> </w:t>
      </w:r>
      <w:r w:rsidRPr="006A22D3">
        <w:rPr>
          <w:noProof/>
        </w:rPr>
        <w:t>12 miesięcy.</w:t>
      </w:r>
    </w:p>
    <w:p w:rsidR="00B50352" w:rsidRPr="006A22D3" w:rsidRDefault="00D91F29" w:rsidP="00D91F29">
      <w:pPr>
        <w:pStyle w:val="ManualNumPar1"/>
        <w:rPr>
          <w:noProof/>
        </w:rPr>
      </w:pPr>
      <w:r w:rsidRPr="00D91F29">
        <w:t>2.</w:t>
      </w:r>
      <w:r w:rsidRPr="00D91F29">
        <w:tab/>
      </w:r>
      <w:r w:rsidR="00343D24" w:rsidRPr="006A22D3">
        <w:rPr>
          <w:noProof/>
        </w:rPr>
        <w:t>Niniejsza dyrektywa nie może stanowić podstawy do obniżenia poziomu ochrony praw człowieka, ochrony środowiska lub ochrony klimatu przewidzianego</w:t>
      </w:r>
      <w:r w:rsidR="006A22D3" w:rsidRPr="006A22D3">
        <w:rPr>
          <w:noProof/>
        </w:rPr>
        <w:t xml:space="preserve"> w pra</w:t>
      </w:r>
      <w:r w:rsidR="00343D24" w:rsidRPr="006A22D3">
        <w:rPr>
          <w:noProof/>
        </w:rPr>
        <w:t>wie państw członkowskich</w:t>
      </w:r>
      <w:r w:rsidR="006A22D3" w:rsidRPr="006A22D3">
        <w:rPr>
          <w:noProof/>
        </w:rPr>
        <w:t xml:space="preserve"> w chw</w:t>
      </w:r>
      <w:r w:rsidR="00343D24" w:rsidRPr="006A22D3">
        <w:rPr>
          <w:noProof/>
        </w:rPr>
        <w:t>ili przyjęcia niniejszej dyrektywy.</w:t>
      </w:r>
    </w:p>
    <w:p w:rsidR="00B50352" w:rsidRPr="006A22D3" w:rsidRDefault="00D91F29" w:rsidP="00D91F29">
      <w:pPr>
        <w:pStyle w:val="ManualNumPar1"/>
        <w:rPr>
          <w:noProof/>
        </w:rPr>
      </w:pPr>
      <w:r w:rsidRPr="00D91F29">
        <w:t>3.</w:t>
      </w:r>
      <w:r w:rsidRPr="00D91F29">
        <w:tab/>
      </w:r>
      <w:r w:rsidR="00BD0D4F" w:rsidRPr="006A22D3">
        <w:rPr>
          <w:noProof/>
        </w:rPr>
        <w:t>Przepisy niniejszej dyrektywy pozostają bez uszczerbku dla obowiązków</w:t>
      </w:r>
      <w:r w:rsidR="006A22D3" w:rsidRPr="006A22D3">
        <w:rPr>
          <w:noProof/>
        </w:rPr>
        <w:t xml:space="preserve"> w dzi</w:t>
      </w:r>
      <w:r w:rsidR="00BD0D4F" w:rsidRPr="006A22D3">
        <w:rPr>
          <w:noProof/>
        </w:rPr>
        <w:t>edzinie praw człowieka, ochrony środowiska</w:t>
      </w:r>
      <w:r w:rsidR="006A22D3" w:rsidRPr="006A22D3">
        <w:rPr>
          <w:noProof/>
        </w:rPr>
        <w:t xml:space="preserve"> i zmi</w:t>
      </w:r>
      <w:r w:rsidR="00BD0D4F" w:rsidRPr="006A22D3">
        <w:rPr>
          <w:noProof/>
        </w:rPr>
        <w:t>any klimatu ustanowionych</w:t>
      </w:r>
      <w:r w:rsidR="006A22D3" w:rsidRPr="006A22D3">
        <w:rPr>
          <w:noProof/>
        </w:rPr>
        <w:t xml:space="preserve"> w inn</w:t>
      </w:r>
      <w:r w:rsidR="00BD0D4F" w:rsidRPr="006A22D3">
        <w:rPr>
          <w:noProof/>
        </w:rPr>
        <w:t>ych aktach ustawodawczych Unii. Jeżeli przepisy niniejszej dyrektywy okazałyby się sprzeczne</w:t>
      </w:r>
      <w:r w:rsidR="006A22D3" w:rsidRPr="006A22D3">
        <w:rPr>
          <w:noProof/>
        </w:rPr>
        <w:t xml:space="preserve"> z prz</w:t>
      </w:r>
      <w:r w:rsidR="00BD0D4F" w:rsidRPr="006A22D3">
        <w:rPr>
          <w:noProof/>
        </w:rPr>
        <w:t>episami innego aktu ustawodawczego Unii służącego realizacji tych samych celów</w:t>
      </w:r>
      <w:r w:rsidR="006A22D3" w:rsidRPr="006A22D3">
        <w:rPr>
          <w:noProof/>
        </w:rPr>
        <w:t xml:space="preserve"> i prz</w:t>
      </w:r>
      <w:r w:rsidR="00BD0D4F" w:rsidRPr="006A22D3">
        <w:rPr>
          <w:noProof/>
        </w:rPr>
        <w:t>ewidującego szerzej zakrojone lub precyzyjniej określone obowiązki, pierwszeństwo mają przepisy takiego innego aktu ustawodawczego Unii</w:t>
      </w:r>
      <w:r w:rsidR="006A22D3" w:rsidRPr="006A22D3">
        <w:rPr>
          <w:noProof/>
        </w:rPr>
        <w:t xml:space="preserve"> w zak</w:t>
      </w:r>
      <w:r w:rsidR="00BD0D4F" w:rsidRPr="006A22D3">
        <w:rPr>
          <w:noProof/>
        </w:rPr>
        <w:t>resie,</w:t>
      </w:r>
      <w:r w:rsidR="006A22D3" w:rsidRPr="006A22D3">
        <w:rPr>
          <w:noProof/>
        </w:rPr>
        <w:t xml:space="preserve"> w jak</w:t>
      </w:r>
      <w:r w:rsidR="00BD0D4F" w:rsidRPr="006A22D3">
        <w:rPr>
          <w:noProof/>
        </w:rPr>
        <w:t>im są one sprzeczne</w:t>
      </w:r>
      <w:r w:rsidR="006A22D3" w:rsidRPr="006A22D3">
        <w:rPr>
          <w:noProof/>
        </w:rPr>
        <w:t xml:space="preserve"> z prz</w:t>
      </w:r>
      <w:r w:rsidR="00BD0D4F" w:rsidRPr="006A22D3">
        <w:rPr>
          <w:noProof/>
        </w:rPr>
        <w:t>episami niniejszej dyrektywy, przy czym przepisy takiego innego aktu mają zastosowanie do odpowiednich obowiązków przewidzianych</w:t>
      </w:r>
      <w:r w:rsidR="006A22D3" w:rsidRPr="006A22D3">
        <w:rPr>
          <w:noProof/>
        </w:rPr>
        <w:t xml:space="preserve"> w nin</w:t>
      </w:r>
      <w:r w:rsidR="00BD0D4F" w:rsidRPr="006A22D3">
        <w:rPr>
          <w:noProof/>
        </w:rPr>
        <w:t>iejszej dyrektywie.</w:t>
      </w:r>
    </w:p>
    <w:p w:rsidR="00343D24" w:rsidRPr="006A22D3" w:rsidRDefault="00343D24" w:rsidP="00343D24">
      <w:pPr>
        <w:pStyle w:val="Titrearticle"/>
        <w:rPr>
          <w:noProof/>
        </w:rPr>
      </w:pPr>
      <w:r w:rsidRPr="006A22D3">
        <w:rPr>
          <w:noProof/>
        </w:rPr>
        <w:t>Artykuł 2</w:t>
      </w:r>
    </w:p>
    <w:p w:rsidR="00343D24" w:rsidRPr="006A22D3" w:rsidRDefault="00343D24" w:rsidP="00343D24">
      <w:pPr>
        <w:pStyle w:val="Articletitle"/>
        <w:rPr>
          <w:noProof/>
        </w:rPr>
      </w:pPr>
      <w:r w:rsidRPr="006A22D3">
        <w:rPr>
          <w:noProof/>
        </w:rPr>
        <w:t>Zakres stosowania</w:t>
      </w:r>
    </w:p>
    <w:p w:rsidR="00343D24" w:rsidRPr="006A22D3" w:rsidRDefault="00D91F29" w:rsidP="00D91F29">
      <w:pPr>
        <w:pStyle w:val="ManualNumPar1"/>
        <w:rPr>
          <w:noProof/>
        </w:rPr>
      </w:pPr>
      <w:r w:rsidRPr="00D91F29">
        <w:t>1.</w:t>
      </w:r>
      <w:r w:rsidRPr="00D91F29">
        <w:tab/>
      </w:r>
      <w:r w:rsidR="00343D24" w:rsidRPr="006A22D3">
        <w:rPr>
          <w:noProof/>
        </w:rPr>
        <w:t>Niniejsza dyrektywa ma zastosowanie do przedsiębiorstw, które utworzono zgodnie</w:t>
      </w:r>
      <w:r w:rsidR="006A22D3" w:rsidRPr="006A22D3">
        <w:rPr>
          <w:noProof/>
        </w:rPr>
        <w:t xml:space="preserve"> z ust</w:t>
      </w:r>
      <w:r w:rsidR="00343D24" w:rsidRPr="006A22D3">
        <w:rPr>
          <w:noProof/>
        </w:rPr>
        <w:t>awodawstwem państwa członkowskiego</w:t>
      </w:r>
      <w:r w:rsidR="006A22D3" w:rsidRPr="006A22D3">
        <w:rPr>
          <w:noProof/>
        </w:rPr>
        <w:t xml:space="preserve"> i któ</w:t>
      </w:r>
      <w:r w:rsidR="00343D24" w:rsidRPr="006A22D3">
        <w:rPr>
          <w:noProof/>
        </w:rPr>
        <w:t>re spełniają jeden</w:t>
      </w:r>
      <w:r w:rsidR="006A22D3" w:rsidRPr="006A22D3">
        <w:rPr>
          <w:noProof/>
        </w:rPr>
        <w:t xml:space="preserve"> z pon</w:t>
      </w:r>
      <w:r w:rsidR="00343D24" w:rsidRPr="006A22D3">
        <w:rPr>
          <w:noProof/>
        </w:rPr>
        <w:t>iższych warunków:</w:t>
      </w:r>
    </w:p>
    <w:p w:rsidR="00343D24" w:rsidRPr="006A22D3" w:rsidRDefault="006A22D3" w:rsidP="006A22D3">
      <w:pPr>
        <w:pStyle w:val="Point1"/>
        <w:rPr>
          <w:noProof/>
        </w:rPr>
      </w:pPr>
      <w:r w:rsidRPr="006A22D3">
        <w:rPr>
          <w:noProof/>
        </w:rPr>
        <w:t>a)</w:t>
      </w:r>
      <w:r w:rsidRPr="006A22D3">
        <w:rPr>
          <w:noProof/>
        </w:rPr>
        <w:tab/>
      </w:r>
      <w:r w:rsidR="00343D24" w:rsidRPr="006A22D3">
        <w:rPr>
          <w:noProof/>
        </w:rPr>
        <w:t>w ostatnim roku obrotowym, za który sporządzono roczne sprawozdanie finansowe, przedsiębiorstwo zatrudniało średnio ponad 500 pracowników,</w:t>
      </w:r>
      <w:r w:rsidRPr="006A22D3">
        <w:rPr>
          <w:noProof/>
        </w:rPr>
        <w:t xml:space="preserve"> a jeg</w:t>
      </w:r>
      <w:r w:rsidR="00343D24" w:rsidRPr="006A22D3">
        <w:rPr>
          <w:noProof/>
        </w:rPr>
        <w:t>o przychody netto ze sprzedaży</w:t>
      </w:r>
      <w:r w:rsidRPr="006A22D3">
        <w:rPr>
          <w:noProof/>
        </w:rPr>
        <w:t xml:space="preserve"> w ska</w:t>
      </w:r>
      <w:r w:rsidR="00343D24" w:rsidRPr="006A22D3">
        <w:rPr>
          <w:noProof/>
        </w:rPr>
        <w:t xml:space="preserve">li światowej przekraczały 150 mln EUR; </w:t>
      </w:r>
    </w:p>
    <w:p w:rsidR="00343D24" w:rsidRPr="006A22D3" w:rsidRDefault="006A22D3" w:rsidP="006A22D3">
      <w:pPr>
        <w:pStyle w:val="Point1"/>
        <w:rPr>
          <w:noProof/>
        </w:rPr>
      </w:pPr>
      <w:r w:rsidRPr="006A22D3">
        <w:rPr>
          <w:noProof/>
        </w:rPr>
        <w:t>b)</w:t>
      </w:r>
      <w:r w:rsidRPr="006A22D3">
        <w:rPr>
          <w:noProof/>
        </w:rPr>
        <w:tab/>
      </w:r>
      <w:r w:rsidR="00343D24" w:rsidRPr="006A22D3">
        <w:rPr>
          <w:noProof/>
        </w:rPr>
        <w:t>przedsiębiorstwo nie osiągnęło progów określonych</w:t>
      </w:r>
      <w:r w:rsidRPr="006A22D3">
        <w:rPr>
          <w:noProof/>
        </w:rPr>
        <w:t xml:space="preserve"> w lit</w:t>
      </w:r>
      <w:r w:rsidR="00343D24" w:rsidRPr="006A22D3">
        <w:rPr>
          <w:noProof/>
        </w:rPr>
        <w:t>.</w:t>
      </w:r>
      <w:r w:rsidR="00192E90" w:rsidRPr="006A22D3">
        <w:rPr>
          <w:noProof/>
        </w:rPr>
        <w:t> </w:t>
      </w:r>
      <w:r w:rsidR="00343D24" w:rsidRPr="006A22D3">
        <w:rPr>
          <w:noProof/>
        </w:rPr>
        <w:t>a), ale zatrudniało średnio ponad 250 pracowników</w:t>
      </w:r>
      <w:r w:rsidRPr="006A22D3">
        <w:rPr>
          <w:noProof/>
        </w:rPr>
        <w:t xml:space="preserve"> i w ost</w:t>
      </w:r>
      <w:r w:rsidR="00343D24" w:rsidRPr="006A22D3">
        <w:rPr>
          <w:noProof/>
        </w:rPr>
        <w:t>atnim roku obrotowym, za który sporządzono roczne sprawozdanie finansowe, osiągnęło przychody netto</w:t>
      </w:r>
      <w:r w:rsidRPr="006A22D3">
        <w:rPr>
          <w:noProof/>
        </w:rPr>
        <w:t xml:space="preserve"> w ska</w:t>
      </w:r>
      <w:r w:rsidR="00343D24" w:rsidRPr="006A22D3">
        <w:rPr>
          <w:noProof/>
        </w:rPr>
        <w:t>li światowej</w:t>
      </w:r>
      <w:r w:rsidRPr="006A22D3">
        <w:rPr>
          <w:noProof/>
        </w:rPr>
        <w:t xml:space="preserve"> w wys</w:t>
      </w:r>
      <w:r w:rsidR="00343D24" w:rsidRPr="006A22D3">
        <w:rPr>
          <w:noProof/>
        </w:rPr>
        <w:t>okości ponad 40 mln EUR, pod warunkiem że co najmniej 50</w:t>
      </w:r>
      <w:r w:rsidR="00192E90" w:rsidRPr="006A22D3">
        <w:rPr>
          <w:noProof/>
        </w:rPr>
        <w:t> </w:t>
      </w:r>
      <w:r w:rsidR="00343D24" w:rsidRPr="006A22D3">
        <w:rPr>
          <w:noProof/>
        </w:rPr>
        <w:t>% tych przychodów netto ze sprzedaży uzyskano</w:t>
      </w:r>
      <w:r w:rsidRPr="006A22D3">
        <w:rPr>
          <w:noProof/>
        </w:rPr>
        <w:t xml:space="preserve"> w jed</w:t>
      </w:r>
      <w:r w:rsidR="00343D24" w:rsidRPr="006A22D3">
        <w:rPr>
          <w:noProof/>
        </w:rPr>
        <w:t>nym lub kilku</w:t>
      </w:r>
      <w:r w:rsidRPr="006A22D3">
        <w:rPr>
          <w:noProof/>
        </w:rPr>
        <w:t xml:space="preserve"> z nas</w:t>
      </w:r>
      <w:r w:rsidR="00343D24" w:rsidRPr="006A22D3">
        <w:rPr>
          <w:noProof/>
        </w:rPr>
        <w:t>tępujących sektorów:</w:t>
      </w:r>
    </w:p>
    <w:p w:rsidR="00343D24" w:rsidRPr="006A22D3" w:rsidRDefault="006A22D3" w:rsidP="00343D24">
      <w:pPr>
        <w:pStyle w:val="Point2"/>
        <w:rPr>
          <w:noProof/>
        </w:rPr>
      </w:pPr>
      <w:r w:rsidRPr="006A22D3">
        <w:rPr>
          <w:noProof/>
        </w:rPr>
        <w:t>i)</w:t>
      </w:r>
      <w:r w:rsidRPr="006A22D3">
        <w:rPr>
          <w:noProof/>
        </w:rPr>
        <w:tab/>
      </w:r>
      <w:r w:rsidR="00343D24" w:rsidRPr="006A22D3">
        <w:rPr>
          <w:noProof/>
        </w:rPr>
        <w:t>produkcja wyrobów tekstylnych, skór</w:t>
      </w:r>
      <w:r w:rsidRPr="006A22D3">
        <w:rPr>
          <w:noProof/>
        </w:rPr>
        <w:t xml:space="preserve"> i wyr</w:t>
      </w:r>
      <w:r w:rsidR="00343D24" w:rsidRPr="006A22D3">
        <w:rPr>
          <w:noProof/>
        </w:rPr>
        <w:t>obów ze skór wyprawionych (w</w:t>
      </w:r>
      <w:r w:rsidR="00E40005" w:rsidRPr="006A22D3">
        <w:rPr>
          <w:noProof/>
        </w:rPr>
        <w:t> </w:t>
      </w:r>
      <w:r w:rsidR="00343D24" w:rsidRPr="006A22D3">
        <w:rPr>
          <w:noProof/>
        </w:rPr>
        <w:t>tym obuwia) oraz sprzedaż hurtowa wyrobów tekstylnych, odzieży</w:t>
      </w:r>
      <w:r w:rsidRPr="006A22D3">
        <w:rPr>
          <w:noProof/>
        </w:rPr>
        <w:t xml:space="preserve"> i obu</w:t>
      </w:r>
      <w:r w:rsidR="00343D24" w:rsidRPr="006A22D3">
        <w:rPr>
          <w:noProof/>
        </w:rPr>
        <w:t>wia;</w:t>
      </w:r>
    </w:p>
    <w:p w:rsidR="00343D24" w:rsidRPr="006A22D3" w:rsidRDefault="006A22D3" w:rsidP="00343D24">
      <w:pPr>
        <w:pStyle w:val="Point2"/>
        <w:rPr>
          <w:noProof/>
        </w:rPr>
      </w:pPr>
      <w:r w:rsidRPr="006A22D3">
        <w:rPr>
          <w:noProof/>
        </w:rPr>
        <w:t>ii)</w:t>
      </w:r>
      <w:r w:rsidRPr="006A22D3">
        <w:rPr>
          <w:noProof/>
        </w:rPr>
        <w:tab/>
      </w:r>
      <w:r w:rsidR="00343D24" w:rsidRPr="006A22D3">
        <w:rPr>
          <w:noProof/>
        </w:rPr>
        <w:t>rolnictwo, leśnictwo, rybołówstwo (w tym akwakultura), produkcja artykułów spożywczych oraz sprzedaż hurtowa płodów rolnych, żywych zwierząt, drewna, żywności</w:t>
      </w:r>
      <w:r w:rsidRPr="006A22D3">
        <w:rPr>
          <w:noProof/>
        </w:rPr>
        <w:t xml:space="preserve"> i nap</w:t>
      </w:r>
      <w:r w:rsidR="00343D24" w:rsidRPr="006A22D3">
        <w:rPr>
          <w:noProof/>
        </w:rPr>
        <w:t>ojów;</w:t>
      </w:r>
    </w:p>
    <w:p w:rsidR="00343D24" w:rsidRPr="006A22D3" w:rsidRDefault="00343D24" w:rsidP="00343D24">
      <w:pPr>
        <w:pStyle w:val="Point2"/>
        <w:rPr>
          <w:noProof/>
        </w:rPr>
      </w:pPr>
      <w:r w:rsidRPr="006A22D3">
        <w:rPr>
          <w:noProof/>
        </w:rPr>
        <w:t>(iii)</w:t>
      </w:r>
      <w:r w:rsidRPr="006A22D3">
        <w:rPr>
          <w:noProof/>
        </w:rPr>
        <w:tab/>
        <w:t>wydobycie surowców mineralnych niezależ</w:t>
      </w:r>
      <w:r w:rsidR="00E40005" w:rsidRPr="006A22D3">
        <w:rPr>
          <w:noProof/>
        </w:rPr>
        <w:t>nie od miejsca ich wydobycia (w </w:t>
      </w:r>
      <w:r w:rsidRPr="006A22D3">
        <w:rPr>
          <w:noProof/>
        </w:rPr>
        <w:t>tym ropy naftowej, gazu ziemnego, węgla kamiennego, węgla brunatnego (lignitu), metali</w:t>
      </w:r>
      <w:r w:rsidR="006A22D3" w:rsidRPr="006A22D3">
        <w:rPr>
          <w:noProof/>
        </w:rPr>
        <w:t xml:space="preserve"> i rud</w:t>
      </w:r>
      <w:r w:rsidRPr="006A22D3">
        <w:rPr>
          <w:noProof/>
        </w:rPr>
        <w:t xml:space="preserve"> metali, jak również wszystkich innych niemetalicznych surowców mineralnych</w:t>
      </w:r>
      <w:r w:rsidR="006A22D3" w:rsidRPr="006A22D3">
        <w:rPr>
          <w:noProof/>
        </w:rPr>
        <w:t xml:space="preserve"> i pro</w:t>
      </w:r>
      <w:r w:rsidRPr="006A22D3">
        <w:rPr>
          <w:noProof/>
        </w:rPr>
        <w:t>duktów</w:t>
      </w:r>
      <w:r w:rsidR="006A22D3" w:rsidRPr="006A22D3">
        <w:rPr>
          <w:noProof/>
        </w:rPr>
        <w:t xml:space="preserve"> z kam</w:t>
      </w:r>
      <w:r w:rsidRPr="006A22D3">
        <w:rPr>
          <w:noProof/>
        </w:rPr>
        <w:t>ieniołomów), produkcja podstawowych wyrobów metalowych, innych produktów</w:t>
      </w:r>
      <w:r w:rsidR="006A22D3" w:rsidRPr="006A22D3">
        <w:rPr>
          <w:noProof/>
        </w:rPr>
        <w:t xml:space="preserve"> z nie</w:t>
      </w:r>
      <w:r w:rsidRPr="006A22D3">
        <w:rPr>
          <w:noProof/>
        </w:rPr>
        <w:t>metalicznych surowców mineralnych</w:t>
      </w:r>
      <w:r w:rsidR="006A22D3" w:rsidRPr="006A22D3">
        <w:rPr>
          <w:noProof/>
        </w:rPr>
        <w:t xml:space="preserve"> i got</w:t>
      </w:r>
      <w:r w:rsidRPr="006A22D3">
        <w:rPr>
          <w:noProof/>
        </w:rPr>
        <w:t>owych wyrobów metalowych (z wyjątkiem maszyn</w:t>
      </w:r>
      <w:r w:rsidR="006A22D3" w:rsidRPr="006A22D3">
        <w:rPr>
          <w:noProof/>
        </w:rPr>
        <w:t xml:space="preserve"> i urz</w:t>
      </w:r>
      <w:r w:rsidRPr="006A22D3">
        <w:rPr>
          <w:noProof/>
        </w:rPr>
        <w:t>ądzeń) oraz handel hurtowy surowcami mineralnymi, podstawowymi</w:t>
      </w:r>
      <w:r w:rsidR="006A22D3" w:rsidRPr="006A22D3">
        <w:rPr>
          <w:noProof/>
        </w:rPr>
        <w:t xml:space="preserve"> i poś</w:t>
      </w:r>
      <w:r w:rsidRPr="006A22D3">
        <w:rPr>
          <w:noProof/>
        </w:rPr>
        <w:t>rednimi produktami mineralnymi (w tym metalami</w:t>
      </w:r>
      <w:r w:rsidR="006A22D3" w:rsidRPr="006A22D3">
        <w:rPr>
          <w:noProof/>
        </w:rPr>
        <w:t xml:space="preserve"> i rud</w:t>
      </w:r>
      <w:r w:rsidRPr="006A22D3">
        <w:rPr>
          <w:noProof/>
        </w:rPr>
        <w:t>ami metali, materiałami budowlanymi, paliwami, chemikaliami</w:t>
      </w:r>
      <w:r w:rsidR="006A22D3" w:rsidRPr="006A22D3">
        <w:rPr>
          <w:noProof/>
        </w:rPr>
        <w:t xml:space="preserve"> i inn</w:t>
      </w:r>
      <w:r w:rsidRPr="006A22D3">
        <w:rPr>
          <w:noProof/>
        </w:rPr>
        <w:t>ymi produktami pośrednimi).</w:t>
      </w:r>
    </w:p>
    <w:p w:rsidR="00343D24" w:rsidRPr="006A22D3" w:rsidRDefault="00D91F29" w:rsidP="00D91F29">
      <w:pPr>
        <w:pStyle w:val="ManualNumPar1"/>
        <w:rPr>
          <w:noProof/>
        </w:rPr>
      </w:pPr>
      <w:r w:rsidRPr="00D91F29">
        <w:t>2.</w:t>
      </w:r>
      <w:r w:rsidRPr="00D91F29">
        <w:tab/>
      </w:r>
      <w:r w:rsidR="00343D24" w:rsidRPr="006A22D3">
        <w:rPr>
          <w:noProof/>
        </w:rPr>
        <w:t>Niniejsza dyrektywa ma również zastosowanie do przedsiębiorstw, które utworzono zgodnie</w:t>
      </w:r>
      <w:r w:rsidR="006A22D3" w:rsidRPr="006A22D3">
        <w:rPr>
          <w:noProof/>
        </w:rPr>
        <w:t xml:space="preserve"> z ust</w:t>
      </w:r>
      <w:r w:rsidR="00343D24" w:rsidRPr="006A22D3">
        <w:rPr>
          <w:noProof/>
        </w:rPr>
        <w:t>awodawstwem państwa trzeciego</w:t>
      </w:r>
      <w:r w:rsidR="006A22D3" w:rsidRPr="006A22D3">
        <w:rPr>
          <w:noProof/>
        </w:rPr>
        <w:t xml:space="preserve"> i któ</w:t>
      </w:r>
      <w:r w:rsidR="00343D24" w:rsidRPr="006A22D3">
        <w:rPr>
          <w:noProof/>
        </w:rPr>
        <w:t>re spełniają jeden</w:t>
      </w:r>
      <w:r w:rsidR="006A22D3" w:rsidRPr="006A22D3">
        <w:rPr>
          <w:noProof/>
        </w:rPr>
        <w:t xml:space="preserve"> z pon</w:t>
      </w:r>
      <w:r w:rsidR="00343D24" w:rsidRPr="006A22D3">
        <w:rPr>
          <w:noProof/>
        </w:rPr>
        <w:t>iższych warunków:</w:t>
      </w:r>
    </w:p>
    <w:p w:rsidR="00343D24" w:rsidRPr="006A22D3" w:rsidRDefault="006A22D3" w:rsidP="006A22D3">
      <w:pPr>
        <w:pStyle w:val="Point1"/>
        <w:rPr>
          <w:noProof/>
        </w:rPr>
      </w:pPr>
      <w:r w:rsidRPr="006A22D3">
        <w:rPr>
          <w:noProof/>
        </w:rPr>
        <w:t>a)</w:t>
      </w:r>
      <w:r w:rsidRPr="006A22D3">
        <w:rPr>
          <w:noProof/>
        </w:rPr>
        <w:tab/>
      </w:r>
      <w:r w:rsidR="00343D24" w:rsidRPr="006A22D3">
        <w:rPr>
          <w:noProof/>
        </w:rPr>
        <w:t>odnotowały</w:t>
      </w:r>
      <w:r w:rsidRPr="006A22D3">
        <w:rPr>
          <w:noProof/>
        </w:rPr>
        <w:t xml:space="preserve"> w Uni</w:t>
      </w:r>
      <w:r w:rsidR="00343D24" w:rsidRPr="006A22D3">
        <w:rPr>
          <w:noProof/>
        </w:rPr>
        <w:t>i przychody netto ze sprzedaży powyżej 150 mln EUR</w:t>
      </w:r>
      <w:r w:rsidRPr="006A22D3">
        <w:rPr>
          <w:noProof/>
        </w:rPr>
        <w:t xml:space="preserve"> w rok</w:t>
      </w:r>
      <w:r w:rsidR="00343D24" w:rsidRPr="006A22D3">
        <w:rPr>
          <w:noProof/>
        </w:rPr>
        <w:t>u obrotowym poprzedzającym ostatni rok obrotowy;</w:t>
      </w:r>
    </w:p>
    <w:p w:rsidR="00343D24" w:rsidRPr="006A22D3" w:rsidRDefault="006A22D3" w:rsidP="006A22D3">
      <w:pPr>
        <w:pStyle w:val="Point1"/>
        <w:rPr>
          <w:noProof/>
        </w:rPr>
      </w:pPr>
      <w:r w:rsidRPr="006A22D3">
        <w:rPr>
          <w:noProof/>
        </w:rPr>
        <w:t>b)</w:t>
      </w:r>
      <w:r w:rsidRPr="006A22D3">
        <w:rPr>
          <w:noProof/>
        </w:rPr>
        <w:tab/>
      </w:r>
      <w:r w:rsidR="00343D24" w:rsidRPr="006A22D3">
        <w:rPr>
          <w:noProof/>
        </w:rPr>
        <w:t>odnotowały</w:t>
      </w:r>
      <w:r w:rsidRPr="006A22D3">
        <w:rPr>
          <w:noProof/>
        </w:rPr>
        <w:t xml:space="preserve"> w Uni</w:t>
      </w:r>
      <w:r w:rsidR="00343D24" w:rsidRPr="006A22D3">
        <w:rPr>
          <w:noProof/>
        </w:rPr>
        <w:t>i przychody netto ze sprzedaży</w:t>
      </w:r>
      <w:r w:rsidRPr="006A22D3">
        <w:rPr>
          <w:noProof/>
        </w:rPr>
        <w:t xml:space="preserve"> w wys</w:t>
      </w:r>
      <w:r w:rsidR="00343D24" w:rsidRPr="006A22D3">
        <w:rPr>
          <w:noProof/>
        </w:rPr>
        <w:t>okości powyżej 40 mln EUR, ale nie więcej niż 150 mln EUR</w:t>
      </w:r>
      <w:r w:rsidRPr="006A22D3">
        <w:rPr>
          <w:noProof/>
        </w:rPr>
        <w:t xml:space="preserve"> w rok</w:t>
      </w:r>
      <w:r w:rsidR="00343D24" w:rsidRPr="006A22D3">
        <w:rPr>
          <w:noProof/>
        </w:rPr>
        <w:t>u obrotowym poprzedzającym ostatni rok obrotowy, pod warunkiem że co najmniej 50</w:t>
      </w:r>
      <w:r w:rsidR="00192E90" w:rsidRPr="006A22D3">
        <w:rPr>
          <w:noProof/>
        </w:rPr>
        <w:t> </w:t>
      </w:r>
      <w:r w:rsidR="00343D24" w:rsidRPr="006A22D3">
        <w:rPr>
          <w:noProof/>
        </w:rPr>
        <w:t>% przychodów netto ze sprzedaży</w:t>
      </w:r>
      <w:r w:rsidRPr="006A22D3">
        <w:rPr>
          <w:noProof/>
        </w:rPr>
        <w:t xml:space="preserve"> w ska</w:t>
      </w:r>
      <w:r w:rsidR="00343D24" w:rsidRPr="006A22D3">
        <w:rPr>
          <w:noProof/>
        </w:rPr>
        <w:t>li światowej odnotowano w co najmniej jednym</w:t>
      </w:r>
      <w:r w:rsidRPr="006A22D3">
        <w:rPr>
          <w:noProof/>
        </w:rPr>
        <w:t xml:space="preserve"> z sek</w:t>
      </w:r>
      <w:r w:rsidR="00343D24" w:rsidRPr="006A22D3">
        <w:rPr>
          <w:noProof/>
        </w:rPr>
        <w:t>torów,</w:t>
      </w:r>
      <w:r w:rsidRPr="006A22D3">
        <w:rPr>
          <w:noProof/>
        </w:rPr>
        <w:t xml:space="preserve"> o któ</w:t>
      </w:r>
      <w:r w:rsidR="00343D24" w:rsidRPr="006A22D3">
        <w:rPr>
          <w:noProof/>
        </w:rPr>
        <w:t>rych mowa</w:t>
      </w:r>
      <w:r w:rsidRPr="006A22D3">
        <w:rPr>
          <w:noProof/>
        </w:rPr>
        <w:t xml:space="preserve"> w ust</w:t>
      </w:r>
      <w:r w:rsidR="00343D24" w:rsidRPr="006A22D3">
        <w:rPr>
          <w:noProof/>
        </w:rPr>
        <w:t>.</w:t>
      </w:r>
      <w:r w:rsidR="00192E90" w:rsidRPr="006A22D3">
        <w:rPr>
          <w:noProof/>
        </w:rPr>
        <w:t> </w:t>
      </w:r>
      <w:r w:rsidR="00343D24" w:rsidRPr="006A22D3">
        <w:rPr>
          <w:noProof/>
        </w:rPr>
        <w:t>1 lit.</w:t>
      </w:r>
      <w:r w:rsidR="00192E90" w:rsidRPr="006A22D3">
        <w:rPr>
          <w:noProof/>
        </w:rPr>
        <w:t> </w:t>
      </w:r>
      <w:r w:rsidR="00343D24" w:rsidRPr="006A22D3">
        <w:rPr>
          <w:noProof/>
        </w:rPr>
        <w:t xml:space="preserve">b). </w:t>
      </w:r>
    </w:p>
    <w:p w:rsidR="00343D24" w:rsidRPr="006A22D3" w:rsidRDefault="00D91F29" w:rsidP="00D91F29">
      <w:pPr>
        <w:pStyle w:val="ManualNumPar1"/>
        <w:rPr>
          <w:noProof/>
        </w:rPr>
      </w:pPr>
      <w:r w:rsidRPr="00D91F29">
        <w:t>3.</w:t>
      </w:r>
      <w:r w:rsidRPr="00D91F29">
        <w:tab/>
      </w:r>
      <w:r w:rsidR="00343D24" w:rsidRPr="006A22D3">
        <w:rPr>
          <w:noProof/>
        </w:rPr>
        <w:t>Do celów ust.</w:t>
      </w:r>
      <w:r w:rsidR="00192E90" w:rsidRPr="006A22D3">
        <w:rPr>
          <w:noProof/>
        </w:rPr>
        <w:t> </w:t>
      </w:r>
      <w:r w:rsidR="00343D24" w:rsidRPr="006A22D3">
        <w:rPr>
          <w:noProof/>
        </w:rPr>
        <w:t>1 liczbę pracowników zatrudnionych</w:t>
      </w:r>
      <w:r w:rsidR="006A22D3" w:rsidRPr="006A22D3">
        <w:rPr>
          <w:noProof/>
        </w:rPr>
        <w:t xml:space="preserve"> w nie</w:t>
      </w:r>
      <w:r w:rsidR="00343D24" w:rsidRPr="006A22D3">
        <w:rPr>
          <w:noProof/>
        </w:rPr>
        <w:t>pełnym wymiarze czasu pracy oblicza się</w:t>
      </w:r>
      <w:r w:rsidR="006A22D3" w:rsidRPr="006A22D3">
        <w:rPr>
          <w:noProof/>
        </w:rPr>
        <w:t xml:space="preserve"> w prz</w:t>
      </w:r>
      <w:r w:rsidR="00343D24" w:rsidRPr="006A22D3">
        <w:rPr>
          <w:noProof/>
        </w:rPr>
        <w:t>eliczeniu na pełne etaty. Pracowników tymczasowych uwzględnia się przy obliczaniu liczby pracowników</w:t>
      </w:r>
      <w:r w:rsidR="006A22D3" w:rsidRPr="006A22D3">
        <w:rPr>
          <w:noProof/>
        </w:rPr>
        <w:t xml:space="preserve"> w tak</w:t>
      </w:r>
      <w:r w:rsidR="00343D24" w:rsidRPr="006A22D3">
        <w:rPr>
          <w:noProof/>
        </w:rPr>
        <w:t>i sam sposób, jak gdyby byli oni pracownikami zatrudnionymi bezpośrednio przez przedsiębiorstwo na ten sam okres.</w:t>
      </w:r>
    </w:p>
    <w:p w:rsidR="00343D24" w:rsidRPr="006A22D3" w:rsidRDefault="00D91F29" w:rsidP="00D91F29">
      <w:pPr>
        <w:pStyle w:val="ManualNumPar1"/>
        <w:rPr>
          <w:noProof/>
        </w:rPr>
      </w:pPr>
      <w:r w:rsidRPr="00D91F29">
        <w:t>4.</w:t>
      </w:r>
      <w:r w:rsidRPr="00D91F29">
        <w:tab/>
      </w:r>
      <w:r w:rsidR="00343D24" w:rsidRPr="006A22D3">
        <w:rPr>
          <w:noProof/>
        </w:rPr>
        <w:t>Jeżeli chodzi</w:t>
      </w:r>
      <w:r w:rsidR="006A22D3" w:rsidRPr="006A22D3">
        <w:rPr>
          <w:noProof/>
        </w:rPr>
        <w:t xml:space="preserve"> o prz</w:t>
      </w:r>
      <w:r w:rsidR="00343D24" w:rsidRPr="006A22D3">
        <w:rPr>
          <w:noProof/>
        </w:rPr>
        <w:t>edsiębiorstwa,</w:t>
      </w:r>
      <w:r w:rsidR="006A22D3" w:rsidRPr="006A22D3">
        <w:rPr>
          <w:noProof/>
        </w:rPr>
        <w:t xml:space="preserve"> o któ</w:t>
      </w:r>
      <w:r w:rsidR="00343D24" w:rsidRPr="006A22D3">
        <w:rPr>
          <w:noProof/>
        </w:rPr>
        <w:t>rych mowa</w:t>
      </w:r>
      <w:r w:rsidR="006A22D3" w:rsidRPr="006A22D3">
        <w:rPr>
          <w:noProof/>
        </w:rPr>
        <w:t xml:space="preserve"> w ust</w:t>
      </w:r>
      <w:r w:rsidR="00343D24" w:rsidRPr="006A22D3">
        <w:rPr>
          <w:noProof/>
        </w:rPr>
        <w:t>.</w:t>
      </w:r>
      <w:r w:rsidR="00192E90" w:rsidRPr="006A22D3">
        <w:rPr>
          <w:noProof/>
        </w:rPr>
        <w:t> </w:t>
      </w:r>
      <w:r w:rsidR="00343D24" w:rsidRPr="006A22D3">
        <w:rPr>
          <w:noProof/>
        </w:rPr>
        <w:t>1, państwem członkowskim właściwym do regulowania kwestii objętych niniejszą dyrektywą jest państwo członkowskie,</w:t>
      </w:r>
      <w:r w:rsidR="006A22D3" w:rsidRPr="006A22D3">
        <w:rPr>
          <w:noProof/>
        </w:rPr>
        <w:t xml:space="preserve"> w któ</w:t>
      </w:r>
      <w:r w:rsidR="00343D24" w:rsidRPr="006A22D3">
        <w:rPr>
          <w:noProof/>
        </w:rPr>
        <w:t>rym przedsiębiorstwo ma siedzibę statutową.</w:t>
      </w:r>
    </w:p>
    <w:p w:rsidR="00343D24" w:rsidRPr="006A22D3" w:rsidRDefault="00343D24" w:rsidP="00343D24">
      <w:pPr>
        <w:pStyle w:val="Titrearticle"/>
        <w:rPr>
          <w:noProof/>
        </w:rPr>
      </w:pPr>
      <w:r w:rsidRPr="006A22D3">
        <w:rPr>
          <w:noProof/>
        </w:rPr>
        <w:t>Artykuł 3</w:t>
      </w:r>
    </w:p>
    <w:p w:rsidR="00343D24" w:rsidRPr="006A22D3" w:rsidRDefault="00343D24" w:rsidP="00343D24">
      <w:pPr>
        <w:pStyle w:val="Articletitle"/>
        <w:rPr>
          <w:noProof/>
        </w:rPr>
      </w:pPr>
      <w:r w:rsidRPr="006A22D3">
        <w:rPr>
          <w:noProof/>
        </w:rPr>
        <w:t xml:space="preserve">Definicje </w:t>
      </w:r>
    </w:p>
    <w:p w:rsidR="00343D24" w:rsidRPr="006A22D3" w:rsidRDefault="00343D24" w:rsidP="00343D24">
      <w:pPr>
        <w:keepNext/>
        <w:rPr>
          <w:noProof/>
        </w:rPr>
      </w:pPr>
      <w:r w:rsidRPr="006A22D3">
        <w:rPr>
          <w:noProof/>
        </w:rPr>
        <w:t>Do celów niniejszej dyrektywy stosuje się następujące definicje:</w:t>
      </w:r>
    </w:p>
    <w:p w:rsidR="00343D24" w:rsidRPr="006A22D3" w:rsidRDefault="006A22D3" w:rsidP="006A22D3">
      <w:pPr>
        <w:pStyle w:val="Point0"/>
        <w:rPr>
          <w:noProof/>
        </w:rPr>
      </w:pPr>
      <w:r w:rsidRPr="006A22D3">
        <w:rPr>
          <w:noProof/>
        </w:rPr>
        <w:t>a)</w:t>
      </w:r>
      <w:r w:rsidRPr="006A22D3">
        <w:rPr>
          <w:noProof/>
        </w:rPr>
        <w:tab/>
      </w:r>
      <w:r w:rsidR="00343D24" w:rsidRPr="006A22D3">
        <w:rPr>
          <w:noProof/>
        </w:rPr>
        <w:t>„przedsiębiorstwo” oznacza którekolwiek</w:t>
      </w:r>
      <w:r w:rsidRPr="006A22D3">
        <w:rPr>
          <w:noProof/>
        </w:rPr>
        <w:t xml:space="preserve"> z pon</w:t>
      </w:r>
      <w:r w:rsidR="00343D24" w:rsidRPr="006A22D3">
        <w:rPr>
          <w:noProof/>
        </w:rPr>
        <w:t xml:space="preserve">iższych: </w:t>
      </w:r>
    </w:p>
    <w:p w:rsidR="00343D24" w:rsidRPr="006A22D3" w:rsidRDefault="006A22D3" w:rsidP="00343D24">
      <w:pPr>
        <w:pStyle w:val="Point1"/>
        <w:rPr>
          <w:noProof/>
        </w:rPr>
      </w:pPr>
      <w:r w:rsidRPr="006A22D3">
        <w:rPr>
          <w:noProof/>
        </w:rPr>
        <w:t>i)</w:t>
      </w:r>
      <w:r w:rsidRPr="006A22D3">
        <w:rPr>
          <w:noProof/>
        </w:rPr>
        <w:tab/>
      </w:r>
      <w:r w:rsidR="00343D24" w:rsidRPr="006A22D3">
        <w:rPr>
          <w:noProof/>
        </w:rPr>
        <w:t>osobę prawną odpowiadającą jednej</w:t>
      </w:r>
      <w:r w:rsidRPr="006A22D3">
        <w:rPr>
          <w:noProof/>
        </w:rPr>
        <w:t xml:space="preserve"> z for</w:t>
      </w:r>
      <w:r w:rsidR="00343D24" w:rsidRPr="006A22D3">
        <w:rPr>
          <w:noProof/>
        </w:rPr>
        <w:t>m prawnych wymienionych</w:t>
      </w:r>
      <w:r w:rsidRPr="006A22D3">
        <w:rPr>
          <w:noProof/>
        </w:rPr>
        <w:t xml:space="preserve"> w zał</w:t>
      </w:r>
      <w:r w:rsidR="00343D24" w:rsidRPr="006A22D3">
        <w:rPr>
          <w:noProof/>
        </w:rPr>
        <w:t>ączniku I do dyrektywy Parlamentu Europejskiego</w:t>
      </w:r>
      <w:r w:rsidRPr="006A22D3">
        <w:rPr>
          <w:noProof/>
        </w:rPr>
        <w:t xml:space="preserve"> i Rad</w:t>
      </w:r>
      <w:r w:rsidR="00343D24" w:rsidRPr="006A22D3">
        <w:rPr>
          <w:noProof/>
        </w:rPr>
        <w:t>y 2013/34/UE</w:t>
      </w:r>
      <w:r w:rsidR="00343D24" w:rsidRPr="006A22D3">
        <w:rPr>
          <w:rStyle w:val="FootnoteReference"/>
          <w:noProof/>
        </w:rPr>
        <w:footnoteReference w:id="111"/>
      </w:r>
      <w:r w:rsidR="00343D24" w:rsidRPr="006A22D3">
        <w:rPr>
          <w:noProof/>
        </w:rPr>
        <w:t>;</w:t>
      </w:r>
    </w:p>
    <w:p w:rsidR="00343D24" w:rsidRPr="006A22D3" w:rsidRDefault="006A22D3" w:rsidP="00343D24">
      <w:pPr>
        <w:pStyle w:val="Point1"/>
        <w:rPr>
          <w:noProof/>
        </w:rPr>
      </w:pPr>
      <w:r w:rsidRPr="006A22D3">
        <w:rPr>
          <w:noProof/>
        </w:rPr>
        <w:t>ii)</w:t>
      </w:r>
      <w:r w:rsidRPr="006A22D3">
        <w:rPr>
          <w:noProof/>
        </w:rPr>
        <w:tab/>
      </w:r>
      <w:r w:rsidR="00343D24" w:rsidRPr="006A22D3">
        <w:rPr>
          <w:noProof/>
        </w:rPr>
        <w:t>osobę prawną utworzoną zgodnie</w:t>
      </w:r>
      <w:r w:rsidRPr="006A22D3">
        <w:rPr>
          <w:noProof/>
        </w:rPr>
        <w:t xml:space="preserve"> z pra</w:t>
      </w:r>
      <w:r w:rsidR="00343D24" w:rsidRPr="006A22D3">
        <w:rPr>
          <w:noProof/>
        </w:rPr>
        <w:t>wem państwa trzeciego odpowiadającą formie porównywalnej do tych wymienionych</w:t>
      </w:r>
      <w:r w:rsidRPr="006A22D3">
        <w:rPr>
          <w:noProof/>
        </w:rPr>
        <w:t xml:space="preserve"> w zał</w:t>
      </w:r>
      <w:r w:rsidR="00343D24" w:rsidRPr="006A22D3">
        <w:rPr>
          <w:noProof/>
        </w:rPr>
        <w:t>ączniku I i II do tej dyrektywy;</w:t>
      </w:r>
    </w:p>
    <w:p w:rsidR="00343D24" w:rsidRPr="006A22D3" w:rsidRDefault="00343D24" w:rsidP="00343D24">
      <w:pPr>
        <w:pStyle w:val="Point1"/>
        <w:rPr>
          <w:noProof/>
        </w:rPr>
      </w:pPr>
      <w:r w:rsidRPr="006A22D3">
        <w:rPr>
          <w:noProof/>
        </w:rPr>
        <w:t>(iii)</w:t>
      </w:r>
      <w:r w:rsidRPr="006A22D3">
        <w:rPr>
          <w:noProof/>
        </w:rPr>
        <w:tab/>
        <w:t>osobę prawną odpowiadającą jednej</w:t>
      </w:r>
      <w:r w:rsidR="006A22D3" w:rsidRPr="006A22D3">
        <w:rPr>
          <w:noProof/>
        </w:rPr>
        <w:t xml:space="preserve"> z for</w:t>
      </w:r>
      <w:r w:rsidRPr="006A22D3">
        <w:rPr>
          <w:noProof/>
        </w:rPr>
        <w:t>m prawnych wymienionych</w:t>
      </w:r>
      <w:r w:rsidR="006A22D3" w:rsidRPr="006A22D3">
        <w:rPr>
          <w:noProof/>
        </w:rPr>
        <w:t xml:space="preserve"> w zał</w:t>
      </w:r>
      <w:r w:rsidRPr="006A22D3">
        <w:rPr>
          <w:noProof/>
        </w:rPr>
        <w:t>ączniku II do dyrektywy 2013/34/UE składającą się</w:t>
      </w:r>
      <w:r w:rsidR="006A22D3" w:rsidRPr="006A22D3">
        <w:rPr>
          <w:noProof/>
        </w:rPr>
        <w:t xml:space="preserve"> w cał</w:t>
      </w:r>
      <w:r w:rsidRPr="006A22D3">
        <w:rPr>
          <w:noProof/>
        </w:rPr>
        <w:t>ości</w:t>
      </w:r>
      <w:r w:rsidR="006A22D3" w:rsidRPr="006A22D3">
        <w:rPr>
          <w:noProof/>
        </w:rPr>
        <w:t xml:space="preserve"> z prz</w:t>
      </w:r>
      <w:r w:rsidRPr="006A22D3">
        <w:rPr>
          <w:noProof/>
        </w:rPr>
        <w:t>edsiębiorstw, których organizacja odpowiada jednej</w:t>
      </w:r>
      <w:r w:rsidR="006A22D3" w:rsidRPr="006A22D3">
        <w:rPr>
          <w:noProof/>
        </w:rPr>
        <w:t xml:space="preserve"> z for</w:t>
      </w:r>
      <w:r w:rsidRPr="006A22D3">
        <w:rPr>
          <w:noProof/>
        </w:rPr>
        <w:t>m prawnych objętych ppkt (i) i (ii);</w:t>
      </w:r>
    </w:p>
    <w:p w:rsidR="00343D24" w:rsidRPr="006A22D3" w:rsidRDefault="006A22D3" w:rsidP="00343D24">
      <w:pPr>
        <w:pStyle w:val="Point1"/>
        <w:rPr>
          <w:noProof/>
        </w:rPr>
      </w:pPr>
      <w:r w:rsidRPr="006A22D3">
        <w:rPr>
          <w:noProof/>
        </w:rPr>
        <w:t>iv)</w:t>
      </w:r>
      <w:r w:rsidRPr="006A22D3">
        <w:rPr>
          <w:noProof/>
        </w:rPr>
        <w:tab/>
      </w:r>
      <w:r w:rsidR="00343D24" w:rsidRPr="006A22D3">
        <w:rPr>
          <w:noProof/>
        </w:rPr>
        <w:t>regulowane przedsiębiorstwo finansowe, niezależnie od jego formy prawnej, będące:</w:t>
      </w:r>
    </w:p>
    <w:p w:rsidR="00343D24" w:rsidRPr="006A22D3" w:rsidRDefault="00DA20CC" w:rsidP="009C14EF">
      <w:pPr>
        <w:pStyle w:val="Tiret2"/>
        <w:numPr>
          <w:ilvl w:val="0"/>
          <w:numId w:val="25"/>
        </w:numPr>
        <w:rPr>
          <w:noProof/>
        </w:rPr>
      </w:pPr>
      <w:r w:rsidRPr="006A22D3">
        <w:rPr>
          <w:noProof/>
        </w:rPr>
        <w:t>instytucją kredytową zdefiniowaną</w:t>
      </w:r>
      <w:r w:rsidR="006A22D3" w:rsidRPr="006A22D3">
        <w:rPr>
          <w:noProof/>
        </w:rPr>
        <w:t xml:space="preserve"> w art</w:t>
      </w:r>
      <w:r w:rsidRPr="006A22D3">
        <w:rPr>
          <w:noProof/>
        </w:rPr>
        <w:t>.</w:t>
      </w:r>
      <w:r w:rsidR="00192E90" w:rsidRPr="006A22D3">
        <w:rPr>
          <w:noProof/>
        </w:rPr>
        <w:t> </w:t>
      </w:r>
      <w:r w:rsidRPr="006A22D3">
        <w:rPr>
          <w:noProof/>
        </w:rPr>
        <w:t>4 ust.</w:t>
      </w:r>
      <w:r w:rsidR="00192E90" w:rsidRPr="006A22D3">
        <w:rPr>
          <w:noProof/>
        </w:rPr>
        <w:t> </w:t>
      </w:r>
      <w:r w:rsidRPr="006A22D3">
        <w:rPr>
          <w:noProof/>
        </w:rPr>
        <w:t>1 pkt</w:t>
      </w:r>
      <w:r w:rsidR="00192E90" w:rsidRPr="006A22D3">
        <w:rPr>
          <w:noProof/>
        </w:rPr>
        <w:t> </w:t>
      </w:r>
      <w:r w:rsidRPr="006A22D3">
        <w:rPr>
          <w:noProof/>
        </w:rPr>
        <w:t>1 rozporządzenia Parlamentu Europejskiego</w:t>
      </w:r>
      <w:r w:rsidR="006A22D3" w:rsidRPr="006A22D3">
        <w:rPr>
          <w:noProof/>
        </w:rPr>
        <w:t xml:space="preserve"> i Rad</w:t>
      </w:r>
      <w:r w:rsidRPr="006A22D3">
        <w:rPr>
          <w:noProof/>
        </w:rPr>
        <w:t>y (UE) nr</w:t>
      </w:r>
      <w:r w:rsidR="00192E90" w:rsidRPr="006A22D3">
        <w:rPr>
          <w:noProof/>
        </w:rPr>
        <w:t> </w:t>
      </w:r>
      <w:r w:rsidRPr="006A22D3">
        <w:rPr>
          <w:noProof/>
        </w:rPr>
        <w:t>575/2013</w:t>
      </w:r>
      <w:r w:rsidRPr="006A22D3">
        <w:rPr>
          <w:rStyle w:val="FootnoteReference"/>
          <w:noProof/>
        </w:rPr>
        <w:footnoteReference w:id="112"/>
      </w:r>
      <w:r w:rsidRPr="006A22D3">
        <w:rPr>
          <w:noProof/>
        </w:rPr>
        <w:t>;</w:t>
      </w:r>
    </w:p>
    <w:p w:rsidR="00DA20CC" w:rsidRPr="006A22D3" w:rsidRDefault="00DA20CC" w:rsidP="00343D24">
      <w:pPr>
        <w:pStyle w:val="Tiret2"/>
        <w:rPr>
          <w:noProof/>
        </w:rPr>
      </w:pPr>
      <w:r w:rsidRPr="006A22D3">
        <w:rPr>
          <w:noProof/>
        </w:rPr>
        <w:t>firmą inwestycyjną zdefiniowaną</w:t>
      </w:r>
      <w:r w:rsidR="006A22D3" w:rsidRPr="006A22D3">
        <w:rPr>
          <w:noProof/>
        </w:rPr>
        <w:t xml:space="preserve"> w art</w:t>
      </w:r>
      <w:r w:rsidRPr="006A22D3">
        <w:rPr>
          <w:noProof/>
        </w:rPr>
        <w:t>.</w:t>
      </w:r>
      <w:r w:rsidR="00192E90" w:rsidRPr="006A22D3">
        <w:rPr>
          <w:noProof/>
        </w:rPr>
        <w:t> </w:t>
      </w:r>
      <w:r w:rsidRPr="006A22D3">
        <w:rPr>
          <w:noProof/>
        </w:rPr>
        <w:t>4 ust.</w:t>
      </w:r>
      <w:r w:rsidR="00192E90" w:rsidRPr="006A22D3">
        <w:rPr>
          <w:noProof/>
        </w:rPr>
        <w:t> </w:t>
      </w:r>
      <w:r w:rsidRPr="006A22D3">
        <w:rPr>
          <w:noProof/>
        </w:rPr>
        <w:t>1 pkt</w:t>
      </w:r>
      <w:r w:rsidR="00192E90" w:rsidRPr="006A22D3">
        <w:rPr>
          <w:noProof/>
        </w:rPr>
        <w:t> </w:t>
      </w:r>
      <w:r w:rsidRPr="006A22D3">
        <w:rPr>
          <w:noProof/>
        </w:rPr>
        <w:t>1 dyrektywy Parlamentu Europejskiego</w:t>
      </w:r>
      <w:r w:rsidR="006A22D3" w:rsidRPr="006A22D3">
        <w:rPr>
          <w:noProof/>
        </w:rPr>
        <w:t xml:space="preserve"> i Rad</w:t>
      </w:r>
      <w:r w:rsidRPr="006A22D3">
        <w:rPr>
          <w:noProof/>
        </w:rPr>
        <w:t>y 2014/65/UE</w:t>
      </w:r>
      <w:r w:rsidRPr="006A22D3">
        <w:rPr>
          <w:rStyle w:val="FootnoteReference"/>
          <w:noProof/>
        </w:rPr>
        <w:footnoteReference w:id="113"/>
      </w:r>
      <w:r w:rsidRPr="006A22D3">
        <w:rPr>
          <w:noProof/>
        </w:rPr>
        <w:t>;</w:t>
      </w:r>
    </w:p>
    <w:p w:rsidR="00DA20CC" w:rsidRPr="006A22D3" w:rsidRDefault="00DA20CC" w:rsidP="00343D24">
      <w:pPr>
        <w:pStyle w:val="Tiret2"/>
        <w:rPr>
          <w:noProof/>
        </w:rPr>
      </w:pPr>
      <w:r w:rsidRPr="006A22D3">
        <w:rPr>
          <w:noProof/>
        </w:rPr>
        <w:t>zarządzającym alternatywnym funduszem inwestycyjnym (ZAFI) zdefiniowanym</w:t>
      </w:r>
      <w:r w:rsidR="006A22D3" w:rsidRPr="006A22D3">
        <w:rPr>
          <w:noProof/>
        </w:rPr>
        <w:t xml:space="preserve"> w art</w:t>
      </w:r>
      <w:r w:rsidRPr="006A22D3">
        <w:rPr>
          <w:noProof/>
        </w:rPr>
        <w:t>.</w:t>
      </w:r>
      <w:r w:rsidR="00192E90" w:rsidRPr="006A22D3">
        <w:rPr>
          <w:noProof/>
        </w:rPr>
        <w:t> </w:t>
      </w:r>
      <w:r w:rsidRPr="006A22D3">
        <w:rPr>
          <w:noProof/>
        </w:rPr>
        <w:t>4 ust.</w:t>
      </w:r>
      <w:r w:rsidR="00192E90" w:rsidRPr="006A22D3">
        <w:rPr>
          <w:noProof/>
        </w:rPr>
        <w:t> </w:t>
      </w:r>
      <w:r w:rsidRPr="006A22D3">
        <w:rPr>
          <w:noProof/>
        </w:rPr>
        <w:t>1 lit.</w:t>
      </w:r>
      <w:r w:rsidR="00192E90" w:rsidRPr="006A22D3">
        <w:rPr>
          <w:noProof/>
        </w:rPr>
        <w:t> </w:t>
      </w:r>
      <w:r w:rsidRPr="006A22D3">
        <w:rPr>
          <w:noProof/>
        </w:rPr>
        <w:t>b) dyrektywy Parlamentu Europejskiego</w:t>
      </w:r>
      <w:r w:rsidR="006A22D3" w:rsidRPr="006A22D3">
        <w:rPr>
          <w:noProof/>
        </w:rPr>
        <w:t xml:space="preserve"> i Rad</w:t>
      </w:r>
      <w:r w:rsidRPr="006A22D3">
        <w:rPr>
          <w:noProof/>
        </w:rPr>
        <w:t>y 2011/61/UE (2),</w:t>
      </w:r>
      <w:r w:rsidR="006A22D3" w:rsidRPr="006A22D3">
        <w:rPr>
          <w:noProof/>
        </w:rPr>
        <w:t xml:space="preserve"> w tym</w:t>
      </w:r>
      <w:r w:rsidRPr="006A22D3">
        <w:rPr>
          <w:noProof/>
        </w:rPr>
        <w:t xml:space="preserve"> zarządzającym EuVECA</w:t>
      </w:r>
      <w:r w:rsidR="006A22D3" w:rsidRPr="006A22D3">
        <w:rPr>
          <w:noProof/>
        </w:rPr>
        <w:t xml:space="preserve"> w roz</w:t>
      </w:r>
      <w:r w:rsidRPr="006A22D3">
        <w:rPr>
          <w:noProof/>
        </w:rPr>
        <w:t>umieniu rozporządzenia Parlamentu Europejskiego</w:t>
      </w:r>
      <w:r w:rsidR="006A22D3" w:rsidRPr="006A22D3">
        <w:rPr>
          <w:noProof/>
        </w:rPr>
        <w:t xml:space="preserve"> i Rad</w:t>
      </w:r>
      <w:r w:rsidRPr="006A22D3">
        <w:rPr>
          <w:noProof/>
        </w:rPr>
        <w:t>y (UE) nr</w:t>
      </w:r>
      <w:r w:rsidR="00192E90" w:rsidRPr="006A22D3">
        <w:rPr>
          <w:noProof/>
        </w:rPr>
        <w:t> </w:t>
      </w:r>
      <w:r w:rsidRPr="006A22D3">
        <w:rPr>
          <w:noProof/>
        </w:rPr>
        <w:t>345/2013</w:t>
      </w:r>
      <w:r w:rsidRPr="006A22D3">
        <w:rPr>
          <w:rStyle w:val="FootnoteReference"/>
          <w:noProof/>
        </w:rPr>
        <w:footnoteReference w:id="114"/>
      </w:r>
      <w:r w:rsidRPr="006A22D3">
        <w:rPr>
          <w:noProof/>
        </w:rPr>
        <w:t>, zarządzającym EuSEF</w:t>
      </w:r>
      <w:r w:rsidR="006A22D3" w:rsidRPr="006A22D3">
        <w:rPr>
          <w:noProof/>
        </w:rPr>
        <w:t xml:space="preserve"> w roz</w:t>
      </w:r>
      <w:r w:rsidRPr="006A22D3">
        <w:rPr>
          <w:noProof/>
        </w:rPr>
        <w:t>umieniu rozporządzenia Parlamentu Europejskiego</w:t>
      </w:r>
      <w:r w:rsidR="006A22D3" w:rsidRPr="006A22D3">
        <w:rPr>
          <w:noProof/>
        </w:rPr>
        <w:t xml:space="preserve"> i Rad</w:t>
      </w:r>
      <w:r w:rsidRPr="006A22D3">
        <w:rPr>
          <w:noProof/>
        </w:rPr>
        <w:t>y (UE) nr</w:t>
      </w:r>
      <w:r w:rsidR="00192E90" w:rsidRPr="006A22D3">
        <w:rPr>
          <w:noProof/>
        </w:rPr>
        <w:t> </w:t>
      </w:r>
      <w:r w:rsidRPr="006A22D3">
        <w:rPr>
          <w:noProof/>
        </w:rPr>
        <w:t>346/2013</w:t>
      </w:r>
      <w:r w:rsidRPr="006A22D3">
        <w:rPr>
          <w:rStyle w:val="FootnoteReference"/>
          <w:noProof/>
        </w:rPr>
        <w:footnoteReference w:id="115"/>
      </w:r>
      <w:r w:rsidRPr="006A22D3">
        <w:rPr>
          <w:noProof/>
        </w:rPr>
        <w:t xml:space="preserve"> oraz zarządzającym EDFI</w:t>
      </w:r>
      <w:r w:rsidR="006A22D3" w:rsidRPr="006A22D3">
        <w:rPr>
          <w:noProof/>
        </w:rPr>
        <w:t xml:space="preserve"> w roz</w:t>
      </w:r>
      <w:r w:rsidRPr="006A22D3">
        <w:rPr>
          <w:noProof/>
        </w:rPr>
        <w:t>umieniu rozporządzenia Parlamentu Europejskiego</w:t>
      </w:r>
      <w:r w:rsidR="006A22D3" w:rsidRPr="006A22D3">
        <w:rPr>
          <w:noProof/>
        </w:rPr>
        <w:t xml:space="preserve"> i Rad</w:t>
      </w:r>
      <w:r w:rsidRPr="006A22D3">
        <w:rPr>
          <w:noProof/>
        </w:rPr>
        <w:t>y (UE) 2015/760</w:t>
      </w:r>
      <w:r w:rsidRPr="006A22D3">
        <w:rPr>
          <w:rStyle w:val="FootnoteReference"/>
          <w:noProof/>
        </w:rPr>
        <w:footnoteReference w:id="116"/>
      </w:r>
      <w:r w:rsidRPr="006A22D3">
        <w:rPr>
          <w:noProof/>
        </w:rPr>
        <w:t>;</w:t>
      </w:r>
    </w:p>
    <w:p w:rsidR="00DA20CC" w:rsidRPr="006A22D3" w:rsidRDefault="00DA20CC" w:rsidP="00343D24">
      <w:pPr>
        <w:pStyle w:val="Tiret2"/>
        <w:rPr>
          <w:noProof/>
        </w:rPr>
      </w:pPr>
      <w:r w:rsidRPr="006A22D3">
        <w:rPr>
          <w:noProof/>
        </w:rPr>
        <w:t>spółką zarządzającą przedsiębiorstwem zbiorowego inwestowania</w:t>
      </w:r>
      <w:r w:rsidR="006A22D3" w:rsidRPr="006A22D3">
        <w:rPr>
          <w:noProof/>
        </w:rPr>
        <w:t xml:space="preserve"> w zby</w:t>
      </w:r>
      <w:r w:rsidRPr="006A22D3">
        <w:rPr>
          <w:noProof/>
        </w:rPr>
        <w:t>walne papiery wartościowe (UCITS) zdefiniowaną</w:t>
      </w:r>
      <w:r w:rsidR="006A22D3" w:rsidRPr="006A22D3">
        <w:rPr>
          <w:noProof/>
        </w:rPr>
        <w:t xml:space="preserve"> w art</w:t>
      </w:r>
      <w:r w:rsidRPr="006A22D3">
        <w:rPr>
          <w:noProof/>
        </w:rPr>
        <w:t>.</w:t>
      </w:r>
      <w:r w:rsidR="00192E90" w:rsidRPr="006A22D3">
        <w:rPr>
          <w:noProof/>
        </w:rPr>
        <w:t> </w:t>
      </w:r>
      <w:r w:rsidRPr="006A22D3">
        <w:rPr>
          <w:noProof/>
        </w:rPr>
        <w:t>2 ust.</w:t>
      </w:r>
      <w:r w:rsidR="00192E90" w:rsidRPr="006A22D3">
        <w:rPr>
          <w:noProof/>
        </w:rPr>
        <w:t> </w:t>
      </w:r>
      <w:r w:rsidRPr="006A22D3">
        <w:rPr>
          <w:noProof/>
        </w:rPr>
        <w:t>1 lit.</w:t>
      </w:r>
      <w:r w:rsidR="00192E90" w:rsidRPr="006A22D3">
        <w:rPr>
          <w:noProof/>
        </w:rPr>
        <w:t> </w:t>
      </w:r>
      <w:r w:rsidRPr="006A22D3">
        <w:rPr>
          <w:noProof/>
        </w:rPr>
        <w:t>b) dyrektywy Parlamentu Europejskiego</w:t>
      </w:r>
      <w:r w:rsidR="006A22D3" w:rsidRPr="006A22D3">
        <w:rPr>
          <w:noProof/>
        </w:rPr>
        <w:t xml:space="preserve"> i Rad</w:t>
      </w:r>
      <w:r w:rsidRPr="006A22D3">
        <w:rPr>
          <w:noProof/>
        </w:rPr>
        <w:t>y 2009/65/WE</w:t>
      </w:r>
      <w:r w:rsidRPr="006A22D3">
        <w:rPr>
          <w:rStyle w:val="FootnoteReference"/>
          <w:noProof/>
        </w:rPr>
        <w:footnoteReference w:id="117"/>
      </w:r>
      <w:r w:rsidRPr="006A22D3">
        <w:rPr>
          <w:noProof/>
        </w:rPr>
        <w:t>;</w:t>
      </w:r>
    </w:p>
    <w:p w:rsidR="00DA20CC" w:rsidRPr="006A22D3" w:rsidRDefault="00DA20CC" w:rsidP="00343D24">
      <w:pPr>
        <w:pStyle w:val="Tiret2"/>
        <w:rPr>
          <w:noProof/>
        </w:rPr>
      </w:pPr>
      <w:r w:rsidRPr="006A22D3">
        <w:rPr>
          <w:noProof/>
        </w:rPr>
        <w:t>zakładem ubezpieczeń zdefiniowanym</w:t>
      </w:r>
      <w:r w:rsidR="006A22D3" w:rsidRPr="006A22D3">
        <w:rPr>
          <w:noProof/>
        </w:rPr>
        <w:t xml:space="preserve"> w art</w:t>
      </w:r>
      <w:r w:rsidRPr="006A22D3">
        <w:rPr>
          <w:noProof/>
        </w:rPr>
        <w:t>.</w:t>
      </w:r>
      <w:r w:rsidR="00192E90" w:rsidRPr="006A22D3">
        <w:rPr>
          <w:noProof/>
        </w:rPr>
        <w:t> </w:t>
      </w:r>
      <w:r w:rsidRPr="006A22D3">
        <w:rPr>
          <w:noProof/>
        </w:rPr>
        <w:t>13 pkt</w:t>
      </w:r>
      <w:r w:rsidR="00192E90" w:rsidRPr="006A22D3">
        <w:rPr>
          <w:noProof/>
        </w:rPr>
        <w:t> </w:t>
      </w:r>
      <w:r w:rsidRPr="006A22D3">
        <w:rPr>
          <w:noProof/>
        </w:rPr>
        <w:t>1 dyrektywy Parlamentu Europejskiego</w:t>
      </w:r>
      <w:r w:rsidR="006A22D3" w:rsidRPr="006A22D3">
        <w:rPr>
          <w:noProof/>
        </w:rPr>
        <w:t xml:space="preserve"> i Rad</w:t>
      </w:r>
      <w:r w:rsidRPr="006A22D3">
        <w:rPr>
          <w:noProof/>
        </w:rPr>
        <w:t>y 2009/138/WE</w:t>
      </w:r>
      <w:r w:rsidRPr="006A22D3">
        <w:rPr>
          <w:rStyle w:val="FootnoteReference"/>
          <w:noProof/>
          <w:szCs w:val="24"/>
        </w:rPr>
        <w:footnoteReference w:id="118"/>
      </w:r>
      <w:r w:rsidRPr="006A22D3">
        <w:rPr>
          <w:noProof/>
        </w:rPr>
        <w:t>;</w:t>
      </w:r>
    </w:p>
    <w:p w:rsidR="00DA20CC" w:rsidRPr="006A22D3" w:rsidRDefault="00DA20CC" w:rsidP="00343D24">
      <w:pPr>
        <w:pStyle w:val="Tiret2"/>
        <w:rPr>
          <w:noProof/>
        </w:rPr>
      </w:pPr>
      <w:r w:rsidRPr="006A22D3">
        <w:rPr>
          <w:noProof/>
        </w:rPr>
        <w:t>zakładem reasekuracji zdefiniowanym</w:t>
      </w:r>
      <w:r w:rsidR="006A22D3" w:rsidRPr="006A22D3">
        <w:rPr>
          <w:noProof/>
        </w:rPr>
        <w:t xml:space="preserve"> w art</w:t>
      </w:r>
      <w:r w:rsidRPr="006A22D3">
        <w:rPr>
          <w:noProof/>
        </w:rPr>
        <w:t>.</w:t>
      </w:r>
      <w:r w:rsidR="00192E90" w:rsidRPr="006A22D3">
        <w:rPr>
          <w:noProof/>
        </w:rPr>
        <w:t> </w:t>
      </w:r>
      <w:r w:rsidRPr="006A22D3">
        <w:rPr>
          <w:noProof/>
        </w:rPr>
        <w:t>13 pkt</w:t>
      </w:r>
      <w:r w:rsidR="00192E90" w:rsidRPr="006A22D3">
        <w:rPr>
          <w:noProof/>
        </w:rPr>
        <w:t> </w:t>
      </w:r>
      <w:r w:rsidRPr="006A22D3">
        <w:rPr>
          <w:noProof/>
        </w:rPr>
        <w:t>4 dyrektywy 2009/138/WE;</w:t>
      </w:r>
    </w:p>
    <w:p w:rsidR="00DA20CC" w:rsidRPr="006A22D3" w:rsidRDefault="00DA20CC" w:rsidP="00343D24">
      <w:pPr>
        <w:pStyle w:val="Tiret2"/>
        <w:rPr>
          <w:noProof/>
        </w:rPr>
      </w:pPr>
      <w:r w:rsidRPr="006A22D3">
        <w:rPr>
          <w:noProof/>
        </w:rPr>
        <w:t>instytucją pracowniczą programów emerytalnych zdefiniowaną</w:t>
      </w:r>
      <w:r w:rsidR="006A22D3" w:rsidRPr="006A22D3">
        <w:rPr>
          <w:noProof/>
        </w:rPr>
        <w:t xml:space="preserve"> w art</w:t>
      </w:r>
      <w:r w:rsidRPr="006A22D3">
        <w:rPr>
          <w:noProof/>
        </w:rPr>
        <w:t>.</w:t>
      </w:r>
      <w:r w:rsidR="00192E90" w:rsidRPr="006A22D3">
        <w:rPr>
          <w:noProof/>
        </w:rPr>
        <w:t> </w:t>
      </w:r>
      <w:r w:rsidRPr="006A22D3">
        <w:rPr>
          <w:noProof/>
        </w:rPr>
        <w:t>1 pkt</w:t>
      </w:r>
      <w:r w:rsidR="00192E90" w:rsidRPr="006A22D3">
        <w:rPr>
          <w:noProof/>
        </w:rPr>
        <w:t> </w:t>
      </w:r>
      <w:r w:rsidRPr="006A22D3">
        <w:rPr>
          <w:noProof/>
        </w:rPr>
        <w:t>6 dyrektywy Parlamentu Europejskiego</w:t>
      </w:r>
      <w:r w:rsidR="006A22D3" w:rsidRPr="006A22D3">
        <w:rPr>
          <w:noProof/>
        </w:rPr>
        <w:t xml:space="preserve"> i Rad</w:t>
      </w:r>
      <w:r w:rsidRPr="006A22D3">
        <w:rPr>
          <w:noProof/>
        </w:rPr>
        <w:t>y (UE) 2016/2341</w:t>
      </w:r>
      <w:r w:rsidRPr="006A22D3">
        <w:rPr>
          <w:rStyle w:val="FootnoteReference"/>
          <w:noProof/>
          <w:szCs w:val="24"/>
        </w:rPr>
        <w:footnoteReference w:id="119"/>
      </w:r>
      <w:r w:rsidRPr="006A22D3">
        <w:rPr>
          <w:noProof/>
        </w:rPr>
        <w:t>;</w:t>
      </w:r>
    </w:p>
    <w:p w:rsidR="00DA20CC" w:rsidRPr="006A22D3" w:rsidRDefault="00DA20CC" w:rsidP="00343D24">
      <w:pPr>
        <w:pStyle w:val="Tiret2"/>
        <w:rPr>
          <w:noProof/>
        </w:rPr>
      </w:pPr>
      <w:r w:rsidRPr="006A22D3">
        <w:rPr>
          <w:noProof/>
        </w:rPr>
        <w:t>instytucjami emerytalnymi obsługującymi programy emerytalne, które uznaje się za systemy zabezpieczenia społecznego objęte rozporządzeniem Parlamentu Europejskiego</w:t>
      </w:r>
      <w:r w:rsidR="006A22D3" w:rsidRPr="006A22D3">
        <w:rPr>
          <w:noProof/>
        </w:rPr>
        <w:t xml:space="preserve"> i Rad</w:t>
      </w:r>
      <w:r w:rsidRPr="006A22D3">
        <w:rPr>
          <w:noProof/>
        </w:rPr>
        <w:t>y (WE) nr</w:t>
      </w:r>
      <w:r w:rsidR="00192E90" w:rsidRPr="006A22D3">
        <w:rPr>
          <w:noProof/>
        </w:rPr>
        <w:t> </w:t>
      </w:r>
      <w:r w:rsidRPr="006A22D3">
        <w:rPr>
          <w:noProof/>
        </w:rPr>
        <w:t>883/2004</w:t>
      </w:r>
      <w:r w:rsidRPr="006A22D3">
        <w:rPr>
          <w:rStyle w:val="FootnoteReference"/>
          <w:noProof/>
          <w:szCs w:val="24"/>
        </w:rPr>
        <w:footnoteReference w:id="120"/>
      </w:r>
      <w:r w:rsidR="006A22D3" w:rsidRPr="006A22D3">
        <w:rPr>
          <w:noProof/>
        </w:rPr>
        <w:t xml:space="preserve"> i roz</w:t>
      </w:r>
      <w:r w:rsidRPr="006A22D3">
        <w:rPr>
          <w:noProof/>
        </w:rPr>
        <w:t>porządzeniem Parlamentu Europejskiego</w:t>
      </w:r>
      <w:r w:rsidR="006A22D3" w:rsidRPr="006A22D3">
        <w:rPr>
          <w:noProof/>
        </w:rPr>
        <w:t xml:space="preserve"> i Rad</w:t>
      </w:r>
      <w:r w:rsidRPr="006A22D3">
        <w:rPr>
          <w:noProof/>
        </w:rPr>
        <w:t>y (WE) nr</w:t>
      </w:r>
      <w:r w:rsidR="00192E90" w:rsidRPr="006A22D3">
        <w:rPr>
          <w:noProof/>
        </w:rPr>
        <w:t> </w:t>
      </w:r>
      <w:r w:rsidRPr="006A22D3">
        <w:rPr>
          <w:noProof/>
        </w:rPr>
        <w:t>987/2009</w:t>
      </w:r>
      <w:r w:rsidRPr="006A22D3">
        <w:rPr>
          <w:rStyle w:val="FootnoteReference"/>
          <w:noProof/>
          <w:szCs w:val="24"/>
        </w:rPr>
        <w:footnoteReference w:id="121"/>
      </w:r>
      <w:r w:rsidRPr="006A22D3">
        <w:rPr>
          <w:noProof/>
        </w:rPr>
        <w:t>, jak również wszelkimi podmiotami prawnymi utworzonymi</w:t>
      </w:r>
      <w:r w:rsidR="006A22D3" w:rsidRPr="006A22D3">
        <w:rPr>
          <w:noProof/>
        </w:rPr>
        <w:t xml:space="preserve"> w cel</w:t>
      </w:r>
      <w:r w:rsidRPr="006A22D3">
        <w:rPr>
          <w:noProof/>
        </w:rPr>
        <w:t>u inwestowania</w:t>
      </w:r>
      <w:r w:rsidR="006A22D3" w:rsidRPr="006A22D3">
        <w:rPr>
          <w:noProof/>
        </w:rPr>
        <w:t xml:space="preserve"> w ram</w:t>
      </w:r>
      <w:r w:rsidRPr="006A22D3">
        <w:rPr>
          <w:noProof/>
        </w:rPr>
        <w:t>ach takich programów;</w:t>
      </w:r>
    </w:p>
    <w:p w:rsidR="00DA20CC" w:rsidRPr="006A22D3" w:rsidRDefault="00DA20CC" w:rsidP="00343D24">
      <w:pPr>
        <w:pStyle w:val="Tiret2"/>
        <w:rPr>
          <w:noProof/>
        </w:rPr>
      </w:pPr>
      <w:r w:rsidRPr="006A22D3">
        <w:rPr>
          <w:noProof/>
        </w:rPr>
        <w:t>alternatywnym funduszem inwestycyjnym (AFI) zarządzanym przez ZAFI zdefiniowanym</w:t>
      </w:r>
      <w:r w:rsidR="006A22D3" w:rsidRPr="006A22D3">
        <w:rPr>
          <w:noProof/>
        </w:rPr>
        <w:t xml:space="preserve"> w art</w:t>
      </w:r>
      <w:r w:rsidRPr="006A22D3">
        <w:rPr>
          <w:noProof/>
        </w:rPr>
        <w:t>.</w:t>
      </w:r>
      <w:r w:rsidR="00192E90" w:rsidRPr="006A22D3">
        <w:rPr>
          <w:noProof/>
        </w:rPr>
        <w:t> </w:t>
      </w:r>
      <w:r w:rsidRPr="006A22D3">
        <w:rPr>
          <w:noProof/>
        </w:rPr>
        <w:t>4 ust.</w:t>
      </w:r>
      <w:r w:rsidR="00192E90" w:rsidRPr="006A22D3">
        <w:rPr>
          <w:noProof/>
        </w:rPr>
        <w:t> </w:t>
      </w:r>
      <w:r w:rsidRPr="006A22D3">
        <w:rPr>
          <w:noProof/>
        </w:rPr>
        <w:t>1 lit.</w:t>
      </w:r>
      <w:r w:rsidR="00192E90" w:rsidRPr="006A22D3">
        <w:rPr>
          <w:noProof/>
        </w:rPr>
        <w:t> </w:t>
      </w:r>
      <w:r w:rsidRPr="006A22D3">
        <w:rPr>
          <w:noProof/>
        </w:rPr>
        <w:t>b) dyrektywy 2011/61/UE lub AFI nadzorowanym na mocy mających zastosowanie przepisów krajowych;</w:t>
      </w:r>
    </w:p>
    <w:p w:rsidR="00DA20CC" w:rsidRPr="006A22D3" w:rsidRDefault="00DA20CC" w:rsidP="00343D24">
      <w:pPr>
        <w:pStyle w:val="Tiret2"/>
        <w:rPr>
          <w:noProof/>
        </w:rPr>
      </w:pPr>
      <w:r w:rsidRPr="006A22D3">
        <w:rPr>
          <w:noProof/>
        </w:rPr>
        <w:t>UCITS</w:t>
      </w:r>
      <w:r w:rsidR="006A22D3" w:rsidRPr="006A22D3">
        <w:rPr>
          <w:noProof/>
        </w:rPr>
        <w:t xml:space="preserve"> w roz</w:t>
      </w:r>
      <w:r w:rsidRPr="006A22D3">
        <w:rPr>
          <w:noProof/>
        </w:rPr>
        <w:t>umieniu art.</w:t>
      </w:r>
      <w:r w:rsidR="00192E90" w:rsidRPr="006A22D3">
        <w:rPr>
          <w:noProof/>
        </w:rPr>
        <w:t> </w:t>
      </w:r>
      <w:r w:rsidRPr="006A22D3">
        <w:rPr>
          <w:noProof/>
        </w:rPr>
        <w:t>1 ust.</w:t>
      </w:r>
      <w:r w:rsidR="00192E90" w:rsidRPr="006A22D3">
        <w:rPr>
          <w:noProof/>
        </w:rPr>
        <w:t> </w:t>
      </w:r>
      <w:r w:rsidRPr="006A22D3">
        <w:rPr>
          <w:noProof/>
        </w:rPr>
        <w:t>2 dyrektywy 2009/65/WE;</w:t>
      </w:r>
    </w:p>
    <w:p w:rsidR="00DA20CC" w:rsidRPr="006A22D3" w:rsidRDefault="00DA20CC" w:rsidP="00343D24">
      <w:pPr>
        <w:pStyle w:val="Tiret2"/>
        <w:rPr>
          <w:noProof/>
        </w:rPr>
      </w:pPr>
      <w:r w:rsidRPr="006A22D3">
        <w:rPr>
          <w:noProof/>
        </w:rPr>
        <w:t>kontrahentem centralnym zdefiniowanym</w:t>
      </w:r>
      <w:r w:rsidR="006A22D3" w:rsidRPr="006A22D3">
        <w:rPr>
          <w:noProof/>
        </w:rPr>
        <w:t xml:space="preserve"> w art</w:t>
      </w:r>
      <w:r w:rsidRPr="006A22D3">
        <w:rPr>
          <w:noProof/>
        </w:rPr>
        <w:t>.</w:t>
      </w:r>
      <w:r w:rsidR="00192E90" w:rsidRPr="006A22D3">
        <w:rPr>
          <w:noProof/>
        </w:rPr>
        <w:t> </w:t>
      </w:r>
      <w:r w:rsidRPr="006A22D3">
        <w:rPr>
          <w:noProof/>
        </w:rPr>
        <w:t>2 pkt</w:t>
      </w:r>
      <w:r w:rsidR="00192E90" w:rsidRPr="006A22D3">
        <w:rPr>
          <w:noProof/>
        </w:rPr>
        <w:t> </w:t>
      </w:r>
      <w:r w:rsidRPr="006A22D3">
        <w:rPr>
          <w:noProof/>
        </w:rPr>
        <w:t>1 rozporządzenia Parlamentu Europejskiego</w:t>
      </w:r>
      <w:r w:rsidR="006A22D3" w:rsidRPr="006A22D3">
        <w:rPr>
          <w:noProof/>
        </w:rPr>
        <w:t xml:space="preserve"> i Rad</w:t>
      </w:r>
      <w:r w:rsidRPr="006A22D3">
        <w:rPr>
          <w:noProof/>
        </w:rPr>
        <w:t>y (UE) nr</w:t>
      </w:r>
      <w:r w:rsidR="00192E90" w:rsidRPr="006A22D3">
        <w:rPr>
          <w:noProof/>
        </w:rPr>
        <w:t> </w:t>
      </w:r>
      <w:r w:rsidRPr="006A22D3">
        <w:rPr>
          <w:noProof/>
        </w:rPr>
        <w:t>648/2012</w:t>
      </w:r>
      <w:r w:rsidRPr="006A22D3">
        <w:rPr>
          <w:rStyle w:val="FootnoteReference"/>
          <w:noProof/>
          <w:szCs w:val="24"/>
        </w:rPr>
        <w:footnoteReference w:id="122"/>
      </w:r>
      <w:r w:rsidRPr="006A22D3">
        <w:rPr>
          <w:noProof/>
        </w:rPr>
        <w:t>;</w:t>
      </w:r>
    </w:p>
    <w:p w:rsidR="00DA20CC" w:rsidRPr="006A22D3" w:rsidRDefault="00DA20CC" w:rsidP="00343D24">
      <w:pPr>
        <w:pStyle w:val="Tiret2"/>
        <w:rPr>
          <w:noProof/>
        </w:rPr>
      </w:pPr>
      <w:r w:rsidRPr="006A22D3">
        <w:rPr>
          <w:noProof/>
        </w:rPr>
        <w:t>centralnym depozytem papierów wartościowych zdefiniowanym</w:t>
      </w:r>
      <w:r w:rsidR="006A22D3" w:rsidRPr="006A22D3">
        <w:rPr>
          <w:noProof/>
        </w:rPr>
        <w:t xml:space="preserve"> w art</w:t>
      </w:r>
      <w:r w:rsidRPr="006A22D3">
        <w:rPr>
          <w:noProof/>
        </w:rPr>
        <w:t>.</w:t>
      </w:r>
      <w:r w:rsidR="00192E90" w:rsidRPr="006A22D3">
        <w:rPr>
          <w:noProof/>
        </w:rPr>
        <w:t> </w:t>
      </w:r>
      <w:r w:rsidRPr="006A22D3">
        <w:rPr>
          <w:noProof/>
        </w:rPr>
        <w:t>2 ust.</w:t>
      </w:r>
      <w:r w:rsidR="00192E90" w:rsidRPr="006A22D3">
        <w:rPr>
          <w:noProof/>
        </w:rPr>
        <w:t> </w:t>
      </w:r>
      <w:r w:rsidRPr="006A22D3">
        <w:rPr>
          <w:noProof/>
        </w:rPr>
        <w:t>1 pkt</w:t>
      </w:r>
      <w:r w:rsidR="00192E90" w:rsidRPr="006A22D3">
        <w:rPr>
          <w:noProof/>
        </w:rPr>
        <w:t> </w:t>
      </w:r>
      <w:r w:rsidRPr="006A22D3">
        <w:rPr>
          <w:noProof/>
        </w:rPr>
        <w:t>1 rozporządzenia Parlamentu Europejskiego</w:t>
      </w:r>
      <w:r w:rsidR="006A22D3" w:rsidRPr="006A22D3">
        <w:rPr>
          <w:noProof/>
        </w:rPr>
        <w:t xml:space="preserve"> i Rad</w:t>
      </w:r>
      <w:r w:rsidRPr="006A22D3">
        <w:rPr>
          <w:noProof/>
        </w:rPr>
        <w:t>y (UE) nr</w:t>
      </w:r>
      <w:r w:rsidR="00192E90" w:rsidRPr="006A22D3">
        <w:rPr>
          <w:noProof/>
        </w:rPr>
        <w:t> </w:t>
      </w:r>
      <w:r w:rsidRPr="006A22D3">
        <w:rPr>
          <w:noProof/>
        </w:rPr>
        <w:t>909/2014</w:t>
      </w:r>
      <w:r w:rsidRPr="006A22D3">
        <w:rPr>
          <w:rStyle w:val="FootnoteReference"/>
          <w:noProof/>
          <w:szCs w:val="24"/>
        </w:rPr>
        <w:footnoteReference w:id="123"/>
      </w:r>
      <w:r w:rsidRPr="006A22D3">
        <w:rPr>
          <w:noProof/>
        </w:rPr>
        <w:t>;</w:t>
      </w:r>
    </w:p>
    <w:p w:rsidR="00DA20CC" w:rsidRPr="006A22D3" w:rsidRDefault="00DA20CC" w:rsidP="00DA20CC">
      <w:pPr>
        <w:pStyle w:val="Tiret2"/>
        <w:rPr>
          <w:noProof/>
        </w:rPr>
      </w:pPr>
      <w:r w:rsidRPr="006A22D3">
        <w:rPr>
          <w:noProof/>
        </w:rPr>
        <w:t>spółką celową (podmiotem specjalnego przeznaczenia) ubezpieczeń lub reasekuracji, która uzyskała zezwolenie zgodnie</w:t>
      </w:r>
      <w:r w:rsidR="006A22D3" w:rsidRPr="006A22D3">
        <w:rPr>
          <w:noProof/>
        </w:rPr>
        <w:t xml:space="preserve"> z art</w:t>
      </w:r>
      <w:r w:rsidRPr="006A22D3">
        <w:rPr>
          <w:noProof/>
        </w:rPr>
        <w:t>.</w:t>
      </w:r>
      <w:r w:rsidR="00192E90" w:rsidRPr="006A22D3">
        <w:rPr>
          <w:noProof/>
        </w:rPr>
        <w:t> </w:t>
      </w:r>
      <w:r w:rsidRPr="006A22D3">
        <w:rPr>
          <w:noProof/>
        </w:rPr>
        <w:t>211 dyrektywy 2009/138/WE;</w:t>
      </w:r>
    </w:p>
    <w:p w:rsidR="00DA20CC" w:rsidRPr="006A22D3" w:rsidRDefault="00DA20CC" w:rsidP="00DA20CC">
      <w:pPr>
        <w:pStyle w:val="Tiret2"/>
        <w:rPr>
          <w:noProof/>
        </w:rPr>
      </w:pPr>
      <w:r w:rsidRPr="006A22D3">
        <w:rPr>
          <w:noProof/>
        </w:rPr>
        <w:t>„jednostką specjalnego przeznaczenia do celów sekurytyzacji” zdefiniowaną</w:t>
      </w:r>
      <w:r w:rsidR="006A22D3" w:rsidRPr="006A22D3">
        <w:rPr>
          <w:noProof/>
        </w:rPr>
        <w:t xml:space="preserve"> w art</w:t>
      </w:r>
      <w:r w:rsidRPr="006A22D3">
        <w:rPr>
          <w:noProof/>
        </w:rPr>
        <w:t>.</w:t>
      </w:r>
      <w:r w:rsidR="00192E90" w:rsidRPr="006A22D3">
        <w:rPr>
          <w:noProof/>
        </w:rPr>
        <w:t> </w:t>
      </w:r>
      <w:r w:rsidRPr="006A22D3">
        <w:rPr>
          <w:noProof/>
        </w:rPr>
        <w:t>2 pkt</w:t>
      </w:r>
      <w:r w:rsidR="00192E90" w:rsidRPr="006A22D3">
        <w:rPr>
          <w:noProof/>
        </w:rPr>
        <w:t> </w:t>
      </w:r>
      <w:r w:rsidRPr="006A22D3">
        <w:rPr>
          <w:noProof/>
        </w:rPr>
        <w:t>2 rozporządzenia Parlamentu Europejskiego</w:t>
      </w:r>
      <w:r w:rsidR="006A22D3" w:rsidRPr="006A22D3">
        <w:rPr>
          <w:noProof/>
        </w:rPr>
        <w:t xml:space="preserve"> i Rad</w:t>
      </w:r>
      <w:r w:rsidRPr="006A22D3">
        <w:rPr>
          <w:noProof/>
        </w:rPr>
        <w:t>y (UE) 2017/2402</w:t>
      </w:r>
      <w:r w:rsidRPr="006A22D3">
        <w:rPr>
          <w:rStyle w:val="FootnoteReference"/>
          <w:noProof/>
          <w:szCs w:val="24"/>
        </w:rPr>
        <w:footnoteReference w:id="124"/>
      </w:r>
      <w:r w:rsidRPr="006A22D3">
        <w:rPr>
          <w:noProof/>
        </w:rPr>
        <w:t>;</w:t>
      </w:r>
    </w:p>
    <w:p w:rsidR="00DA20CC" w:rsidRPr="006A22D3" w:rsidRDefault="00DA20CC" w:rsidP="00DA20CC">
      <w:pPr>
        <w:pStyle w:val="Tiret2"/>
        <w:rPr>
          <w:noProof/>
        </w:rPr>
      </w:pPr>
      <w:r w:rsidRPr="006A22D3">
        <w:rPr>
          <w:noProof/>
        </w:rPr>
        <w:t>ubezpieczeniową spółką holdingową zdefiniowaną</w:t>
      </w:r>
      <w:r w:rsidR="006A22D3" w:rsidRPr="006A22D3">
        <w:rPr>
          <w:noProof/>
        </w:rPr>
        <w:t xml:space="preserve"> w art</w:t>
      </w:r>
      <w:r w:rsidRPr="006A22D3">
        <w:rPr>
          <w:noProof/>
        </w:rPr>
        <w:t>.</w:t>
      </w:r>
      <w:r w:rsidR="00192E90" w:rsidRPr="006A22D3">
        <w:rPr>
          <w:noProof/>
        </w:rPr>
        <w:t> </w:t>
      </w:r>
      <w:r w:rsidRPr="006A22D3">
        <w:rPr>
          <w:noProof/>
        </w:rPr>
        <w:t>212 ust.</w:t>
      </w:r>
      <w:r w:rsidR="00192E90" w:rsidRPr="006A22D3">
        <w:rPr>
          <w:noProof/>
        </w:rPr>
        <w:t> </w:t>
      </w:r>
      <w:r w:rsidRPr="006A22D3">
        <w:rPr>
          <w:noProof/>
        </w:rPr>
        <w:t>1 lit.</w:t>
      </w:r>
      <w:r w:rsidR="00192E90" w:rsidRPr="006A22D3">
        <w:rPr>
          <w:noProof/>
        </w:rPr>
        <w:t> </w:t>
      </w:r>
      <w:r w:rsidRPr="006A22D3">
        <w:rPr>
          <w:noProof/>
        </w:rPr>
        <w:t>f) dyrektywy 2009/138/WE lub finansową spółką holdingową</w:t>
      </w:r>
      <w:r w:rsidR="006A22D3" w:rsidRPr="006A22D3">
        <w:rPr>
          <w:noProof/>
        </w:rPr>
        <w:t xml:space="preserve"> o dzi</w:t>
      </w:r>
      <w:r w:rsidRPr="006A22D3">
        <w:rPr>
          <w:noProof/>
        </w:rPr>
        <w:t>ałalności mieszanej zdefiniowaną</w:t>
      </w:r>
      <w:r w:rsidR="006A22D3" w:rsidRPr="006A22D3">
        <w:rPr>
          <w:noProof/>
        </w:rPr>
        <w:t xml:space="preserve"> w art</w:t>
      </w:r>
      <w:r w:rsidRPr="006A22D3">
        <w:rPr>
          <w:noProof/>
        </w:rPr>
        <w:t>.</w:t>
      </w:r>
      <w:r w:rsidR="00192E90" w:rsidRPr="006A22D3">
        <w:rPr>
          <w:noProof/>
        </w:rPr>
        <w:t> </w:t>
      </w:r>
      <w:r w:rsidRPr="006A22D3">
        <w:rPr>
          <w:noProof/>
        </w:rPr>
        <w:t>212 ust.</w:t>
      </w:r>
      <w:r w:rsidR="00192E90" w:rsidRPr="006A22D3">
        <w:rPr>
          <w:noProof/>
        </w:rPr>
        <w:t> </w:t>
      </w:r>
      <w:r w:rsidRPr="006A22D3">
        <w:rPr>
          <w:noProof/>
        </w:rPr>
        <w:t>1 lit.</w:t>
      </w:r>
      <w:r w:rsidR="00192E90" w:rsidRPr="006A22D3">
        <w:rPr>
          <w:noProof/>
        </w:rPr>
        <w:t> </w:t>
      </w:r>
      <w:r w:rsidRPr="006A22D3">
        <w:rPr>
          <w:noProof/>
        </w:rPr>
        <w:t>h) dyrektywy 2009/138/WE, która jest częścią grupy ubezpieczeniowej podlegającej nadzorowi na poziomie grupy na podstawie art.</w:t>
      </w:r>
      <w:r w:rsidR="00192E90" w:rsidRPr="006A22D3">
        <w:rPr>
          <w:noProof/>
        </w:rPr>
        <w:t> </w:t>
      </w:r>
      <w:r w:rsidRPr="006A22D3">
        <w:rPr>
          <w:noProof/>
        </w:rPr>
        <w:t>213 tej dyrektywy</w:t>
      </w:r>
      <w:r w:rsidR="006A22D3" w:rsidRPr="006A22D3">
        <w:rPr>
          <w:noProof/>
        </w:rPr>
        <w:t xml:space="preserve"> i któ</w:t>
      </w:r>
      <w:r w:rsidRPr="006A22D3">
        <w:rPr>
          <w:noProof/>
        </w:rPr>
        <w:t>ra nie jest zwolniona</w:t>
      </w:r>
      <w:r w:rsidR="006A22D3" w:rsidRPr="006A22D3">
        <w:rPr>
          <w:noProof/>
        </w:rPr>
        <w:t xml:space="preserve"> z nad</w:t>
      </w:r>
      <w:r w:rsidRPr="006A22D3">
        <w:rPr>
          <w:noProof/>
        </w:rPr>
        <w:t>zoru nad grupą na podstawie art.</w:t>
      </w:r>
      <w:r w:rsidR="00192E90" w:rsidRPr="006A22D3">
        <w:rPr>
          <w:noProof/>
        </w:rPr>
        <w:t> </w:t>
      </w:r>
      <w:r w:rsidRPr="006A22D3">
        <w:rPr>
          <w:noProof/>
        </w:rPr>
        <w:t>214 ust.</w:t>
      </w:r>
      <w:r w:rsidR="00192E90" w:rsidRPr="006A22D3">
        <w:rPr>
          <w:noProof/>
        </w:rPr>
        <w:t> </w:t>
      </w:r>
      <w:r w:rsidRPr="006A22D3">
        <w:rPr>
          <w:noProof/>
        </w:rPr>
        <w:t>2 dyrektywy 2009/138/WE;</w:t>
      </w:r>
    </w:p>
    <w:p w:rsidR="00DA20CC" w:rsidRPr="006A22D3" w:rsidRDefault="00DA20CC" w:rsidP="00DA20CC">
      <w:pPr>
        <w:pStyle w:val="Tiret2"/>
        <w:rPr>
          <w:noProof/>
        </w:rPr>
      </w:pPr>
      <w:r w:rsidRPr="006A22D3">
        <w:rPr>
          <w:noProof/>
        </w:rPr>
        <w:t>instytucją płatniczą zdefiniowaną</w:t>
      </w:r>
      <w:r w:rsidR="006A22D3" w:rsidRPr="006A22D3">
        <w:rPr>
          <w:noProof/>
        </w:rPr>
        <w:t xml:space="preserve"> w art</w:t>
      </w:r>
      <w:r w:rsidRPr="006A22D3">
        <w:rPr>
          <w:noProof/>
        </w:rPr>
        <w:t>.</w:t>
      </w:r>
      <w:r w:rsidR="00192E90" w:rsidRPr="006A22D3">
        <w:rPr>
          <w:noProof/>
        </w:rPr>
        <w:t> </w:t>
      </w:r>
      <w:r w:rsidRPr="006A22D3">
        <w:rPr>
          <w:noProof/>
        </w:rPr>
        <w:t>1 ust.</w:t>
      </w:r>
      <w:r w:rsidR="00192E90" w:rsidRPr="006A22D3">
        <w:rPr>
          <w:noProof/>
        </w:rPr>
        <w:t> </w:t>
      </w:r>
      <w:r w:rsidRPr="006A22D3">
        <w:rPr>
          <w:noProof/>
        </w:rPr>
        <w:t>1 lit.</w:t>
      </w:r>
      <w:r w:rsidR="00192E90" w:rsidRPr="006A22D3">
        <w:rPr>
          <w:noProof/>
        </w:rPr>
        <w:t> </w:t>
      </w:r>
      <w:r w:rsidRPr="006A22D3">
        <w:rPr>
          <w:noProof/>
        </w:rPr>
        <w:t>d) dyrektywy Parlamentu Europejskiego</w:t>
      </w:r>
      <w:r w:rsidR="006A22D3" w:rsidRPr="006A22D3">
        <w:rPr>
          <w:noProof/>
        </w:rPr>
        <w:t xml:space="preserve"> i Rad</w:t>
      </w:r>
      <w:r w:rsidRPr="006A22D3">
        <w:rPr>
          <w:noProof/>
        </w:rPr>
        <w:t>y (UE) 2015/2366</w:t>
      </w:r>
      <w:r w:rsidRPr="006A22D3">
        <w:rPr>
          <w:rStyle w:val="FootnoteReference"/>
          <w:noProof/>
        </w:rPr>
        <w:footnoteReference w:id="125"/>
      </w:r>
      <w:r w:rsidRPr="006A22D3">
        <w:rPr>
          <w:noProof/>
        </w:rPr>
        <w:t>;</w:t>
      </w:r>
    </w:p>
    <w:p w:rsidR="00DA20CC" w:rsidRPr="006A22D3" w:rsidRDefault="00DA20CC" w:rsidP="00DA20CC">
      <w:pPr>
        <w:pStyle w:val="Tiret2"/>
        <w:rPr>
          <w:noProof/>
        </w:rPr>
      </w:pPr>
      <w:r w:rsidRPr="006A22D3">
        <w:rPr>
          <w:noProof/>
        </w:rPr>
        <w:t>instytucją pieniądza elektronicznego zdefiniowaną</w:t>
      </w:r>
      <w:r w:rsidR="006A22D3" w:rsidRPr="006A22D3">
        <w:rPr>
          <w:noProof/>
        </w:rPr>
        <w:t xml:space="preserve"> w art</w:t>
      </w:r>
      <w:r w:rsidRPr="006A22D3">
        <w:rPr>
          <w:noProof/>
        </w:rPr>
        <w:t>.</w:t>
      </w:r>
      <w:r w:rsidR="00192E90" w:rsidRPr="006A22D3">
        <w:rPr>
          <w:noProof/>
        </w:rPr>
        <w:t> </w:t>
      </w:r>
      <w:r w:rsidRPr="006A22D3">
        <w:rPr>
          <w:noProof/>
        </w:rPr>
        <w:t>2 pkt</w:t>
      </w:r>
      <w:r w:rsidR="00192E90" w:rsidRPr="006A22D3">
        <w:rPr>
          <w:noProof/>
        </w:rPr>
        <w:t> </w:t>
      </w:r>
      <w:r w:rsidRPr="006A22D3">
        <w:rPr>
          <w:noProof/>
        </w:rPr>
        <w:t>1 dyrektywy Parlamentu Europejskiego</w:t>
      </w:r>
      <w:r w:rsidR="006A22D3" w:rsidRPr="006A22D3">
        <w:rPr>
          <w:noProof/>
        </w:rPr>
        <w:t xml:space="preserve"> i Rad</w:t>
      </w:r>
      <w:r w:rsidRPr="006A22D3">
        <w:rPr>
          <w:noProof/>
        </w:rPr>
        <w:t>y 2009/110/WE</w:t>
      </w:r>
      <w:r w:rsidRPr="006A22D3">
        <w:rPr>
          <w:rStyle w:val="FootnoteReference"/>
          <w:noProof/>
        </w:rPr>
        <w:footnoteReference w:id="126"/>
      </w:r>
      <w:r w:rsidRPr="006A22D3">
        <w:rPr>
          <w:noProof/>
        </w:rPr>
        <w:t>;</w:t>
      </w:r>
    </w:p>
    <w:p w:rsidR="00DA20CC" w:rsidRPr="006A22D3" w:rsidRDefault="00DA20CC" w:rsidP="00343D24">
      <w:pPr>
        <w:pStyle w:val="Tiret2"/>
        <w:rPr>
          <w:noProof/>
        </w:rPr>
      </w:pPr>
      <w:r w:rsidRPr="006A22D3">
        <w:rPr>
          <w:noProof/>
        </w:rPr>
        <w:t>dostawcą usług finansowania społecznościowego zdefiniowanym</w:t>
      </w:r>
      <w:r w:rsidR="006A22D3" w:rsidRPr="006A22D3">
        <w:rPr>
          <w:noProof/>
        </w:rPr>
        <w:t xml:space="preserve"> w art</w:t>
      </w:r>
      <w:r w:rsidRPr="006A22D3">
        <w:rPr>
          <w:noProof/>
        </w:rPr>
        <w:t>.</w:t>
      </w:r>
      <w:r w:rsidR="00192E90" w:rsidRPr="006A22D3">
        <w:rPr>
          <w:noProof/>
        </w:rPr>
        <w:t> </w:t>
      </w:r>
      <w:r w:rsidRPr="006A22D3">
        <w:rPr>
          <w:noProof/>
        </w:rPr>
        <w:t>2 ust.</w:t>
      </w:r>
      <w:r w:rsidR="00192E90" w:rsidRPr="006A22D3">
        <w:rPr>
          <w:noProof/>
        </w:rPr>
        <w:t> </w:t>
      </w:r>
      <w:r w:rsidRPr="006A22D3">
        <w:rPr>
          <w:noProof/>
        </w:rPr>
        <w:t>1 lit.</w:t>
      </w:r>
      <w:r w:rsidR="00192E90" w:rsidRPr="006A22D3">
        <w:rPr>
          <w:noProof/>
        </w:rPr>
        <w:t> </w:t>
      </w:r>
      <w:r w:rsidRPr="006A22D3">
        <w:rPr>
          <w:noProof/>
        </w:rPr>
        <w:t>e) rozporządzenia Parlamentu Europejskiego</w:t>
      </w:r>
      <w:r w:rsidR="006A22D3" w:rsidRPr="006A22D3">
        <w:rPr>
          <w:noProof/>
        </w:rPr>
        <w:t xml:space="preserve"> i Rad</w:t>
      </w:r>
      <w:r w:rsidRPr="006A22D3">
        <w:rPr>
          <w:noProof/>
        </w:rPr>
        <w:t>y (UE) 2020/1503</w:t>
      </w:r>
      <w:r w:rsidRPr="006A22D3">
        <w:rPr>
          <w:rStyle w:val="FootnoteReference"/>
          <w:noProof/>
        </w:rPr>
        <w:footnoteReference w:id="127"/>
      </w:r>
      <w:r w:rsidRPr="006A22D3">
        <w:rPr>
          <w:noProof/>
        </w:rPr>
        <w:t>;</w:t>
      </w:r>
    </w:p>
    <w:p w:rsidR="00343D24" w:rsidRPr="006A22D3" w:rsidRDefault="00DA20CC" w:rsidP="00343D24">
      <w:pPr>
        <w:pStyle w:val="Tiret2"/>
        <w:rPr>
          <w:noProof/>
        </w:rPr>
      </w:pPr>
      <w:r w:rsidRPr="006A22D3">
        <w:rPr>
          <w:noProof/>
        </w:rPr>
        <w:t>dostawcą usług</w:t>
      </w:r>
      <w:r w:rsidR="006A22D3" w:rsidRPr="006A22D3">
        <w:rPr>
          <w:noProof/>
        </w:rPr>
        <w:t xml:space="preserve"> w zak</w:t>
      </w:r>
      <w:r w:rsidRPr="006A22D3">
        <w:rPr>
          <w:noProof/>
        </w:rPr>
        <w:t>resie kryptoaktywów zdefiniowanym</w:t>
      </w:r>
      <w:r w:rsidR="006A22D3" w:rsidRPr="006A22D3">
        <w:rPr>
          <w:noProof/>
        </w:rPr>
        <w:t xml:space="preserve"> w art</w:t>
      </w:r>
      <w:r w:rsidRPr="006A22D3">
        <w:rPr>
          <w:noProof/>
        </w:rPr>
        <w:t>.</w:t>
      </w:r>
      <w:r w:rsidR="00192E90" w:rsidRPr="006A22D3">
        <w:rPr>
          <w:noProof/>
        </w:rPr>
        <w:t> </w:t>
      </w:r>
      <w:r w:rsidRPr="006A22D3">
        <w:rPr>
          <w:noProof/>
        </w:rPr>
        <w:t>3 ust.</w:t>
      </w:r>
      <w:r w:rsidR="00192E90" w:rsidRPr="006A22D3">
        <w:rPr>
          <w:noProof/>
        </w:rPr>
        <w:t> </w:t>
      </w:r>
      <w:r w:rsidRPr="006A22D3">
        <w:rPr>
          <w:noProof/>
        </w:rPr>
        <w:t>1 pkt</w:t>
      </w:r>
      <w:r w:rsidR="00192E90" w:rsidRPr="006A22D3">
        <w:rPr>
          <w:noProof/>
        </w:rPr>
        <w:t> </w:t>
      </w:r>
      <w:r w:rsidRPr="006A22D3">
        <w:rPr>
          <w:noProof/>
        </w:rPr>
        <w:t>8 [wniosku dotyczącego rozporządzenia Parlamentu Europejskiego</w:t>
      </w:r>
      <w:r w:rsidR="006A22D3" w:rsidRPr="006A22D3">
        <w:rPr>
          <w:noProof/>
        </w:rPr>
        <w:t xml:space="preserve"> i Rad</w:t>
      </w:r>
      <w:r w:rsidRPr="006A22D3">
        <w:rPr>
          <w:noProof/>
        </w:rPr>
        <w:t>y</w:t>
      </w:r>
      <w:r w:rsidR="006A22D3" w:rsidRPr="006A22D3">
        <w:rPr>
          <w:noProof/>
        </w:rPr>
        <w:t xml:space="preserve"> w spr</w:t>
      </w:r>
      <w:r w:rsidRPr="006A22D3">
        <w:rPr>
          <w:noProof/>
        </w:rPr>
        <w:t>awie rynków kryptoaktywów</w:t>
      </w:r>
      <w:r w:rsidR="006A22D3" w:rsidRPr="006A22D3">
        <w:rPr>
          <w:noProof/>
        </w:rPr>
        <w:t xml:space="preserve"> i zmi</w:t>
      </w:r>
      <w:r w:rsidRPr="006A22D3">
        <w:rPr>
          <w:noProof/>
        </w:rPr>
        <w:t>eniającego dyrektywę (UE) 2019/1937</w:t>
      </w:r>
      <w:r w:rsidRPr="006A22D3">
        <w:rPr>
          <w:rStyle w:val="FootnoteReference"/>
          <w:noProof/>
        </w:rPr>
        <w:footnoteReference w:id="128"/>
      </w:r>
      <w:r w:rsidRPr="006A22D3">
        <w:rPr>
          <w:noProof/>
        </w:rPr>
        <w:t>], który świadczy co najmniej jedną usługę</w:t>
      </w:r>
      <w:r w:rsidR="006A22D3" w:rsidRPr="006A22D3">
        <w:rPr>
          <w:noProof/>
        </w:rPr>
        <w:t xml:space="preserve"> w zak</w:t>
      </w:r>
      <w:r w:rsidRPr="006A22D3">
        <w:rPr>
          <w:noProof/>
        </w:rPr>
        <w:t>resie kryptoaktywów zdefiniowaną</w:t>
      </w:r>
      <w:r w:rsidR="006A22D3" w:rsidRPr="006A22D3">
        <w:rPr>
          <w:noProof/>
        </w:rPr>
        <w:t xml:space="preserve"> w art</w:t>
      </w:r>
      <w:r w:rsidRPr="006A22D3">
        <w:rPr>
          <w:noProof/>
        </w:rPr>
        <w:t>.</w:t>
      </w:r>
      <w:r w:rsidR="00192E90" w:rsidRPr="006A22D3">
        <w:rPr>
          <w:noProof/>
        </w:rPr>
        <w:t> </w:t>
      </w:r>
      <w:r w:rsidRPr="006A22D3">
        <w:rPr>
          <w:noProof/>
        </w:rPr>
        <w:t>3 ust.</w:t>
      </w:r>
      <w:r w:rsidR="00192E90" w:rsidRPr="006A22D3">
        <w:rPr>
          <w:noProof/>
        </w:rPr>
        <w:t> </w:t>
      </w:r>
      <w:r w:rsidRPr="006A22D3">
        <w:rPr>
          <w:noProof/>
        </w:rPr>
        <w:t>1 pkt</w:t>
      </w:r>
      <w:r w:rsidR="00192E90" w:rsidRPr="006A22D3">
        <w:rPr>
          <w:noProof/>
        </w:rPr>
        <w:t> </w:t>
      </w:r>
      <w:r w:rsidRPr="006A22D3">
        <w:rPr>
          <w:noProof/>
        </w:rPr>
        <w:t>9 [wniosku dotyczącego rozporządzenia Parlamentu Europejskiego</w:t>
      </w:r>
      <w:r w:rsidR="006A22D3" w:rsidRPr="006A22D3">
        <w:rPr>
          <w:noProof/>
        </w:rPr>
        <w:t xml:space="preserve"> i Rad</w:t>
      </w:r>
      <w:r w:rsidRPr="006A22D3">
        <w:rPr>
          <w:noProof/>
        </w:rPr>
        <w:t>y</w:t>
      </w:r>
      <w:r w:rsidR="006A22D3" w:rsidRPr="006A22D3">
        <w:rPr>
          <w:noProof/>
        </w:rPr>
        <w:t xml:space="preserve"> w spr</w:t>
      </w:r>
      <w:r w:rsidRPr="006A22D3">
        <w:rPr>
          <w:noProof/>
        </w:rPr>
        <w:t>awie rynków kryptoaktywów</w:t>
      </w:r>
      <w:r w:rsidR="006A22D3" w:rsidRPr="006A22D3">
        <w:rPr>
          <w:noProof/>
        </w:rPr>
        <w:t xml:space="preserve"> i zmi</w:t>
      </w:r>
      <w:r w:rsidRPr="006A22D3">
        <w:rPr>
          <w:noProof/>
        </w:rPr>
        <w:t xml:space="preserve">eniającego dyrektywę (UE) 2019/1937]; </w:t>
      </w:r>
    </w:p>
    <w:p w:rsidR="00301F57" w:rsidRPr="006A22D3" w:rsidRDefault="006A22D3" w:rsidP="006A22D3">
      <w:pPr>
        <w:pStyle w:val="Point0"/>
        <w:rPr>
          <w:noProof/>
        </w:rPr>
      </w:pPr>
      <w:r w:rsidRPr="006A22D3">
        <w:rPr>
          <w:noProof/>
        </w:rPr>
        <w:t>b)</w:t>
      </w:r>
      <w:r w:rsidRPr="006A22D3">
        <w:rPr>
          <w:noProof/>
        </w:rPr>
        <w:tab/>
      </w:r>
      <w:r w:rsidR="00343D24" w:rsidRPr="006A22D3">
        <w:rPr>
          <w:noProof/>
        </w:rPr>
        <w:t>„niekorzystne skutki dla środowiska” oznaczają niekorzystne skutki dla środowiska wynikające</w:t>
      </w:r>
      <w:r w:rsidRPr="006A22D3">
        <w:rPr>
          <w:noProof/>
        </w:rPr>
        <w:t xml:space="preserve"> z nar</w:t>
      </w:r>
      <w:r w:rsidR="00343D24" w:rsidRPr="006A22D3">
        <w:rPr>
          <w:noProof/>
        </w:rPr>
        <w:t>uszenia jednego</w:t>
      </w:r>
      <w:r w:rsidRPr="006A22D3">
        <w:rPr>
          <w:noProof/>
        </w:rPr>
        <w:t xml:space="preserve"> z zak</w:t>
      </w:r>
      <w:r w:rsidR="00343D24" w:rsidRPr="006A22D3">
        <w:rPr>
          <w:noProof/>
        </w:rPr>
        <w:t>azów lub zobowiązań wynikających</w:t>
      </w:r>
      <w:r w:rsidRPr="006A22D3">
        <w:rPr>
          <w:noProof/>
        </w:rPr>
        <w:t xml:space="preserve"> z mię</w:t>
      </w:r>
      <w:r w:rsidR="00343D24" w:rsidRPr="006A22D3">
        <w:rPr>
          <w:noProof/>
        </w:rPr>
        <w:t>dzynarodowych konwencji</w:t>
      </w:r>
      <w:r w:rsidRPr="006A22D3">
        <w:rPr>
          <w:noProof/>
        </w:rPr>
        <w:t xml:space="preserve"> w dzi</w:t>
      </w:r>
      <w:r w:rsidR="00343D24" w:rsidRPr="006A22D3">
        <w:rPr>
          <w:noProof/>
        </w:rPr>
        <w:t>edzinie prawa ochrony środowiska wymienionych</w:t>
      </w:r>
      <w:r w:rsidRPr="006A22D3">
        <w:rPr>
          <w:noProof/>
        </w:rPr>
        <w:t xml:space="preserve"> w czę</w:t>
      </w:r>
      <w:r w:rsidR="00343D24" w:rsidRPr="006A22D3">
        <w:rPr>
          <w:noProof/>
        </w:rPr>
        <w:t>ści II załącznika;</w:t>
      </w:r>
      <w:r w:rsidR="00343D24" w:rsidRPr="006A22D3">
        <w:rPr>
          <w:noProof/>
        </w:rPr>
        <w:tab/>
      </w:r>
    </w:p>
    <w:p w:rsidR="00343D24" w:rsidRPr="006A22D3" w:rsidRDefault="006A22D3" w:rsidP="006A22D3">
      <w:pPr>
        <w:pStyle w:val="Point0"/>
        <w:rPr>
          <w:noProof/>
        </w:rPr>
      </w:pPr>
      <w:r w:rsidRPr="006A22D3">
        <w:rPr>
          <w:noProof/>
        </w:rPr>
        <w:t>c)</w:t>
      </w:r>
      <w:r w:rsidRPr="006A22D3">
        <w:rPr>
          <w:noProof/>
        </w:rPr>
        <w:tab/>
      </w:r>
      <w:r w:rsidR="00343D24" w:rsidRPr="006A22D3">
        <w:rPr>
          <w:noProof/>
        </w:rPr>
        <w:t>„niekorzystne skutki dla praw człowieka” oznaczają niekorzystne skutki dla osób podlegających ochronie wynikające</w:t>
      </w:r>
      <w:r w:rsidRPr="006A22D3">
        <w:rPr>
          <w:noProof/>
        </w:rPr>
        <w:t xml:space="preserve"> z nar</w:t>
      </w:r>
      <w:r w:rsidR="00343D24" w:rsidRPr="006A22D3">
        <w:rPr>
          <w:noProof/>
        </w:rPr>
        <w:t>uszenia jednego</w:t>
      </w:r>
      <w:r w:rsidRPr="006A22D3">
        <w:rPr>
          <w:noProof/>
        </w:rPr>
        <w:t xml:space="preserve"> z pra</w:t>
      </w:r>
      <w:r w:rsidR="00343D24" w:rsidRPr="006A22D3">
        <w:rPr>
          <w:noProof/>
        </w:rPr>
        <w:t>w lub zakazów wymienionych</w:t>
      </w:r>
      <w:r w:rsidRPr="006A22D3">
        <w:rPr>
          <w:noProof/>
        </w:rPr>
        <w:t xml:space="preserve"> w czę</w:t>
      </w:r>
      <w:r w:rsidR="00343D24" w:rsidRPr="006A22D3">
        <w:rPr>
          <w:noProof/>
        </w:rPr>
        <w:t>ści I sekcja 1 załącznika, zapisanych</w:t>
      </w:r>
      <w:r w:rsidRPr="006A22D3">
        <w:rPr>
          <w:noProof/>
        </w:rPr>
        <w:t xml:space="preserve"> w kon</w:t>
      </w:r>
      <w:r w:rsidR="00343D24" w:rsidRPr="006A22D3">
        <w:rPr>
          <w:noProof/>
        </w:rPr>
        <w:t>wencjach międzynarodowych wymienionych</w:t>
      </w:r>
      <w:r w:rsidRPr="006A22D3">
        <w:rPr>
          <w:noProof/>
        </w:rPr>
        <w:t xml:space="preserve"> w czę</w:t>
      </w:r>
      <w:r w:rsidR="00343D24" w:rsidRPr="006A22D3">
        <w:rPr>
          <w:noProof/>
        </w:rPr>
        <w:t>ści I sekcja 2 załącznika;</w:t>
      </w:r>
    </w:p>
    <w:p w:rsidR="00343D24" w:rsidRPr="006A22D3" w:rsidRDefault="006A22D3" w:rsidP="006A22D3">
      <w:pPr>
        <w:pStyle w:val="Point0"/>
        <w:rPr>
          <w:noProof/>
        </w:rPr>
      </w:pPr>
      <w:r w:rsidRPr="006A22D3">
        <w:rPr>
          <w:noProof/>
        </w:rPr>
        <w:t>d)</w:t>
      </w:r>
      <w:r w:rsidRPr="006A22D3">
        <w:rPr>
          <w:noProof/>
        </w:rPr>
        <w:tab/>
      </w:r>
      <w:r w:rsidR="00343D24" w:rsidRPr="006A22D3">
        <w:rPr>
          <w:noProof/>
        </w:rPr>
        <w:t>„jednostka zależna” oznacza osobę prawną, za pośrednictwem której prowadzona jest działalność „przedsiębiorstwa kontrolowanego” zgodnie</w:t>
      </w:r>
      <w:r w:rsidRPr="006A22D3">
        <w:rPr>
          <w:noProof/>
        </w:rPr>
        <w:t xml:space="preserve"> z def</w:t>
      </w:r>
      <w:r w:rsidR="00343D24" w:rsidRPr="006A22D3">
        <w:rPr>
          <w:noProof/>
        </w:rPr>
        <w:t>inicją</w:t>
      </w:r>
      <w:r w:rsidRPr="006A22D3">
        <w:rPr>
          <w:noProof/>
        </w:rPr>
        <w:t xml:space="preserve"> w art</w:t>
      </w:r>
      <w:r w:rsidR="00343D24" w:rsidRPr="006A22D3">
        <w:rPr>
          <w:noProof/>
        </w:rPr>
        <w:t>.</w:t>
      </w:r>
      <w:r w:rsidR="00192E90" w:rsidRPr="006A22D3">
        <w:rPr>
          <w:noProof/>
        </w:rPr>
        <w:t> </w:t>
      </w:r>
      <w:r w:rsidR="00343D24" w:rsidRPr="006A22D3">
        <w:rPr>
          <w:noProof/>
        </w:rPr>
        <w:t>2 ust.</w:t>
      </w:r>
      <w:r w:rsidR="00192E90" w:rsidRPr="006A22D3">
        <w:rPr>
          <w:noProof/>
        </w:rPr>
        <w:t> </w:t>
      </w:r>
      <w:r w:rsidR="00343D24" w:rsidRPr="006A22D3">
        <w:rPr>
          <w:noProof/>
        </w:rPr>
        <w:t>1 lit.</w:t>
      </w:r>
      <w:r w:rsidR="00192E90" w:rsidRPr="006A22D3">
        <w:rPr>
          <w:noProof/>
        </w:rPr>
        <w:t> </w:t>
      </w:r>
      <w:r w:rsidR="00343D24" w:rsidRPr="006A22D3">
        <w:rPr>
          <w:noProof/>
        </w:rPr>
        <w:t>f) dyrektywy 2004/109/WE Parlamentu Europejskiego</w:t>
      </w:r>
      <w:r w:rsidRPr="006A22D3">
        <w:rPr>
          <w:noProof/>
        </w:rPr>
        <w:t xml:space="preserve"> i Rad</w:t>
      </w:r>
      <w:r w:rsidR="00343D24" w:rsidRPr="006A22D3">
        <w:rPr>
          <w:noProof/>
        </w:rPr>
        <w:t>y</w:t>
      </w:r>
      <w:r w:rsidR="00343D24" w:rsidRPr="006A22D3">
        <w:rPr>
          <w:rStyle w:val="FootnoteReference"/>
          <w:noProof/>
        </w:rPr>
        <w:footnoteReference w:id="129"/>
      </w:r>
      <w:r w:rsidR="00343D24" w:rsidRPr="006A22D3">
        <w:rPr>
          <w:noProof/>
        </w:rPr>
        <w:t xml:space="preserve">; </w:t>
      </w:r>
    </w:p>
    <w:p w:rsidR="00AF0535" w:rsidRPr="006A22D3" w:rsidRDefault="006A22D3" w:rsidP="006A22D3">
      <w:pPr>
        <w:pStyle w:val="Point0"/>
        <w:rPr>
          <w:noProof/>
        </w:rPr>
      </w:pPr>
      <w:r w:rsidRPr="006A22D3">
        <w:rPr>
          <w:noProof/>
        </w:rPr>
        <w:t>e)</w:t>
      </w:r>
      <w:r w:rsidRPr="006A22D3">
        <w:rPr>
          <w:noProof/>
        </w:rPr>
        <w:tab/>
      </w:r>
      <w:r w:rsidR="00343D24" w:rsidRPr="006A22D3">
        <w:rPr>
          <w:noProof/>
        </w:rPr>
        <w:t>„relacje biznesowe” oznaczają relacje</w:t>
      </w:r>
      <w:r w:rsidRPr="006A22D3">
        <w:rPr>
          <w:noProof/>
        </w:rPr>
        <w:t xml:space="preserve"> z wyk</w:t>
      </w:r>
      <w:r w:rsidR="00343D24" w:rsidRPr="006A22D3">
        <w:rPr>
          <w:noProof/>
        </w:rPr>
        <w:t xml:space="preserve">onawcą, podwykonawcą lub jakimkolwiek innym podmiotem prawnym („partnerem”), </w:t>
      </w:r>
    </w:p>
    <w:p w:rsidR="00AF0535" w:rsidRPr="006A22D3" w:rsidRDefault="00343D24" w:rsidP="00A61186">
      <w:pPr>
        <w:pStyle w:val="Point1"/>
        <w:rPr>
          <w:noProof/>
        </w:rPr>
      </w:pPr>
      <w:r w:rsidRPr="006A22D3">
        <w:rPr>
          <w:noProof/>
        </w:rPr>
        <w:t xml:space="preserve">(i) </w:t>
      </w:r>
      <w:r w:rsidRPr="006A22D3">
        <w:rPr>
          <w:noProof/>
        </w:rPr>
        <w:tab/>
        <w:t xml:space="preserve">z którym przedsiębiorstwo zawarło umowę handlową lub któremu przedsiębiorstwo zapewnia finansowanie, ubezpieczenie lub reasekurację, lub </w:t>
      </w:r>
    </w:p>
    <w:p w:rsidR="00343D24" w:rsidRPr="006A22D3" w:rsidRDefault="00343D24" w:rsidP="00A61186">
      <w:pPr>
        <w:pStyle w:val="Point1"/>
        <w:rPr>
          <w:noProof/>
        </w:rPr>
      </w:pPr>
      <w:r w:rsidRPr="006A22D3">
        <w:rPr>
          <w:noProof/>
        </w:rPr>
        <w:t xml:space="preserve">(ii) </w:t>
      </w:r>
      <w:r w:rsidRPr="006A22D3">
        <w:rPr>
          <w:noProof/>
        </w:rPr>
        <w:tab/>
        <w:t>który prowadzi działalność gospodarczą związaną</w:t>
      </w:r>
      <w:r w:rsidR="006A22D3" w:rsidRPr="006A22D3">
        <w:rPr>
          <w:noProof/>
        </w:rPr>
        <w:t xml:space="preserve"> z pro</w:t>
      </w:r>
      <w:r w:rsidRPr="006A22D3">
        <w:rPr>
          <w:noProof/>
        </w:rPr>
        <w:t>duktami lub usługami przedsiębiorstwa na rzecz lub</w:t>
      </w:r>
      <w:r w:rsidR="006A22D3" w:rsidRPr="006A22D3">
        <w:rPr>
          <w:noProof/>
        </w:rPr>
        <w:t xml:space="preserve"> w imi</w:t>
      </w:r>
      <w:r w:rsidRPr="006A22D3">
        <w:rPr>
          <w:noProof/>
        </w:rPr>
        <w:t>eniu przedsiębiorstwa;</w:t>
      </w:r>
    </w:p>
    <w:p w:rsidR="00343D24" w:rsidRPr="006A22D3" w:rsidRDefault="006A22D3" w:rsidP="006A22D3">
      <w:pPr>
        <w:pStyle w:val="Point0"/>
        <w:rPr>
          <w:noProof/>
        </w:rPr>
      </w:pPr>
      <w:r w:rsidRPr="006A22D3">
        <w:rPr>
          <w:noProof/>
        </w:rPr>
        <w:t>f)</w:t>
      </w:r>
      <w:r w:rsidRPr="006A22D3">
        <w:rPr>
          <w:noProof/>
        </w:rPr>
        <w:tab/>
      </w:r>
      <w:r w:rsidR="00343D24" w:rsidRPr="006A22D3">
        <w:rPr>
          <w:noProof/>
        </w:rPr>
        <w:t>„stałe relacje biznesowe” oznaczają relacje biznesowe, bezpośrednie lub pośrednie, które są trwałe lub zgodnie</w:t>
      </w:r>
      <w:r w:rsidRPr="006A22D3">
        <w:rPr>
          <w:noProof/>
        </w:rPr>
        <w:t xml:space="preserve"> z ocz</w:t>
      </w:r>
      <w:r w:rsidR="00343D24" w:rsidRPr="006A22D3">
        <w:rPr>
          <w:noProof/>
        </w:rPr>
        <w:t>ekiwaniami będą trwałe, ze względu na ich intensywność lub czas trwania,</w:t>
      </w:r>
      <w:r w:rsidRPr="006A22D3">
        <w:rPr>
          <w:noProof/>
        </w:rPr>
        <w:t xml:space="preserve"> i któ</w:t>
      </w:r>
      <w:r w:rsidR="00343D24" w:rsidRPr="006A22D3">
        <w:rPr>
          <w:noProof/>
        </w:rPr>
        <w:t xml:space="preserve">re nie stanowią nieistotnej lub jedynie pomocniczej części łańcucha wartości; </w:t>
      </w:r>
    </w:p>
    <w:p w:rsidR="00343D24" w:rsidRPr="006A22D3" w:rsidRDefault="006A22D3" w:rsidP="006A22D3">
      <w:pPr>
        <w:pStyle w:val="Point0"/>
        <w:rPr>
          <w:noProof/>
        </w:rPr>
      </w:pPr>
      <w:r w:rsidRPr="006A22D3">
        <w:rPr>
          <w:noProof/>
        </w:rPr>
        <w:t>g)</w:t>
      </w:r>
      <w:r w:rsidRPr="006A22D3">
        <w:rPr>
          <w:noProof/>
        </w:rPr>
        <w:tab/>
      </w:r>
      <w:r w:rsidR="00343D24" w:rsidRPr="006A22D3">
        <w:rPr>
          <w:noProof/>
        </w:rPr>
        <w:t>„łańcuch wartości” oznacza działalność związaną</w:t>
      </w:r>
      <w:r w:rsidRPr="006A22D3">
        <w:rPr>
          <w:noProof/>
        </w:rPr>
        <w:t xml:space="preserve"> z pro</w:t>
      </w:r>
      <w:r w:rsidR="00343D24" w:rsidRPr="006A22D3">
        <w:rPr>
          <w:noProof/>
        </w:rPr>
        <w:t>dukcją towarów lub świadczeniem usług przez przedsiębiorstwo,</w:t>
      </w:r>
      <w:r w:rsidRPr="006A22D3">
        <w:rPr>
          <w:noProof/>
        </w:rPr>
        <w:t xml:space="preserve"> w tym</w:t>
      </w:r>
      <w:r w:rsidR="00343D24" w:rsidRPr="006A22D3">
        <w:rPr>
          <w:noProof/>
        </w:rPr>
        <w:t xml:space="preserve"> opracowywanie produktu lub usługi oraz użytkowanie</w:t>
      </w:r>
      <w:r w:rsidRPr="006A22D3">
        <w:rPr>
          <w:noProof/>
        </w:rPr>
        <w:t xml:space="preserve"> i usu</w:t>
      </w:r>
      <w:r w:rsidR="00343D24" w:rsidRPr="006A22D3">
        <w:rPr>
          <w:noProof/>
        </w:rPr>
        <w:t>wanie produktu,</w:t>
      </w:r>
      <w:r w:rsidRPr="006A22D3">
        <w:rPr>
          <w:noProof/>
        </w:rPr>
        <w:t xml:space="preserve"> a tak</w:t>
      </w:r>
      <w:r w:rsidR="00343D24" w:rsidRPr="006A22D3">
        <w:rPr>
          <w:noProof/>
        </w:rPr>
        <w:t>że powiązaną działalność</w:t>
      </w:r>
      <w:r w:rsidRPr="006A22D3">
        <w:rPr>
          <w:noProof/>
        </w:rPr>
        <w:t xml:space="preserve"> w ram</w:t>
      </w:r>
      <w:r w:rsidR="00343D24" w:rsidRPr="006A22D3">
        <w:rPr>
          <w:noProof/>
        </w:rPr>
        <w:t>ach stałych relacji biznesowych przedsiębiorstwa na wyższym</w:t>
      </w:r>
      <w:r w:rsidRPr="006A22D3">
        <w:rPr>
          <w:noProof/>
        </w:rPr>
        <w:t xml:space="preserve"> i niż</w:t>
      </w:r>
      <w:r w:rsidR="00343D24" w:rsidRPr="006A22D3">
        <w:rPr>
          <w:noProof/>
        </w:rPr>
        <w:t>szym szczeblu łańcucha dostaw</w:t>
      </w:r>
      <w:r w:rsidRPr="006A22D3">
        <w:rPr>
          <w:noProof/>
        </w:rPr>
        <w:t>. W prz</w:t>
      </w:r>
      <w:r w:rsidR="00343D24" w:rsidRPr="006A22D3">
        <w:rPr>
          <w:noProof/>
        </w:rPr>
        <w:t>ypadku przedsiębiorstw</w:t>
      </w:r>
      <w:r w:rsidRPr="006A22D3">
        <w:rPr>
          <w:noProof/>
        </w:rPr>
        <w:t xml:space="preserve"> w roz</w:t>
      </w:r>
      <w:r w:rsidR="00343D24" w:rsidRPr="006A22D3">
        <w:rPr>
          <w:noProof/>
        </w:rPr>
        <w:t>umieniu lit.</w:t>
      </w:r>
      <w:r w:rsidR="00192E90" w:rsidRPr="006A22D3">
        <w:rPr>
          <w:noProof/>
        </w:rPr>
        <w:t> </w:t>
      </w:r>
      <w:r w:rsidR="00343D24" w:rsidRPr="006A22D3">
        <w:rPr>
          <w:noProof/>
        </w:rPr>
        <w:t>a) ppkt (iv) „łańcuch wartości”</w:t>
      </w:r>
      <w:r w:rsidRPr="006A22D3">
        <w:rPr>
          <w:noProof/>
        </w:rPr>
        <w:t xml:space="preserve"> w odn</w:t>
      </w:r>
      <w:r w:rsidR="00343D24" w:rsidRPr="006A22D3">
        <w:rPr>
          <w:noProof/>
        </w:rPr>
        <w:t>iesieniu do świadczenia tych konkretnych usług obejmuje wyłącznie działalność klientów otrzymujących takie pożyczki, kredyty</w:t>
      </w:r>
      <w:r w:rsidRPr="006A22D3">
        <w:rPr>
          <w:noProof/>
        </w:rPr>
        <w:t xml:space="preserve"> i inn</w:t>
      </w:r>
      <w:r w:rsidR="00343D24" w:rsidRPr="006A22D3">
        <w:rPr>
          <w:noProof/>
        </w:rPr>
        <w:t>e usługi finansowe oraz innych przedsiębiorstw należących do tej samej grupy, których działalność jest związana</w:t>
      </w:r>
      <w:r w:rsidRPr="006A22D3">
        <w:rPr>
          <w:noProof/>
        </w:rPr>
        <w:t xml:space="preserve"> z dan</w:t>
      </w:r>
      <w:r w:rsidR="00343D24" w:rsidRPr="006A22D3">
        <w:rPr>
          <w:noProof/>
        </w:rPr>
        <w:t>ą umową. Łańcuch wartości takich regulowanych przedsiębiorstw finansowych nie obejmuje MŚP, które otrzymują pożyczki, kredyty, finansowanie, ubezpieczenia lub reasekurację od takich podmiotów;</w:t>
      </w:r>
    </w:p>
    <w:p w:rsidR="00343D24" w:rsidRPr="006A22D3" w:rsidRDefault="006A22D3" w:rsidP="006A22D3">
      <w:pPr>
        <w:pStyle w:val="Point0"/>
        <w:rPr>
          <w:noProof/>
        </w:rPr>
      </w:pPr>
      <w:r w:rsidRPr="006A22D3">
        <w:rPr>
          <w:noProof/>
        </w:rPr>
        <w:t>h)</w:t>
      </w:r>
      <w:r w:rsidRPr="006A22D3">
        <w:rPr>
          <w:noProof/>
        </w:rPr>
        <w:tab/>
      </w:r>
      <w:r w:rsidR="00343D24" w:rsidRPr="006A22D3">
        <w:rPr>
          <w:noProof/>
        </w:rPr>
        <w:t>„niezależna weryfikacja zewnętrzna” oznacza weryfikację przestrzegania przez przedsiębiorstwo lub części jego łańcucha wartości wymogów dotyczących praw człowieka</w:t>
      </w:r>
      <w:r w:rsidRPr="006A22D3">
        <w:rPr>
          <w:noProof/>
        </w:rPr>
        <w:t xml:space="preserve"> i wym</w:t>
      </w:r>
      <w:r w:rsidR="00343D24" w:rsidRPr="006A22D3">
        <w:rPr>
          <w:noProof/>
        </w:rPr>
        <w:t>ogów środowiskowych wynikających</w:t>
      </w:r>
      <w:r w:rsidRPr="006A22D3">
        <w:rPr>
          <w:noProof/>
        </w:rPr>
        <w:t xml:space="preserve"> z prz</w:t>
      </w:r>
      <w:r w:rsidR="00343D24" w:rsidRPr="006A22D3">
        <w:rPr>
          <w:noProof/>
        </w:rPr>
        <w:t>episów niniejszej dyrektywy, dokonywaną przez niezależnego od przedsiębiorstwa audytora, wolnego od wszelkich konfliktów interesów, posiadającego doświadczenie</w:t>
      </w:r>
      <w:r w:rsidRPr="006A22D3">
        <w:rPr>
          <w:noProof/>
        </w:rPr>
        <w:t xml:space="preserve"> i kom</w:t>
      </w:r>
      <w:r w:rsidR="00343D24" w:rsidRPr="006A22D3">
        <w:rPr>
          <w:noProof/>
        </w:rPr>
        <w:t>petencje</w:t>
      </w:r>
      <w:r w:rsidRPr="006A22D3">
        <w:rPr>
          <w:noProof/>
        </w:rPr>
        <w:t xml:space="preserve"> w dzi</w:t>
      </w:r>
      <w:r w:rsidR="00343D24" w:rsidRPr="006A22D3">
        <w:rPr>
          <w:noProof/>
        </w:rPr>
        <w:t>edzinie środowiska</w:t>
      </w:r>
      <w:r w:rsidRPr="006A22D3">
        <w:rPr>
          <w:noProof/>
        </w:rPr>
        <w:t xml:space="preserve"> i pra</w:t>
      </w:r>
      <w:r w:rsidR="00343D24" w:rsidRPr="006A22D3">
        <w:rPr>
          <w:noProof/>
        </w:rPr>
        <w:t>w człowieka oraz odpowiedzialnego za jakość</w:t>
      </w:r>
      <w:r w:rsidRPr="006A22D3">
        <w:rPr>
          <w:noProof/>
        </w:rPr>
        <w:t xml:space="preserve"> i rze</w:t>
      </w:r>
      <w:r w:rsidR="00343D24" w:rsidRPr="006A22D3">
        <w:rPr>
          <w:noProof/>
        </w:rPr>
        <w:t>telność audytu;</w:t>
      </w:r>
    </w:p>
    <w:p w:rsidR="00343D24" w:rsidRPr="006A22D3" w:rsidRDefault="006A22D3" w:rsidP="006A22D3">
      <w:pPr>
        <w:pStyle w:val="Point0"/>
        <w:rPr>
          <w:noProof/>
        </w:rPr>
      </w:pPr>
      <w:r w:rsidRPr="006A22D3">
        <w:rPr>
          <w:noProof/>
        </w:rPr>
        <w:t>i)</w:t>
      </w:r>
      <w:r w:rsidRPr="006A22D3">
        <w:rPr>
          <w:noProof/>
        </w:rPr>
        <w:tab/>
      </w:r>
      <w:r w:rsidR="00343D24" w:rsidRPr="006A22D3">
        <w:rPr>
          <w:noProof/>
        </w:rPr>
        <w:t>„MŚP” oznacza mikroprzedsiębiorstwo, małe lub średnie przedsiębiorstwo, niezależnie od jego formy prawnej, które nie jest częścią dużej grupy, zgodnie</w:t>
      </w:r>
      <w:r w:rsidRPr="006A22D3">
        <w:rPr>
          <w:noProof/>
        </w:rPr>
        <w:t xml:space="preserve"> z def</w:t>
      </w:r>
      <w:r w:rsidR="00343D24" w:rsidRPr="006A22D3">
        <w:rPr>
          <w:noProof/>
        </w:rPr>
        <w:t>inicjami tych terminów zawartymi</w:t>
      </w:r>
      <w:r w:rsidRPr="006A22D3">
        <w:rPr>
          <w:noProof/>
        </w:rPr>
        <w:t xml:space="preserve"> w art</w:t>
      </w:r>
      <w:r w:rsidR="00343D24" w:rsidRPr="006A22D3">
        <w:rPr>
          <w:noProof/>
        </w:rPr>
        <w:t>.</w:t>
      </w:r>
      <w:r w:rsidR="00192E90" w:rsidRPr="006A22D3">
        <w:rPr>
          <w:noProof/>
        </w:rPr>
        <w:t> </w:t>
      </w:r>
      <w:r w:rsidR="00343D24" w:rsidRPr="006A22D3">
        <w:rPr>
          <w:noProof/>
        </w:rPr>
        <w:t>3 ust.</w:t>
      </w:r>
      <w:r w:rsidR="00192E90" w:rsidRPr="006A22D3">
        <w:rPr>
          <w:noProof/>
        </w:rPr>
        <w:t> </w:t>
      </w:r>
      <w:r w:rsidR="00343D24" w:rsidRPr="006A22D3">
        <w:rPr>
          <w:noProof/>
        </w:rPr>
        <w:t>1, 2, 3</w:t>
      </w:r>
      <w:r w:rsidRPr="006A22D3">
        <w:rPr>
          <w:noProof/>
        </w:rPr>
        <w:t xml:space="preserve"> i 7</w:t>
      </w:r>
      <w:r w:rsidR="00343D24" w:rsidRPr="006A22D3">
        <w:rPr>
          <w:noProof/>
        </w:rPr>
        <w:t xml:space="preserve"> dyrektywy 2013/34/UE; </w:t>
      </w:r>
    </w:p>
    <w:p w:rsidR="00343D24" w:rsidRPr="006A22D3" w:rsidRDefault="006A22D3" w:rsidP="006A22D3">
      <w:pPr>
        <w:pStyle w:val="Point0"/>
        <w:rPr>
          <w:noProof/>
        </w:rPr>
      </w:pPr>
      <w:r w:rsidRPr="006A22D3">
        <w:rPr>
          <w:noProof/>
        </w:rPr>
        <w:t>j)</w:t>
      </w:r>
      <w:r w:rsidRPr="006A22D3">
        <w:rPr>
          <w:noProof/>
        </w:rPr>
        <w:tab/>
      </w:r>
      <w:r w:rsidR="00343D24" w:rsidRPr="006A22D3">
        <w:rPr>
          <w:noProof/>
        </w:rPr>
        <w:t>„inicjatywa branżowa” oznacza połączenie dobrowolnych procedur, narzędzi</w:t>
      </w:r>
      <w:r w:rsidRPr="006A22D3">
        <w:rPr>
          <w:noProof/>
        </w:rPr>
        <w:t xml:space="preserve"> i mec</w:t>
      </w:r>
      <w:r w:rsidR="00343D24" w:rsidRPr="006A22D3">
        <w:rPr>
          <w:noProof/>
        </w:rPr>
        <w:t>hanizmów należytej staranności</w:t>
      </w:r>
      <w:r w:rsidRPr="006A22D3">
        <w:rPr>
          <w:noProof/>
        </w:rPr>
        <w:t xml:space="preserve"> w łań</w:t>
      </w:r>
      <w:r w:rsidR="00343D24" w:rsidRPr="006A22D3">
        <w:rPr>
          <w:noProof/>
        </w:rPr>
        <w:t>cuchu wartości,</w:t>
      </w:r>
      <w:r w:rsidRPr="006A22D3">
        <w:rPr>
          <w:noProof/>
        </w:rPr>
        <w:t xml:space="preserve"> w tym</w:t>
      </w:r>
      <w:r w:rsidR="00343D24" w:rsidRPr="006A22D3">
        <w:rPr>
          <w:noProof/>
        </w:rPr>
        <w:t xml:space="preserve"> niezależnych weryfikacji zewnętrznych, przygotowanych</w:t>
      </w:r>
      <w:r w:rsidRPr="006A22D3">
        <w:rPr>
          <w:noProof/>
        </w:rPr>
        <w:t xml:space="preserve"> i nad</w:t>
      </w:r>
      <w:r w:rsidR="00343D24" w:rsidRPr="006A22D3">
        <w:rPr>
          <w:noProof/>
        </w:rPr>
        <w:t>zorowanych przez rządy, stowarzyszenia branżowe lub grupy zainteresowanych organizacji;</w:t>
      </w:r>
    </w:p>
    <w:p w:rsidR="00343D24" w:rsidRPr="006A22D3" w:rsidRDefault="006A22D3" w:rsidP="006A22D3">
      <w:pPr>
        <w:pStyle w:val="Point0"/>
        <w:rPr>
          <w:noProof/>
        </w:rPr>
      </w:pPr>
      <w:r w:rsidRPr="006A22D3">
        <w:rPr>
          <w:noProof/>
        </w:rPr>
        <w:t>k)</w:t>
      </w:r>
      <w:r w:rsidRPr="006A22D3">
        <w:rPr>
          <w:noProof/>
        </w:rPr>
        <w:tab/>
      </w:r>
      <w:r w:rsidR="00343D24" w:rsidRPr="006A22D3">
        <w:rPr>
          <w:noProof/>
        </w:rPr>
        <w:t>„upoważniony przedstawiciel” oznacza osobę fizyczną lub prawną będącą rezydentem Unii lub mającą siedzibę</w:t>
      </w:r>
      <w:r w:rsidRPr="006A22D3">
        <w:rPr>
          <w:noProof/>
        </w:rPr>
        <w:t xml:space="preserve"> w Uni</w:t>
      </w:r>
      <w:r w:rsidR="00343D24" w:rsidRPr="006A22D3">
        <w:rPr>
          <w:noProof/>
        </w:rPr>
        <w:t>i, dysponującą pełnomocnictwem przedsiębiorstwa</w:t>
      </w:r>
      <w:r w:rsidRPr="006A22D3">
        <w:rPr>
          <w:noProof/>
        </w:rPr>
        <w:t xml:space="preserve"> w roz</w:t>
      </w:r>
      <w:r w:rsidR="00343D24" w:rsidRPr="006A22D3">
        <w:rPr>
          <w:noProof/>
        </w:rPr>
        <w:t>umieniu lit.</w:t>
      </w:r>
      <w:r w:rsidR="00192E90" w:rsidRPr="006A22D3">
        <w:rPr>
          <w:noProof/>
        </w:rPr>
        <w:t> </w:t>
      </w:r>
      <w:r w:rsidR="00343D24" w:rsidRPr="006A22D3">
        <w:rPr>
          <w:noProof/>
        </w:rPr>
        <w:t>a) ppkt (ii) do wypełniania</w:t>
      </w:r>
      <w:r w:rsidRPr="006A22D3">
        <w:rPr>
          <w:noProof/>
        </w:rPr>
        <w:t xml:space="preserve"> w jeg</w:t>
      </w:r>
      <w:r w:rsidR="00343D24" w:rsidRPr="006A22D3">
        <w:rPr>
          <w:noProof/>
        </w:rPr>
        <w:t>o imieniu obowiązków tego przedsiębiorstwa wynikających</w:t>
      </w:r>
      <w:r w:rsidRPr="006A22D3">
        <w:rPr>
          <w:noProof/>
        </w:rPr>
        <w:t xml:space="preserve"> z nin</w:t>
      </w:r>
      <w:r w:rsidR="00343D24" w:rsidRPr="006A22D3">
        <w:rPr>
          <w:noProof/>
        </w:rPr>
        <w:t xml:space="preserve">iejszej dyrektywy; </w:t>
      </w:r>
    </w:p>
    <w:p w:rsidR="00343D24" w:rsidRPr="006A22D3" w:rsidRDefault="006A22D3" w:rsidP="006A22D3">
      <w:pPr>
        <w:pStyle w:val="Point0"/>
        <w:rPr>
          <w:noProof/>
        </w:rPr>
      </w:pPr>
      <w:r w:rsidRPr="006A22D3">
        <w:rPr>
          <w:noProof/>
        </w:rPr>
        <w:t>l)</w:t>
      </w:r>
      <w:r w:rsidRPr="006A22D3">
        <w:rPr>
          <w:noProof/>
        </w:rPr>
        <w:tab/>
      </w:r>
      <w:r w:rsidR="00343D24" w:rsidRPr="006A22D3">
        <w:rPr>
          <w:noProof/>
        </w:rPr>
        <w:t>„poważne niekorzystne skutki” oznaczają niekorzystne skutki dla środowiska lub niekorzystne skutki dla praw człowieka, które są szczególnie znaczące ze względu na swój charakter lub dotyczą dużej liczby osób lub dużego obszaru środowiska, lub są nieodwracalne, lub szczególnie trudne do naprawienia</w:t>
      </w:r>
      <w:r w:rsidRPr="006A22D3">
        <w:rPr>
          <w:noProof/>
        </w:rPr>
        <w:t xml:space="preserve"> w wyn</w:t>
      </w:r>
      <w:r w:rsidR="00343D24" w:rsidRPr="006A22D3">
        <w:rPr>
          <w:noProof/>
        </w:rPr>
        <w:t>iku zastosowania środków niezbędnych do przywrócenia sytuacji istniejącej przed wystąpieniem skutków;</w:t>
      </w:r>
    </w:p>
    <w:p w:rsidR="00343D24" w:rsidRPr="006A22D3" w:rsidRDefault="006A22D3" w:rsidP="006A22D3">
      <w:pPr>
        <w:pStyle w:val="Point0"/>
        <w:rPr>
          <w:noProof/>
        </w:rPr>
      </w:pPr>
      <w:r w:rsidRPr="006A22D3">
        <w:rPr>
          <w:noProof/>
        </w:rPr>
        <w:t>m)</w:t>
      </w:r>
      <w:r w:rsidRPr="006A22D3">
        <w:rPr>
          <w:noProof/>
        </w:rPr>
        <w:tab/>
      </w:r>
      <w:r w:rsidR="00343D24" w:rsidRPr="006A22D3">
        <w:rPr>
          <w:noProof/>
        </w:rPr>
        <w:t>„przychody netto ze sprzedaży” oznaczają</w:t>
      </w:r>
      <w:r w:rsidR="00E40005" w:rsidRPr="006A22D3">
        <w:rPr>
          <w:noProof/>
        </w:rPr>
        <w:t>:</w:t>
      </w:r>
    </w:p>
    <w:p w:rsidR="00343D24" w:rsidRPr="006A22D3" w:rsidRDefault="006A22D3" w:rsidP="00886963">
      <w:pPr>
        <w:pStyle w:val="Point1"/>
        <w:rPr>
          <w:noProof/>
        </w:rPr>
      </w:pPr>
      <w:r w:rsidRPr="006A22D3">
        <w:rPr>
          <w:noProof/>
        </w:rPr>
        <w:t>i)</w:t>
      </w:r>
      <w:r w:rsidRPr="006A22D3">
        <w:rPr>
          <w:noProof/>
        </w:rPr>
        <w:tab/>
      </w:r>
      <w:r w:rsidR="00886963" w:rsidRPr="006A22D3">
        <w:rPr>
          <w:noProof/>
        </w:rPr>
        <w:t>„przychody netto ze sprzedaży” zdefiniowane</w:t>
      </w:r>
      <w:r w:rsidRPr="006A22D3">
        <w:rPr>
          <w:noProof/>
        </w:rPr>
        <w:t xml:space="preserve"> w art</w:t>
      </w:r>
      <w:r w:rsidR="00886963" w:rsidRPr="006A22D3">
        <w:rPr>
          <w:noProof/>
        </w:rPr>
        <w:t>.</w:t>
      </w:r>
      <w:r w:rsidR="00192E90" w:rsidRPr="006A22D3">
        <w:rPr>
          <w:noProof/>
        </w:rPr>
        <w:t> </w:t>
      </w:r>
      <w:r w:rsidR="00886963" w:rsidRPr="006A22D3">
        <w:rPr>
          <w:noProof/>
        </w:rPr>
        <w:t>2 pkt</w:t>
      </w:r>
      <w:r w:rsidR="00192E90" w:rsidRPr="006A22D3">
        <w:rPr>
          <w:noProof/>
        </w:rPr>
        <w:t> </w:t>
      </w:r>
      <w:r w:rsidR="00886963" w:rsidRPr="006A22D3">
        <w:rPr>
          <w:noProof/>
        </w:rPr>
        <w:t>5 dyrektywy 2013/34/UE lub</w:t>
      </w:r>
    </w:p>
    <w:p w:rsidR="00343D24" w:rsidRPr="006A22D3" w:rsidDel="006F51CB" w:rsidRDefault="006A22D3" w:rsidP="00886963">
      <w:pPr>
        <w:pStyle w:val="Point1"/>
        <w:rPr>
          <w:noProof/>
        </w:rPr>
      </w:pPr>
      <w:r w:rsidRPr="006A22D3">
        <w:rPr>
          <w:noProof/>
        </w:rPr>
        <w:t>ii)</w:t>
      </w:r>
      <w:r w:rsidRPr="006A22D3">
        <w:rPr>
          <w:noProof/>
        </w:rPr>
        <w:tab/>
      </w:r>
      <w:r w:rsidR="00886963" w:rsidRPr="006A22D3">
        <w:rPr>
          <w:noProof/>
        </w:rPr>
        <w:t>w przypadku gdy przedsiębiorstwo stosuje międzynarodowe standardy rachunkowości przyjęte na podstawie rozporządzenia (WE) nr</w:t>
      </w:r>
      <w:r w:rsidR="00192E90" w:rsidRPr="006A22D3">
        <w:rPr>
          <w:noProof/>
        </w:rPr>
        <w:t> </w:t>
      </w:r>
      <w:r w:rsidR="00886963" w:rsidRPr="006A22D3">
        <w:rPr>
          <w:noProof/>
        </w:rPr>
        <w:t>1606/2002 Parlamentu Europejskiego</w:t>
      </w:r>
      <w:r w:rsidRPr="006A22D3">
        <w:rPr>
          <w:noProof/>
        </w:rPr>
        <w:t xml:space="preserve"> i Rad</w:t>
      </w:r>
      <w:r w:rsidR="00886963" w:rsidRPr="006A22D3">
        <w:rPr>
          <w:noProof/>
        </w:rPr>
        <w:t>y</w:t>
      </w:r>
      <w:r w:rsidR="00343D24" w:rsidRPr="006A22D3">
        <w:rPr>
          <w:rStyle w:val="FootnoteReference"/>
          <w:noProof/>
        </w:rPr>
        <w:footnoteReference w:id="130"/>
      </w:r>
      <w:r w:rsidR="00886963" w:rsidRPr="006A22D3">
        <w:rPr>
          <w:noProof/>
        </w:rPr>
        <w:t xml:space="preserve"> lub jest przedsiębiorstwem</w:t>
      </w:r>
      <w:r w:rsidRPr="006A22D3">
        <w:rPr>
          <w:noProof/>
        </w:rPr>
        <w:t xml:space="preserve"> w roz</w:t>
      </w:r>
      <w:r w:rsidR="00886963" w:rsidRPr="006A22D3">
        <w:rPr>
          <w:noProof/>
        </w:rPr>
        <w:t>umieniu lit.</w:t>
      </w:r>
      <w:r w:rsidR="00192E90" w:rsidRPr="006A22D3">
        <w:rPr>
          <w:noProof/>
        </w:rPr>
        <w:t> </w:t>
      </w:r>
      <w:r w:rsidR="00886963" w:rsidRPr="006A22D3">
        <w:rPr>
          <w:noProof/>
        </w:rPr>
        <w:t>a) ppkt (ii) przychody zgodnie</w:t>
      </w:r>
      <w:r w:rsidRPr="006A22D3">
        <w:rPr>
          <w:noProof/>
        </w:rPr>
        <w:t xml:space="preserve"> z def</w:t>
      </w:r>
      <w:r w:rsidR="00886963" w:rsidRPr="006A22D3">
        <w:rPr>
          <w:noProof/>
        </w:rPr>
        <w:t>inicją zawartą</w:t>
      </w:r>
      <w:r w:rsidRPr="006A22D3">
        <w:rPr>
          <w:noProof/>
        </w:rPr>
        <w:t xml:space="preserve"> w ram</w:t>
      </w:r>
      <w:r w:rsidR="00886963" w:rsidRPr="006A22D3">
        <w:rPr>
          <w:noProof/>
        </w:rPr>
        <w:t>ach sprawozdawczości finansowej, na podstawie których sporządzane są sprawozdania finansowe przedsiębiorstwa, lub</w:t>
      </w:r>
      <w:r w:rsidRPr="006A22D3">
        <w:rPr>
          <w:noProof/>
        </w:rPr>
        <w:t xml:space="preserve"> w roz</w:t>
      </w:r>
      <w:r w:rsidR="00886963" w:rsidRPr="006A22D3">
        <w:rPr>
          <w:noProof/>
        </w:rPr>
        <w:t>umieniu ram sprawozdawczości finansowej, na podstawie których sporządzane są sprawozdania finansowe przedsiębiorstwa;</w:t>
      </w:r>
    </w:p>
    <w:p w:rsidR="00343D24" w:rsidRPr="006A22D3" w:rsidRDefault="006A22D3" w:rsidP="006A22D3">
      <w:pPr>
        <w:pStyle w:val="Point0"/>
        <w:rPr>
          <w:noProof/>
        </w:rPr>
      </w:pPr>
      <w:r w:rsidRPr="006A22D3">
        <w:rPr>
          <w:noProof/>
        </w:rPr>
        <w:t>n)</w:t>
      </w:r>
      <w:r w:rsidRPr="006A22D3">
        <w:rPr>
          <w:noProof/>
        </w:rPr>
        <w:tab/>
      </w:r>
      <w:r w:rsidR="00343D24" w:rsidRPr="006A22D3">
        <w:rPr>
          <w:noProof/>
        </w:rPr>
        <w:t>„zainteresowane strony” oznaczają pracowników przedsiębiorstwa, pracowników jego jednostek zależnych oraz inne osoby, grupy, społeczności lub podmioty, na których prawa lub interesy mają lub mogą mieć wpływ produkty, usługi</w:t>
      </w:r>
      <w:r w:rsidRPr="006A22D3">
        <w:rPr>
          <w:noProof/>
        </w:rPr>
        <w:t xml:space="preserve"> i dzi</w:t>
      </w:r>
      <w:r w:rsidR="00343D24" w:rsidRPr="006A22D3">
        <w:rPr>
          <w:noProof/>
        </w:rPr>
        <w:t>ałalność danego przedsiębiorstwa, jego jednostek zależnych oraz jego relacje biznesowe;</w:t>
      </w:r>
    </w:p>
    <w:p w:rsidR="00343D24" w:rsidRPr="006A22D3" w:rsidRDefault="006A22D3" w:rsidP="006A22D3">
      <w:pPr>
        <w:pStyle w:val="Point0"/>
        <w:rPr>
          <w:noProof/>
        </w:rPr>
      </w:pPr>
      <w:r w:rsidRPr="006A22D3">
        <w:rPr>
          <w:noProof/>
        </w:rPr>
        <w:t>o)</w:t>
      </w:r>
      <w:r w:rsidRPr="006A22D3">
        <w:rPr>
          <w:noProof/>
        </w:rPr>
        <w:tab/>
      </w:r>
      <w:r w:rsidR="00343D24" w:rsidRPr="006A22D3">
        <w:rPr>
          <w:noProof/>
        </w:rPr>
        <w:t xml:space="preserve">„dyrektor” oznacza: </w:t>
      </w:r>
    </w:p>
    <w:p w:rsidR="00343D24" w:rsidRPr="006A22D3" w:rsidRDefault="006A22D3" w:rsidP="00B56F44">
      <w:pPr>
        <w:pStyle w:val="Point1"/>
        <w:rPr>
          <w:noProof/>
        </w:rPr>
      </w:pPr>
      <w:r w:rsidRPr="006A22D3">
        <w:rPr>
          <w:noProof/>
        </w:rPr>
        <w:t>i)</w:t>
      </w:r>
      <w:r w:rsidRPr="006A22D3">
        <w:rPr>
          <w:noProof/>
        </w:rPr>
        <w:tab/>
      </w:r>
      <w:r w:rsidR="00343D24" w:rsidRPr="006A22D3">
        <w:rPr>
          <w:noProof/>
        </w:rPr>
        <w:t>każdego członka organów administracyjnych, zarządczych lub nadzorczych spółki;</w:t>
      </w:r>
    </w:p>
    <w:p w:rsidR="00343D24" w:rsidRPr="006A22D3" w:rsidRDefault="006A22D3" w:rsidP="00B56F44">
      <w:pPr>
        <w:pStyle w:val="Point1"/>
        <w:rPr>
          <w:noProof/>
        </w:rPr>
      </w:pPr>
      <w:r w:rsidRPr="006A22D3">
        <w:rPr>
          <w:noProof/>
        </w:rPr>
        <w:t>ii)</w:t>
      </w:r>
      <w:r w:rsidRPr="006A22D3">
        <w:rPr>
          <w:noProof/>
        </w:rPr>
        <w:tab/>
      </w:r>
      <w:r w:rsidR="00343D24" w:rsidRPr="006A22D3">
        <w:rPr>
          <w:noProof/>
        </w:rPr>
        <w:t>w przypadku osób niebędących członkami organów administracyjnych, zarządczych lub nadzorczych spółki – dyrektora generalnego oraz, jeżeli takie stanowisko istnieje</w:t>
      </w:r>
      <w:r w:rsidRPr="006A22D3">
        <w:rPr>
          <w:noProof/>
        </w:rPr>
        <w:t xml:space="preserve"> w spó</w:t>
      </w:r>
      <w:r w:rsidR="00343D24" w:rsidRPr="006A22D3">
        <w:rPr>
          <w:noProof/>
        </w:rPr>
        <w:t>łce – zastępcę dyrektora generalnego;</w:t>
      </w:r>
    </w:p>
    <w:p w:rsidR="00343D24" w:rsidRPr="006A22D3" w:rsidRDefault="00343D24" w:rsidP="00B56F44">
      <w:pPr>
        <w:pStyle w:val="Point1"/>
        <w:rPr>
          <w:noProof/>
        </w:rPr>
      </w:pPr>
      <w:r w:rsidRPr="006A22D3">
        <w:rPr>
          <w:noProof/>
        </w:rPr>
        <w:t>(iii)</w:t>
      </w:r>
      <w:r w:rsidRPr="006A22D3">
        <w:rPr>
          <w:noProof/>
        </w:rPr>
        <w:tab/>
        <w:t>inne osoby, które pełnią funkcje podobne do tych,</w:t>
      </w:r>
      <w:r w:rsidR="006A22D3" w:rsidRPr="006A22D3">
        <w:rPr>
          <w:noProof/>
        </w:rPr>
        <w:t xml:space="preserve"> o któ</w:t>
      </w:r>
      <w:r w:rsidRPr="006A22D3">
        <w:rPr>
          <w:noProof/>
        </w:rPr>
        <w:t>rych mowa</w:t>
      </w:r>
      <w:r w:rsidR="006A22D3" w:rsidRPr="006A22D3">
        <w:rPr>
          <w:noProof/>
        </w:rPr>
        <w:t xml:space="preserve"> w ppk</w:t>
      </w:r>
      <w:r w:rsidRPr="006A22D3">
        <w:rPr>
          <w:noProof/>
        </w:rPr>
        <w:t>t (i) lub (ii);</w:t>
      </w:r>
    </w:p>
    <w:p w:rsidR="00343D24" w:rsidRPr="006A22D3" w:rsidRDefault="006A22D3" w:rsidP="006A22D3">
      <w:pPr>
        <w:pStyle w:val="Point0"/>
        <w:rPr>
          <w:noProof/>
        </w:rPr>
      </w:pPr>
      <w:r w:rsidRPr="006A22D3">
        <w:rPr>
          <w:noProof/>
        </w:rPr>
        <w:t>p)</w:t>
      </w:r>
      <w:r w:rsidRPr="006A22D3">
        <w:rPr>
          <w:noProof/>
        </w:rPr>
        <w:tab/>
      </w:r>
      <w:r w:rsidR="00343D24" w:rsidRPr="006A22D3">
        <w:rPr>
          <w:noProof/>
        </w:rPr>
        <w:t>„rada dyrektorów” oznacza organ administracyjny lub nadzorczy odpowiedzialny za nadzór nad kierownictwem wykonawczym przedsiębiorstwa lub, jeżeli taki organ nie funkcjonuje, osoba lub osoby wykonujące równoważne funkcje;</w:t>
      </w:r>
    </w:p>
    <w:p w:rsidR="00343D24" w:rsidRPr="006A22D3" w:rsidDel="00860312" w:rsidRDefault="006A22D3" w:rsidP="006A22D3">
      <w:pPr>
        <w:pStyle w:val="Point0"/>
        <w:rPr>
          <w:noProof/>
        </w:rPr>
      </w:pPr>
      <w:r w:rsidRPr="006A22D3" w:rsidDel="00860312">
        <w:rPr>
          <w:noProof/>
        </w:rPr>
        <w:t>q)</w:t>
      </w:r>
      <w:r w:rsidRPr="006A22D3" w:rsidDel="00860312">
        <w:rPr>
          <w:noProof/>
        </w:rPr>
        <w:tab/>
      </w:r>
      <w:r w:rsidR="00343D24" w:rsidRPr="006A22D3">
        <w:rPr>
          <w:noProof/>
        </w:rPr>
        <w:t>„odpowiedni środek” oznacza środek, dzięki któremu można osiągnąć cele</w:t>
      </w:r>
      <w:r w:rsidRPr="006A22D3">
        <w:rPr>
          <w:noProof/>
        </w:rPr>
        <w:t xml:space="preserve"> w zak</w:t>
      </w:r>
      <w:r w:rsidR="00343D24" w:rsidRPr="006A22D3">
        <w:rPr>
          <w:noProof/>
        </w:rPr>
        <w:t>resie należytej staranności</w:t>
      </w:r>
      <w:r w:rsidRPr="006A22D3">
        <w:rPr>
          <w:noProof/>
        </w:rPr>
        <w:t xml:space="preserve"> i któ</w:t>
      </w:r>
      <w:r w:rsidR="00343D24" w:rsidRPr="006A22D3">
        <w:rPr>
          <w:noProof/>
        </w:rPr>
        <w:t>ry jest współmierny do stopnia dotkliwości</w:t>
      </w:r>
      <w:r w:rsidRPr="006A22D3">
        <w:rPr>
          <w:noProof/>
        </w:rPr>
        <w:t xml:space="preserve"> i pra</w:t>
      </w:r>
      <w:r w:rsidR="00343D24" w:rsidRPr="006A22D3">
        <w:rPr>
          <w:noProof/>
        </w:rPr>
        <w:t>wdopodobieństwa wystąpienia niekorzystnych skutków oraz do którego przedsiębiorstwo ma racjonalny dostęp, uwzględniając okoliczności konkretnego przypadku,</w:t>
      </w:r>
      <w:r w:rsidRPr="006A22D3">
        <w:rPr>
          <w:noProof/>
        </w:rPr>
        <w:t xml:space="preserve"> w tym</w:t>
      </w:r>
      <w:r w:rsidR="00343D24" w:rsidRPr="006A22D3">
        <w:rPr>
          <w:noProof/>
        </w:rPr>
        <w:t xml:space="preserve"> charakterystykę sektora gospodarki</w:t>
      </w:r>
      <w:r w:rsidRPr="006A22D3">
        <w:rPr>
          <w:noProof/>
        </w:rPr>
        <w:t xml:space="preserve"> i kon</w:t>
      </w:r>
      <w:r w:rsidR="00343D24" w:rsidRPr="006A22D3">
        <w:rPr>
          <w:noProof/>
        </w:rPr>
        <w:t>kretnych relacji biznesowych oraz wpływ przedsiębiorstwa na te relacje,</w:t>
      </w:r>
      <w:r w:rsidRPr="006A22D3">
        <w:rPr>
          <w:noProof/>
        </w:rPr>
        <w:t xml:space="preserve"> a tak</w:t>
      </w:r>
      <w:r w:rsidR="00343D24" w:rsidRPr="006A22D3">
        <w:rPr>
          <w:noProof/>
        </w:rPr>
        <w:t>że potrzebę zapewnienia priorytetowego traktowania działań.</w:t>
      </w:r>
    </w:p>
    <w:p w:rsidR="00343D24" w:rsidRPr="006A22D3" w:rsidRDefault="00343D24" w:rsidP="00433EB4">
      <w:pPr>
        <w:pStyle w:val="Titrearticle"/>
        <w:rPr>
          <w:noProof/>
        </w:rPr>
      </w:pPr>
      <w:r w:rsidRPr="006A22D3">
        <w:rPr>
          <w:noProof/>
        </w:rPr>
        <w:t>Artykuł 4</w:t>
      </w:r>
    </w:p>
    <w:p w:rsidR="00343D24" w:rsidRPr="006A22D3" w:rsidRDefault="00343D24" w:rsidP="00343D24">
      <w:pPr>
        <w:pStyle w:val="Articletitle"/>
        <w:rPr>
          <w:noProof/>
        </w:rPr>
      </w:pPr>
      <w:r w:rsidRPr="006A22D3">
        <w:rPr>
          <w:noProof/>
        </w:rPr>
        <w:t>Należyta staranność</w:t>
      </w:r>
    </w:p>
    <w:p w:rsidR="00343D24" w:rsidRPr="006A22D3" w:rsidRDefault="00D91F29" w:rsidP="00D91F29">
      <w:pPr>
        <w:pStyle w:val="ManualNumPar1"/>
        <w:rPr>
          <w:noProof/>
        </w:rPr>
      </w:pPr>
      <w:r w:rsidRPr="00D91F29">
        <w:t>1.</w:t>
      </w:r>
      <w:r w:rsidRPr="00D91F29">
        <w:tab/>
      </w:r>
      <w:r w:rsidR="00343D24" w:rsidRPr="006A22D3">
        <w:rPr>
          <w:noProof/>
        </w:rPr>
        <w:t>Państwa członkowskie zapewniają, aby przedsiębiorstwa dochowywały należytej staranności</w:t>
      </w:r>
      <w:r w:rsidR="006A22D3" w:rsidRPr="006A22D3">
        <w:rPr>
          <w:noProof/>
        </w:rPr>
        <w:t xml:space="preserve"> w zak</w:t>
      </w:r>
      <w:r w:rsidR="00343D24" w:rsidRPr="006A22D3">
        <w:rPr>
          <w:noProof/>
        </w:rPr>
        <w:t>resie praw człowieka</w:t>
      </w:r>
      <w:r w:rsidR="006A22D3" w:rsidRPr="006A22D3">
        <w:rPr>
          <w:noProof/>
        </w:rPr>
        <w:t xml:space="preserve"> i och</w:t>
      </w:r>
      <w:r w:rsidR="00343D24" w:rsidRPr="006A22D3">
        <w:rPr>
          <w:noProof/>
        </w:rPr>
        <w:t>rony środowiska, jak wskazano</w:t>
      </w:r>
      <w:r w:rsidR="006A22D3" w:rsidRPr="006A22D3">
        <w:rPr>
          <w:noProof/>
        </w:rPr>
        <w:t xml:space="preserve"> w art</w:t>
      </w:r>
      <w:r w:rsidR="00343D24" w:rsidRPr="006A22D3">
        <w:rPr>
          <w:noProof/>
        </w:rPr>
        <w:t>.</w:t>
      </w:r>
      <w:r w:rsidR="00192E90" w:rsidRPr="006A22D3">
        <w:rPr>
          <w:noProof/>
        </w:rPr>
        <w:t> </w:t>
      </w:r>
      <w:r w:rsidR="00343D24" w:rsidRPr="006A22D3">
        <w:rPr>
          <w:noProof/>
        </w:rPr>
        <w:t>5–11 („należyta staranność”), poprzez podejmowanie następujących działań:</w:t>
      </w:r>
    </w:p>
    <w:p w:rsidR="00343D24" w:rsidRPr="006A22D3" w:rsidRDefault="006A22D3" w:rsidP="006A22D3">
      <w:pPr>
        <w:pStyle w:val="Point1"/>
        <w:rPr>
          <w:noProof/>
        </w:rPr>
      </w:pPr>
      <w:r w:rsidRPr="006A22D3">
        <w:rPr>
          <w:noProof/>
        </w:rPr>
        <w:t>a)</w:t>
      </w:r>
      <w:r w:rsidRPr="006A22D3">
        <w:rPr>
          <w:noProof/>
        </w:rPr>
        <w:tab/>
      </w:r>
      <w:r w:rsidR="00343D24" w:rsidRPr="006A22D3">
        <w:rPr>
          <w:noProof/>
        </w:rPr>
        <w:t>uwzględnianie należytej staranności</w:t>
      </w:r>
      <w:r w:rsidRPr="006A22D3">
        <w:rPr>
          <w:noProof/>
        </w:rPr>
        <w:t xml:space="preserve"> w pro</w:t>
      </w:r>
      <w:r w:rsidR="00343D24" w:rsidRPr="006A22D3">
        <w:rPr>
          <w:noProof/>
        </w:rPr>
        <w:t>wadzonej polityce zgodnie</w:t>
      </w:r>
      <w:r w:rsidRPr="006A22D3">
        <w:rPr>
          <w:noProof/>
        </w:rPr>
        <w:t xml:space="preserve"> z art</w:t>
      </w:r>
      <w:r w:rsidR="00343D24" w:rsidRPr="006A22D3">
        <w:rPr>
          <w:noProof/>
        </w:rPr>
        <w:t>.</w:t>
      </w:r>
      <w:r w:rsidR="00192E90" w:rsidRPr="006A22D3">
        <w:rPr>
          <w:noProof/>
        </w:rPr>
        <w:t> </w:t>
      </w:r>
      <w:r w:rsidR="00343D24" w:rsidRPr="006A22D3">
        <w:rPr>
          <w:noProof/>
        </w:rPr>
        <w:t>5;</w:t>
      </w:r>
    </w:p>
    <w:p w:rsidR="00343D24" w:rsidRPr="006A22D3" w:rsidRDefault="006A22D3" w:rsidP="006A22D3">
      <w:pPr>
        <w:pStyle w:val="Point1"/>
        <w:rPr>
          <w:noProof/>
        </w:rPr>
      </w:pPr>
      <w:r w:rsidRPr="006A22D3">
        <w:rPr>
          <w:noProof/>
        </w:rPr>
        <w:t>b)</w:t>
      </w:r>
      <w:r w:rsidRPr="006A22D3">
        <w:rPr>
          <w:noProof/>
        </w:rPr>
        <w:tab/>
      </w:r>
      <w:r w:rsidR="00343D24" w:rsidRPr="006A22D3">
        <w:rPr>
          <w:noProof/>
        </w:rPr>
        <w:t>identyfikacja rzeczywistych lub potencjalnych niekorzystnych skutków zgodnie</w:t>
      </w:r>
      <w:r w:rsidRPr="006A22D3">
        <w:rPr>
          <w:noProof/>
        </w:rPr>
        <w:t xml:space="preserve"> z art</w:t>
      </w:r>
      <w:r w:rsidR="00343D24" w:rsidRPr="006A22D3">
        <w:rPr>
          <w:noProof/>
        </w:rPr>
        <w:t>.</w:t>
      </w:r>
      <w:r w:rsidR="00192E90" w:rsidRPr="006A22D3">
        <w:rPr>
          <w:noProof/>
        </w:rPr>
        <w:t> </w:t>
      </w:r>
      <w:r w:rsidR="00343D24" w:rsidRPr="006A22D3">
        <w:rPr>
          <w:noProof/>
        </w:rPr>
        <w:t>6;</w:t>
      </w:r>
    </w:p>
    <w:p w:rsidR="00343D24" w:rsidRPr="006A22D3" w:rsidRDefault="006A22D3" w:rsidP="006A22D3">
      <w:pPr>
        <w:pStyle w:val="Point1"/>
        <w:rPr>
          <w:noProof/>
        </w:rPr>
      </w:pPr>
      <w:r w:rsidRPr="006A22D3">
        <w:rPr>
          <w:noProof/>
        </w:rPr>
        <w:t>c)</w:t>
      </w:r>
      <w:r w:rsidRPr="006A22D3">
        <w:rPr>
          <w:noProof/>
        </w:rPr>
        <w:tab/>
      </w:r>
      <w:r w:rsidR="00343D24" w:rsidRPr="006A22D3">
        <w:rPr>
          <w:noProof/>
        </w:rPr>
        <w:t>zapobieganie potencjalnym niekorzystnym skutkom</w:t>
      </w:r>
      <w:r w:rsidRPr="006A22D3">
        <w:rPr>
          <w:noProof/>
        </w:rPr>
        <w:t xml:space="preserve"> i ich</w:t>
      </w:r>
      <w:r w:rsidR="00343D24" w:rsidRPr="006A22D3">
        <w:rPr>
          <w:noProof/>
        </w:rPr>
        <w:t xml:space="preserve"> ograniczanie oraz powstrzymanie rzeczywistych niekorzystnych skutków</w:t>
      </w:r>
      <w:r w:rsidRPr="006A22D3">
        <w:rPr>
          <w:noProof/>
        </w:rPr>
        <w:t xml:space="preserve"> i zmi</w:t>
      </w:r>
      <w:r w:rsidR="00343D24" w:rsidRPr="006A22D3">
        <w:rPr>
          <w:noProof/>
        </w:rPr>
        <w:t>nimalizowanie ich zakresu zgodnie</w:t>
      </w:r>
      <w:r w:rsidRPr="006A22D3">
        <w:rPr>
          <w:noProof/>
        </w:rPr>
        <w:t xml:space="preserve"> z art</w:t>
      </w:r>
      <w:r w:rsidR="00343D24" w:rsidRPr="006A22D3">
        <w:rPr>
          <w:noProof/>
        </w:rPr>
        <w:t>.</w:t>
      </w:r>
      <w:r w:rsidR="00192E90" w:rsidRPr="006A22D3">
        <w:rPr>
          <w:noProof/>
        </w:rPr>
        <w:t> </w:t>
      </w:r>
      <w:r w:rsidR="00343D24" w:rsidRPr="006A22D3">
        <w:rPr>
          <w:noProof/>
        </w:rPr>
        <w:t>7</w:t>
      </w:r>
      <w:r w:rsidRPr="006A22D3">
        <w:rPr>
          <w:noProof/>
        </w:rPr>
        <w:t xml:space="preserve"> i 8</w:t>
      </w:r>
      <w:r w:rsidR="00343D24" w:rsidRPr="006A22D3">
        <w:rPr>
          <w:noProof/>
        </w:rPr>
        <w:t>;</w:t>
      </w:r>
    </w:p>
    <w:p w:rsidR="00343D24" w:rsidRPr="006A22D3" w:rsidRDefault="006A22D3" w:rsidP="006A22D3">
      <w:pPr>
        <w:pStyle w:val="Point1"/>
        <w:rPr>
          <w:noProof/>
        </w:rPr>
      </w:pPr>
      <w:r w:rsidRPr="006A22D3">
        <w:rPr>
          <w:noProof/>
        </w:rPr>
        <w:t>d)</w:t>
      </w:r>
      <w:r w:rsidRPr="006A22D3">
        <w:rPr>
          <w:noProof/>
        </w:rPr>
        <w:tab/>
      </w:r>
      <w:r w:rsidR="00343D24" w:rsidRPr="006A22D3">
        <w:rPr>
          <w:noProof/>
        </w:rPr>
        <w:t>ustanowienie</w:t>
      </w:r>
      <w:r w:rsidRPr="006A22D3">
        <w:rPr>
          <w:noProof/>
        </w:rPr>
        <w:t xml:space="preserve"> i sto</w:t>
      </w:r>
      <w:r w:rsidR="00343D24" w:rsidRPr="006A22D3">
        <w:rPr>
          <w:noProof/>
        </w:rPr>
        <w:t>sowanie procedury rozpatrywania skarg zgodnie</w:t>
      </w:r>
      <w:r w:rsidRPr="006A22D3">
        <w:rPr>
          <w:noProof/>
        </w:rPr>
        <w:t xml:space="preserve"> z art</w:t>
      </w:r>
      <w:r w:rsidR="00343D24" w:rsidRPr="006A22D3">
        <w:rPr>
          <w:noProof/>
        </w:rPr>
        <w:t>.</w:t>
      </w:r>
      <w:r w:rsidR="00192E90" w:rsidRPr="006A22D3">
        <w:rPr>
          <w:noProof/>
        </w:rPr>
        <w:t> </w:t>
      </w:r>
      <w:r w:rsidR="00343D24" w:rsidRPr="006A22D3">
        <w:rPr>
          <w:noProof/>
        </w:rPr>
        <w:t>9;</w:t>
      </w:r>
    </w:p>
    <w:p w:rsidR="00343D24" w:rsidRPr="006A22D3" w:rsidRDefault="006A22D3" w:rsidP="006A22D3">
      <w:pPr>
        <w:pStyle w:val="Point1"/>
        <w:rPr>
          <w:noProof/>
        </w:rPr>
      </w:pPr>
      <w:r w:rsidRPr="006A22D3">
        <w:rPr>
          <w:noProof/>
        </w:rPr>
        <w:t>e)</w:t>
      </w:r>
      <w:r w:rsidRPr="006A22D3">
        <w:rPr>
          <w:noProof/>
        </w:rPr>
        <w:tab/>
      </w:r>
      <w:r w:rsidR="00343D24" w:rsidRPr="006A22D3">
        <w:rPr>
          <w:noProof/>
        </w:rPr>
        <w:t>monitorowanie skuteczności prowadzonej polityki należytej staranności</w:t>
      </w:r>
      <w:r w:rsidRPr="006A22D3">
        <w:rPr>
          <w:noProof/>
        </w:rPr>
        <w:t xml:space="preserve"> i śro</w:t>
      </w:r>
      <w:r w:rsidR="00343D24" w:rsidRPr="006A22D3">
        <w:rPr>
          <w:noProof/>
        </w:rPr>
        <w:t>dków</w:t>
      </w:r>
      <w:r w:rsidRPr="006A22D3">
        <w:rPr>
          <w:noProof/>
        </w:rPr>
        <w:t xml:space="preserve"> w zak</w:t>
      </w:r>
      <w:r w:rsidR="00343D24" w:rsidRPr="006A22D3">
        <w:rPr>
          <w:noProof/>
        </w:rPr>
        <w:t>resie należytej staranności zgodnie</w:t>
      </w:r>
      <w:r w:rsidRPr="006A22D3">
        <w:rPr>
          <w:noProof/>
        </w:rPr>
        <w:t xml:space="preserve"> z art</w:t>
      </w:r>
      <w:r w:rsidR="00343D24" w:rsidRPr="006A22D3">
        <w:rPr>
          <w:noProof/>
        </w:rPr>
        <w:t>.</w:t>
      </w:r>
      <w:r w:rsidR="00192E90" w:rsidRPr="006A22D3">
        <w:rPr>
          <w:noProof/>
        </w:rPr>
        <w:t> </w:t>
      </w:r>
      <w:r w:rsidR="00343D24" w:rsidRPr="006A22D3">
        <w:rPr>
          <w:noProof/>
        </w:rPr>
        <w:t>10;</w:t>
      </w:r>
    </w:p>
    <w:p w:rsidR="00D93927" w:rsidRPr="006A22D3" w:rsidRDefault="006A22D3" w:rsidP="006A22D3">
      <w:pPr>
        <w:pStyle w:val="Point1"/>
        <w:rPr>
          <w:noProof/>
        </w:rPr>
      </w:pPr>
      <w:r w:rsidRPr="006A22D3">
        <w:rPr>
          <w:noProof/>
        </w:rPr>
        <w:t>f)</w:t>
      </w:r>
      <w:r w:rsidRPr="006A22D3">
        <w:rPr>
          <w:noProof/>
        </w:rPr>
        <w:tab/>
      </w:r>
      <w:r w:rsidR="00343D24" w:rsidRPr="006A22D3">
        <w:rPr>
          <w:noProof/>
        </w:rPr>
        <w:t>podawanie informacji na temat należytej staranności do wiadomości publicznej zgodnie</w:t>
      </w:r>
      <w:r w:rsidRPr="006A22D3">
        <w:rPr>
          <w:noProof/>
        </w:rPr>
        <w:t xml:space="preserve"> z art</w:t>
      </w:r>
      <w:r w:rsidR="00343D24" w:rsidRPr="006A22D3">
        <w:rPr>
          <w:noProof/>
        </w:rPr>
        <w:t>.</w:t>
      </w:r>
      <w:r w:rsidR="00192E90" w:rsidRPr="006A22D3">
        <w:rPr>
          <w:noProof/>
        </w:rPr>
        <w:t> </w:t>
      </w:r>
      <w:r w:rsidR="00343D24" w:rsidRPr="006A22D3">
        <w:rPr>
          <w:noProof/>
        </w:rPr>
        <w:t xml:space="preserve">11. </w:t>
      </w:r>
    </w:p>
    <w:p w:rsidR="00343D24" w:rsidRPr="006A22D3" w:rsidRDefault="00D91F29" w:rsidP="00D91F29">
      <w:pPr>
        <w:pStyle w:val="ManualNumPar1"/>
        <w:rPr>
          <w:noProof/>
        </w:rPr>
      </w:pPr>
      <w:r w:rsidRPr="00D91F29">
        <w:t>2.</w:t>
      </w:r>
      <w:r w:rsidRPr="00D91F29">
        <w:tab/>
      </w:r>
      <w:r w:rsidR="00343D24" w:rsidRPr="006A22D3">
        <w:rPr>
          <w:noProof/>
        </w:rPr>
        <w:t>Państwa członkowskie zapewniają, aby do celów dochowania należytej staranności przedsiębiorstwa były uprawnione do udostępniania zasobów</w:t>
      </w:r>
      <w:r w:rsidR="006A22D3" w:rsidRPr="006A22D3">
        <w:rPr>
          <w:noProof/>
        </w:rPr>
        <w:t xml:space="preserve"> i inf</w:t>
      </w:r>
      <w:r w:rsidR="00343D24" w:rsidRPr="006A22D3">
        <w:rPr>
          <w:noProof/>
        </w:rPr>
        <w:t>ormacji</w:t>
      </w:r>
      <w:r w:rsidR="006A22D3" w:rsidRPr="006A22D3">
        <w:rPr>
          <w:noProof/>
        </w:rPr>
        <w:t xml:space="preserve"> w ich</w:t>
      </w:r>
      <w:r w:rsidR="00343D24" w:rsidRPr="006A22D3">
        <w:rPr>
          <w:noProof/>
        </w:rPr>
        <w:t xml:space="preserve"> grupach przedsiębiorstw oraz innym podmiotom prawnym zgodnie</w:t>
      </w:r>
      <w:r w:rsidR="006A22D3" w:rsidRPr="006A22D3">
        <w:rPr>
          <w:noProof/>
        </w:rPr>
        <w:t xml:space="preserve"> z obo</w:t>
      </w:r>
      <w:r w:rsidR="00343D24" w:rsidRPr="006A22D3">
        <w:rPr>
          <w:noProof/>
        </w:rPr>
        <w:t>wiązującymi przepisami prawa konkurencji.</w:t>
      </w:r>
      <w:r w:rsidR="00192E90" w:rsidRPr="006A22D3">
        <w:rPr>
          <w:noProof/>
        </w:rPr>
        <w:t xml:space="preserve"> </w:t>
      </w:r>
    </w:p>
    <w:p w:rsidR="00343D24" w:rsidRPr="006A22D3" w:rsidRDefault="00343D24" w:rsidP="00343D24">
      <w:pPr>
        <w:pStyle w:val="Titrearticle"/>
        <w:rPr>
          <w:noProof/>
        </w:rPr>
      </w:pPr>
      <w:r w:rsidRPr="006A22D3">
        <w:rPr>
          <w:noProof/>
        </w:rPr>
        <w:t>Artykuł 5</w:t>
      </w:r>
    </w:p>
    <w:p w:rsidR="00343D24" w:rsidRPr="006A22D3" w:rsidRDefault="00343D24" w:rsidP="00343D24">
      <w:pPr>
        <w:pStyle w:val="Articletitle"/>
        <w:rPr>
          <w:noProof/>
        </w:rPr>
      </w:pPr>
      <w:r w:rsidRPr="006A22D3">
        <w:rPr>
          <w:noProof/>
        </w:rPr>
        <w:t>Uwzględnianie kwestii należytej staranności</w:t>
      </w:r>
      <w:r w:rsidR="006A22D3" w:rsidRPr="006A22D3">
        <w:rPr>
          <w:noProof/>
        </w:rPr>
        <w:t xml:space="preserve"> w pol</w:t>
      </w:r>
      <w:r w:rsidRPr="006A22D3">
        <w:rPr>
          <w:noProof/>
        </w:rPr>
        <w:t>ityce przedsiębiorstw</w:t>
      </w:r>
    </w:p>
    <w:p w:rsidR="00343D24" w:rsidRPr="006A22D3" w:rsidRDefault="00D91F29" w:rsidP="00D91F29">
      <w:pPr>
        <w:pStyle w:val="ManualNumPar1"/>
        <w:rPr>
          <w:noProof/>
        </w:rPr>
      </w:pPr>
      <w:r w:rsidRPr="00D91F29">
        <w:t>1.</w:t>
      </w:r>
      <w:r w:rsidRPr="00D91F29">
        <w:tab/>
      </w:r>
      <w:r w:rsidR="00343D24" w:rsidRPr="006A22D3">
        <w:rPr>
          <w:noProof/>
        </w:rPr>
        <w:t>Państwa członkowskie zapewniają, aby przedsiębiorstwa uwzględniały należytą staranność we wszystkich obszarach swojej polityki</w:t>
      </w:r>
      <w:r w:rsidR="006A22D3" w:rsidRPr="006A22D3">
        <w:rPr>
          <w:noProof/>
        </w:rPr>
        <w:t xml:space="preserve"> i wdr</w:t>
      </w:r>
      <w:r w:rsidR="00343D24" w:rsidRPr="006A22D3">
        <w:rPr>
          <w:noProof/>
        </w:rPr>
        <w:t>ożyły politykę należytej staranności. Polityka należytej staranności zawiera wszystkie następujące elementy:</w:t>
      </w:r>
    </w:p>
    <w:p w:rsidR="00343D24" w:rsidRPr="006A22D3" w:rsidRDefault="00BF7812" w:rsidP="00BF7812">
      <w:pPr>
        <w:pStyle w:val="Point1"/>
        <w:rPr>
          <w:noProof/>
        </w:rPr>
      </w:pPr>
      <w:r w:rsidRPr="006A22D3">
        <w:rPr>
          <w:noProof/>
        </w:rPr>
        <w:t>a)</w:t>
      </w:r>
      <w:r w:rsidRPr="006A22D3">
        <w:rPr>
          <w:noProof/>
        </w:rPr>
        <w:tab/>
        <w:t>opis podejścia przedsiębiorstwa</w:t>
      </w:r>
      <w:r w:rsidR="006A22D3" w:rsidRPr="006A22D3">
        <w:rPr>
          <w:noProof/>
        </w:rPr>
        <w:t xml:space="preserve"> w zak</w:t>
      </w:r>
      <w:r w:rsidRPr="006A22D3">
        <w:rPr>
          <w:noProof/>
        </w:rPr>
        <w:t>resie należytej staranności,</w:t>
      </w:r>
      <w:r w:rsidR="006A22D3" w:rsidRPr="006A22D3">
        <w:rPr>
          <w:noProof/>
        </w:rPr>
        <w:t xml:space="preserve"> w tym w per</w:t>
      </w:r>
      <w:r w:rsidRPr="006A22D3">
        <w:rPr>
          <w:noProof/>
        </w:rPr>
        <w:t>spektywie długoterminowej,</w:t>
      </w:r>
    </w:p>
    <w:p w:rsidR="00343D24" w:rsidRPr="006A22D3" w:rsidRDefault="00BF7812" w:rsidP="00BF7812">
      <w:pPr>
        <w:pStyle w:val="Point1"/>
        <w:rPr>
          <w:noProof/>
        </w:rPr>
      </w:pPr>
      <w:r w:rsidRPr="006A22D3">
        <w:rPr>
          <w:noProof/>
        </w:rPr>
        <w:t>b)</w:t>
      </w:r>
      <w:r w:rsidRPr="006A22D3">
        <w:rPr>
          <w:noProof/>
        </w:rPr>
        <w:tab/>
        <w:t>kodeks postępowania zawierający opis przepisów</w:t>
      </w:r>
      <w:r w:rsidR="006A22D3" w:rsidRPr="006A22D3">
        <w:rPr>
          <w:noProof/>
        </w:rPr>
        <w:t xml:space="preserve"> i zas</w:t>
      </w:r>
      <w:r w:rsidRPr="006A22D3">
        <w:rPr>
          <w:noProof/>
        </w:rPr>
        <w:t>ad, które powinni przestrzegać pracownicy przedsiębiorstwa</w:t>
      </w:r>
      <w:r w:rsidR="006A22D3" w:rsidRPr="006A22D3">
        <w:rPr>
          <w:noProof/>
        </w:rPr>
        <w:t xml:space="preserve"> i jeg</w:t>
      </w:r>
      <w:r w:rsidRPr="006A22D3">
        <w:rPr>
          <w:noProof/>
        </w:rPr>
        <w:t xml:space="preserve">o jednostki zależne; </w:t>
      </w:r>
    </w:p>
    <w:p w:rsidR="00343D24" w:rsidRPr="006A22D3" w:rsidRDefault="00BF7812" w:rsidP="00BF7812">
      <w:pPr>
        <w:pStyle w:val="Point1"/>
        <w:rPr>
          <w:noProof/>
        </w:rPr>
      </w:pPr>
      <w:r w:rsidRPr="006A22D3">
        <w:rPr>
          <w:noProof/>
        </w:rPr>
        <w:t>c)</w:t>
      </w:r>
      <w:r w:rsidRPr="006A22D3">
        <w:rPr>
          <w:noProof/>
        </w:rPr>
        <w:tab/>
        <w:t>opis procesów wprowadzonych</w:t>
      </w:r>
      <w:r w:rsidR="006A22D3" w:rsidRPr="006A22D3">
        <w:rPr>
          <w:noProof/>
        </w:rPr>
        <w:t xml:space="preserve"> w cel</w:t>
      </w:r>
      <w:r w:rsidRPr="006A22D3">
        <w:rPr>
          <w:noProof/>
        </w:rPr>
        <w:t>u wdrożenia zasad należytej staranności,</w:t>
      </w:r>
      <w:r w:rsidR="006A22D3" w:rsidRPr="006A22D3">
        <w:rPr>
          <w:noProof/>
        </w:rPr>
        <w:t xml:space="preserve"> w tym</w:t>
      </w:r>
      <w:r w:rsidRPr="006A22D3">
        <w:rPr>
          <w:noProof/>
        </w:rPr>
        <w:t xml:space="preserve"> środków zastosowanych do weryfikacji przestrzegania kodeksu postępowania</w:t>
      </w:r>
      <w:r w:rsidR="006A22D3" w:rsidRPr="006A22D3">
        <w:rPr>
          <w:noProof/>
        </w:rPr>
        <w:t xml:space="preserve"> i roz</w:t>
      </w:r>
      <w:r w:rsidRPr="006A22D3">
        <w:rPr>
          <w:noProof/>
        </w:rPr>
        <w:t xml:space="preserve">szerzenia zakresu jego stosowania na stałe relacje biznesowe. </w:t>
      </w:r>
    </w:p>
    <w:p w:rsidR="00343D24" w:rsidRPr="006A22D3" w:rsidRDefault="00D91F29" w:rsidP="00D91F29">
      <w:pPr>
        <w:pStyle w:val="ManualNumPar1"/>
        <w:rPr>
          <w:noProof/>
        </w:rPr>
      </w:pPr>
      <w:r w:rsidRPr="00D91F29">
        <w:t>2.</w:t>
      </w:r>
      <w:r w:rsidRPr="00D91F29">
        <w:tab/>
      </w:r>
      <w:r w:rsidR="00343D24" w:rsidRPr="006A22D3">
        <w:rPr>
          <w:noProof/>
        </w:rPr>
        <w:t>Państwa członkowskie zapewniają, aby przedsiębiorstwa corocznie aktualizowały swoją politykę należytej staranności.</w:t>
      </w:r>
    </w:p>
    <w:p w:rsidR="00343D24" w:rsidRPr="006A22D3" w:rsidRDefault="00343D24" w:rsidP="00343D24">
      <w:pPr>
        <w:pStyle w:val="Titrearticle"/>
        <w:rPr>
          <w:noProof/>
        </w:rPr>
      </w:pPr>
      <w:r w:rsidRPr="006A22D3">
        <w:rPr>
          <w:noProof/>
        </w:rPr>
        <w:t>Artykuł 6</w:t>
      </w:r>
    </w:p>
    <w:p w:rsidR="00343D24" w:rsidRPr="006A22D3" w:rsidRDefault="00343D24" w:rsidP="00343D24">
      <w:pPr>
        <w:pStyle w:val="Articletitle"/>
        <w:rPr>
          <w:noProof/>
        </w:rPr>
      </w:pPr>
      <w:r w:rsidRPr="006A22D3">
        <w:rPr>
          <w:noProof/>
        </w:rPr>
        <w:t>Identyfikacja rzeczywistych</w:t>
      </w:r>
      <w:r w:rsidR="006A22D3" w:rsidRPr="006A22D3">
        <w:rPr>
          <w:noProof/>
        </w:rPr>
        <w:t xml:space="preserve"> i pot</w:t>
      </w:r>
      <w:r w:rsidRPr="006A22D3">
        <w:rPr>
          <w:noProof/>
        </w:rPr>
        <w:t>encjalnych niekorzystnych skutków</w:t>
      </w:r>
    </w:p>
    <w:p w:rsidR="00343D24" w:rsidRPr="006A22D3" w:rsidRDefault="00D91F29" w:rsidP="00D91F29">
      <w:pPr>
        <w:pStyle w:val="ManualNumPar1"/>
        <w:rPr>
          <w:noProof/>
        </w:rPr>
      </w:pPr>
      <w:r w:rsidRPr="00D91F29">
        <w:t>1.</w:t>
      </w:r>
      <w:r w:rsidRPr="00D91F29">
        <w:tab/>
      </w:r>
      <w:r w:rsidR="00343D24" w:rsidRPr="006A22D3">
        <w:rPr>
          <w:noProof/>
        </w:rPr>
        <w:t>Państwa członkowskie zapewniają, aby przedsiębiorstwa wprowadziły odpowiednie środki</w:t>
      </w:r>
      <w:r w:rsidR="006A22D3" w:rsidRPr="006A22D3">
        <w:rPr>
          <w:noProof/>
        </w:rPr>
        <w:t xml:space="preserve"> w cel</w:t>
      </w:r>
      <w:r w:rsidR="00343D24" w:rsidRPr="006A22D3">
        <w:rPr>
          <w:noProof/>
        </w:rPr>
        <w:t>u zidentyfikowania rzeczywistych lub potencjalnych niekorzystnych skutków dla praw człowieka</w:t>
      </w:r>
      <w:r w:rsidR="006A22D3" w:rsidRPr="006A22D3">
        <w:rPr>
          <w:noProof/>
        </w:rPr>
        <w:t xml:space="preserve"> i dla</w:t>
      </w:r>
      <w:r w:rsidR="00343D24" w:rsidRPr="006A22D3">
        <w:rPr>
          <w:noProof/>
        </w:rPr>
        <w:t xml:space="preserve"> środowiska</w:t>
      </w:r>
      <w:r w:rsidR="006A22D3" w:rsidRPr="006A22D3">
        <w:rPr>
          <w:noProof/>
        </w:rPr>
        <w:t xml:space="preserve"> w ram</w:t>
      </w:r>
      <w:r w:rsidR="00343D24" w:rsidRPr="006A22D3">
        <w:rPr>
          <w:noProof/>
        </w:rPr>
        <w:t>ach własnej działalności lub działalności swoich jednostek zależnych oraz, jeżeli skutki te wiążą się</w:t>
      </w:r>
      <w:r w:rsidR="006A22D3" w:rsidRPr="006A22D3">
        <w:rPr>
          <w:noProof/>
        </w:rPr>
        <w:t xml:space="preserve"> z ich</w:t>
      </w:r>
      <w:r w:rsidR="00343D24" w:rsidRPr="006A22D3">
        <w:rPr>
          <w:noProof/>
        </w:rPr>
        <w:t xml:space="preserve"> łańcuchami wartości, na poziomie swoich stałych relacji biznesowych, zgodnie</w:t>
      </w:r>
      <w:r w:rsidR="006A22D3" w:rsidRPr="006A22D3">
        <w:rPr>
          <w:noProof/>
        </w:rPr>
        <w:t xml:space="preserve"> z ust</w:t>
      </w:r>
      <w:r w:rsidR="00343D24" w:rsidRPr="006A22D3">
        <w:rPr>
          <w:noProof/>
        </w:rPr>
        <w:t>.</w:t>
      </w:r>
      <w:r w:rsidR="00192E90" w:rsidRPr="006A22D3">
        <w:rPr>
          <w:noProof/>
        </w:rPr>
        <w:t> </w:t>
      </w:r>
      <w:r w:rsidR="00343D24" w:rsidRPr="006A22D3">
        <w:rPr>
          <w:noProof/>
        </w:rPr>
        <w:t>2, 3</w:t>
      </w:r>
      <w:r w:rsidR="006A22D3" w:rsidRPr="006A22D3">
        <w:rPr>
          <w:noProof/>
        </w:rPr>
        <w:t xml:space="preserve"> i 4</w:t>
      </w:r>
      <w:r w:rsidR="00343D24" w:rsidRPr="006A22D3">
        <w:rPr>
          <w:noProof/>
        </w:rPr>
        <w:t>.</w:t>
      </w:r>
    </w:p>
    <w:p w:rsidR="003B7B6B" w:rsidRPr="006A22D3" w:rsidRDefault="00D91F29" w:rsidP="00D91F29">
      <w:pPr>
        <w:pStyle w:val="ManualNumPar1"/>
        <w:rPr>
          <w:noProof/>
        </w:rPr>
      </w:pPr>
      <w:r w:rsidRPr="00D91F29">
        <w:t>2.</w:t>
      </w:r>
      <w:r w:rsidRPr="00D91F29">
        <w:tab/>
      </w:r>
      <w:r w:rsidR="00343D24" w:rsidRPr="006A22D3">
        <w:rPr>
          <w:noProof/>
        </w:rPr>
        <w:t>Na zasadzie odstępstwa od ust.</w:t>
      </w:r>
      <w:r w:rsidR="00192E90" w:rsidRPr="006A22D3">
        <w:rPr>
          <w:noProof/>
        </w:rPr>
        <w:t> </w:t>
      </w:r>
      <w:r w:rsidR="00343D24" w:rsidRPr="006A22D3">
        <w:rPr>
          <w:noProof/>
        </w:rPr>
        <w:t>1 przedsiębiorstwa,</w:t>
      </w:r>
      <w:r w:rsidR="006A22D3" w:rsidRPr="006A22D3">
        <w:rPr>
          <w:noProof/>
        </w:rPr>
        <w:t xml:space="preserve"> o któ</w:t>
      </w:r>
      <w:r w:rsidR="00343D24" w:rsidRPr="006A22D3">
        <w:rPr>
          <w:noProof/>
        </w:rPr>
        <w:t>rych mowa</w:t>
      </w:r>
      <w:r w:rsidR="006A22D3" w:rsidRPr="006A22D3">
        <w:rPr>
          <w:noProof/>
        </w:rPr>
        <w:t xml:space="preserve"> w art</w:t>
      </w:r>
      <w:r w:rsidR="00343D24" w:rsidRPr="006A22D3">
        <w:rPr>
          <w:noProof/>
        </w:rPr>
        <w:t>.</w:t>
      </w:r>
      <w:r w:rsidR="00192E90" w:rsidRPr="006A22D3">
        <w:rPr>
          <w:noProof/>
        </w:rPr>
        <w:t> </w:t>
      </w:r>
      <w:r w:rsidR="00343D24" w:rsidRPr="006A22D3">
        <w:rPr>
          <w:noProof/>
        </w:rPr>
        <w:t>2 ust.</w:t>
      </w:r>
      <w:r w:rsidR="00192E90" w:rsidRPr="006A22D3">
        <w:rPr>
          <w:noProof/>
        </w:rPr>
        <w:t> </w:t>
      </w:r>
      <w:r w:rsidR="00343D24" w:rsidRPr="006A22D3">
        <w:rPr>
          <w:noProof/>
        </w:rPr>
        <w:t>1 lit.</w:t>
      </w:r>
      <w:r w:rsidR="00192E90" w:rsidRPr="006A22D3">
        <w:rPr>
          <w:noProof/>
        </w:rPr>
        <w:t> </w:t>
      </w:r>
      <w:r w:rsidR="00343D24" w:rsidRPr="006A22D3">
        <w:rPr>
          <w:noProof/>
        </w:rPr>
        <w:t>b)</w:t>
      </w:r>
      <w:r w:rsidR="006A22D3" w:rsidRPr="006A22D3">
        <w:rPr>
          <w:noProof/>
        </w:rPr>
        <w:t xml:space="preserve"> i art</w:t>
      </w:r>
      <w:r w:rsidR="00343D24" w:rsidRPr="006A22D3">
        <w:rPr>
          <w:noProof/>
        </w:rPr>
        <w:t>.</w:t>
      </w:r>
      <w:r w:rsidR="00192E90" w:rsidRPr="006A22D3">
        <w:rPr>
          <w:noProof/>
        </w:rPr>
        <w:t> </w:t>
      </w:r>
      <w:r w:rsidR="00343D24" w:rsidRPr="006A22D3">
        <w:rPr>
          <w:noProof/>
        </w:rPr>
        <w:t>2 ust.</w:t>
      </w:r>
      <w:r w:rsidR="00192E90" w:rsidRPr="006A22D3">
        <w:rPr>
          <w:noProof/>
        </w:rPr>
        <w:t> </w:t>
      </w:r>
      <w:r w:rsidR="00343D24" w:rsidRPr="006A22D3">
        <w:rPr>
          <w:noProof/>
        </w:rPr>
        <w:t>2 lit.</w:t>
      </w:r>
      <w:r w:rsidR="00192E90" w:rsidRPr="006A22D3">
        <w:rPr>
          <w:noProof/>
        </w:rPr>
        <w:t> </w:t>
      </w:r>
      <w:r w:rsidR="00343D24" w:rsidRPr="006A22D3">
        <w:rPr>
          <w:noProof/>
        </w:rPr>
        <w:t>b), są zobowiązane wyłącznie do identyfikacji rzeczywistych</w:t>
      </w:r>
      <w:r w:rsidR="006A22D3" w:rsidRPr="006A22D3">
        <w:rPr>
          <w:noProof/>
        </w:rPr>
        <w:t xml:space="preserve"> i pot</w:t>
      </w:r>
      <w:r w:rsidR="00343D24" w:rsidRPr="006A22D3">
        <w:rPr>
          <w:noProof/>
        </w:rPr>
        <w:t>encjalnych poważnych niekorzystnych skutków istotnych</w:t>
      </w:r>
      <w:r w:rsidR="006A22D3" w:rsidRPr="006A22D3">
        <w:rPr>
          <w:noProof/>
        </w:rPr>
        <w:t xml:space="preserve"> w dan</w:t>
      </w:r>
      <w:r w:rsidR="00343D24" w:rsidRPr="006A22D3">
        <w:rPr>
          <w:noProof/>
        </w:rPr>
        <w:t>ym sektorze wskazanym</w:t>
      </w:r>
      <w:r w:rsidR="006A22D3" w:rsidRPr="006A22D3">
        <w:rPr>
          <w:noProof/>
        </w:rPr>
        <w:t xml:space="preserve"> w art</w:t>
      </w:r>
      <w:r w:rsidR="00343D24" w:rsidRPr="006A22D3">
        <w:rPr>
          <w:noProof/>
        </w:rPr>
        <w:t>.</w:t>
      </w:r>
      <w:r w:rsidR="00192E90" w:rsidRPr="006A22D3">
        <w:rPr>
          <w:noProof/>
        </w:rPr>
        <w:t> </w:t>
      </w:r>
      <w:r w:rsidR="00343D24" w:rsidRPr="006A22D3">
        <w:rPr>
          <w:noProof/>
        </w:rPr>
        <w:t>2 ust.</w:t>
      </w:r>
      <w:r w:rsidR="00192E90" w:rsidRPr="006A22D3">
        <w:rPr>
          <w:noProof/>
        </w:rPr>
        <w:t> </w:t>
      </w:r>
      <w:r w:rsidR="00343D24" w:rsidRPr="006A22D3">
        <w:rPr>
          <w:noProof/>
        </w:rPr>
        <w:t>1 lit.</w:t>
      </w:r>
      <w:r w:rsidR="00192E90" w:rsidRPr="006A22D3">
        <w:rPr>
          <w:noProof/>
        </w:rPr>
        <w:t> </w:t>
      </w:r>
      <w:r w:rsidR="00343D24" w:rsidRPr="006A22D3">
        <w:rPr>
          <w:noProof/>
        </w:rPr>
        <w:t>b).</w:t>
      </w:r>
    </w:p>
    <w:p w:rsidR="000A5909" w:rsidRPr="006A22D3" w:rsidRDefault="00D91F29" w:rsidP="00D91F29">
      <w:pPr>
        <w:pStyle w:val="ManualNumPar1"/>
        <w:rPr>
          <w:noProof/>
        </w:rPr>
      </w:pPr>
      <w:r w:rsidRPr="00D91F29">
        <w:t>3.</w:t>
      </w:r>
      <w:r w:rsidRPr="00D91F29">
        <w:tab/>
      </w:r>
      <w:r w:rsidR="0084591F" w:rsidRPr="006A22D3">
        <w:rPr>
          <w:noProof/>
        </w:rPr>
        <w:t>Jeżeli przedsiębiorstwa,</w:t>
      </w:r>
      <w:r w:rsidR="006A22D3" w:rsidRPr="006A22D3">
        <w:rPr>
          <w:noProof/>
        </w:rPr>
        <w:t xml:space="preserve"> o któ</w:t>
      </w:r>
      <w:r w:rsidR="0084591F" w:rsidRPr="006A22D3">
        <w:rPr>
          <w:noProof/>
        </w:rPr>
        <w:t>rych mowa</w:t>
      </w:r>
      <w:r w:rsidR="006A22D3" w:rsidRPr="006A22D3">
        <w:rPr>
          <w:noProof/>
        </w:rPr>
        <w:t xml:space="preserve"> w art</w:t>
      </w:r>
      <w:r w:rsidR="0084591F" w:rsidRPr="006A22D3">
        <w:rPr>
          <w:noProof/>
        </w:rPr>
        <w:t>.</w:t>
      </w:r>
      <w:r w:rsidR="00192E90" w:rsidRPr="006A22D3">
        <w:rPr>
          <w:noProof/>
        </w:rPr>
        <w:t> </w:t>
      </w:r>
      <w:r w:rsidR="0084591F" w:rsidRPr="006A22D3">
        <w:rPr>
          <w:noProof/>
        </w:rPr>
        <w:t>3 lit.</w:t>
      </w:r>
      <w:r w:rsidR="00192E90" w:rsidRPr="006A22D3">
        <w:rPr>
          <w:noProof/>
        </w:rPr>
        <w:t> </w:t>
      </w:r>
      <w:r w:rsidR="0084591F" w:rsidRPr="006A22D3">
        <w:rPr>
          <w:noProof/>
        </w:rPr>
        <w:t>a) ppkt (iv), udzielają kredytów lub pożyczek lub świadczą inne usługi finansowe, rzeczywiste</w:t>
      </w:r>
      <w:r w:rsidR="006A22D3" w:rsidRPr="006A22D3">
        <w:rPr>
          <w:noProof/>
        </w:rPr>
        <w:t xml:space="preserve"> i pot</w:t>
      </w:r>
      <w:r w:rsidR="0084591F" w:rsidRPr="006A22D3">
        <w:rPr>
          <w:noProof/>
        </w:rPr>
        <w:t>encjalne niekorzystne skutki dla praw człowieka</w:t>
      </w:r>
      <w:r w:rsidR="006A22D3" w:rsidRPr="006A22D3">
        <w:rPr>
          <w:noProof/>
        </w:rPr>
        <w:t xml:space="preserve"> i dla</w:t>
      </w:r>
      <w:r w:rsidR="0084591F" w:rsidRPr="006A22D3">
        <w:rPr>
          <w:noProof/>
        </w:rPr>
        <w:t xml:space="preserve"> środowiska należy zidentyfikować wyłącznie przed świadczeniem takiej usługi. </w:t>
      </w:r>
    </w:p>
    <w:p w:rsidR="00343D24" w:rsidRPr="006A22D3" w:rsidRDefault="00D91F29" w:rsidP="00D91F29">
      <w:pPr>
        <w:pStyle w:val="ManualNumPar1"/>
        <w:rPr>
          <w:noProof/>
        </w:rPr>
      </w:pPr>
      <w:r w:rsidRPr="00D91F29">
        <w:t>4.</w:t>
      </w:r>
      <w:r w:rsidRPr="00D91F29">
        <w:tab/>
      </w:r>
      <w:r w:rsidR="00343D24" w:rsidRPr="006A22D3">
        <w:rPr>
          <w:noProof/>
        </w:rPr>
        <w:t>Państwa członkowskie zapewniają, aby do celów identyfikacji niekorzystnych skutków,</w:t>
      </w:r>
      <w:r w:rsidR="006A22D3" w:rsidRPr="006A22D3">
        <w:rPr>
          <w:noProof/>
        </w:rPr>
        <w:t xml:space="preserve"> o któ</w:t>
      </w:r>
      <w:r w:rsidR="00343D24" w:rsidRPr="006A22D3">
        <w:rPr>
          <w:noProof/>
        </w:rPr>
        <w:t>rej mowa</w:t>
      </w:r>
      <w:r w:rsidR="006A22D3" w:rsidRPr="006A22D3">
        <w:rPr>
          <w:noProof/>
        </w:rPr>
        <w:t xml:space="preserve"> w ust</w:t>
      </w:r>
      <w:r w:rsidR="00343D24" w:rsidRPr="006A22D3">
        <w:rPr>
          <w:noProof/>
        </w:rPr>
        <w:t>.</w:t>
      </w:r>
      <w:r w:rsidR="00192E90" w:rsidRPr="006A22D3">
        <w:rPr>
          <w:noProof/>
        </w:rPr>
        <w:t> </w:t>
      </w:r>
      <w:r w:rsidR="00343D24" w:rsidRPr="006A22D3">
        <w:rPr>
          <w:noProof/>
        </w:rPr>
        <w:t>1, na podstawie,</w:t>
      </w:r>
      <w:r w:rsidR="006A22D3" w:rsidRPr="006A22D3">
        <w:rPr>
          <w:noProof/>
        </w:rPr>
        <w:t xml:space="preserve"> w sto</w:t>
      </w:r>
      <w:r w:rsidR="00343D24" w:rsidRPr="006A22D3">
        <w:rPr>
          <w:noProof/>
        </w:rPr>
        <w:t>sownych przypadkach, informacji ilościowych</w:t>
      </w:r>
      <w:r w:rsidR="006A22D3" w:rsidRPr="006A22D3">
        <w:rPr>
          <w:noProof/>
        </w:rPr>
        <w:t xml:space="preserve"> i jak</w:t>
      </w:r>
      <w:r w:rsidR="00343D24" w:rsidRPr="006A22D3">
        <w:rPr>
          <w:noProof/>
        </w:rPr>
        <w:t>ościowych, przedsiębiorstwa były uprawnione do korzystania</w:t>
      </w:r>
      <w:r w:rsidR="006A22D3" w:rsidRPr="006A22D3">
        <w:rPr>
          <w:noProof/>
        </w:rPr>
        <w:t xml:space="preserve"> z odp</w:t>
      </w:r>
      <w:r w:rsidR="00343D24" w:rsidRPr="006A22D3">
        <w:rPr>
          <w:noProof/>
        </w:rPr>
        <w:t>owiednich zasobów,</w:t>
      </w:r>
      <w:r w:rsidR="006A22D3" w:rsidRPr="006A22D3">
        <w:rPr>
          <w:noProof/>
        </w:rPr>
        <w:t xml:space="preserve"> w tym</w:t>
      </w:r>
      <w:r w:rsidR="00343D24" w:rsidRPr="006A22D3">
        <w:rPr>
          <w:noProof/>
        </w:rPr>
        <w:t xml:space="preserve"> niezależnych sprawozdań</w:t>
      </w:r>
      <w:r w:rsidR="006A22D3" w:rsidRPr="006A22D3">
        <w:rPr>
          <w:noProof/>
        </w:rPr>
        <w:t xml:space="preserve"> i inf</w:t>
      </w:r>
      <w:r w:rsidR="00343D24" w:rsidRPr="006A22D3">
        <w:rPr>
          <w:noProof/>
        </w:rPr>
        <w:t>ormacji zgromadzonych</w:t>
      </w:r>
      <w:r w:rsidR="006A22D3" w:rsidRPr="006A22D3">
        <w:rPr>
          <w:noProof/>
        </w:rPr>
        <w:t xml:space="preserve"> w ram</w:t>
      </w:r>
      <w:r w:rsidR="00343D24" w:rsidRPr="006A22D3">
        <w:rPr>
          <w:noProof/>
        </w:rPr>
        <w:t>ach procedury rozpatrywania skarg przewidzianej</w:t>
      </w:r>
      <w:r w:rsidR="006A22D3" w:rsidRPr="006A22D3">
        <w:rPr>
          <w:noProof/>
        </w:rPr>
        <w:t xml:space="preserve"> w art</w:t>
      </w:r>
      <w:r w:rsidR="00343D24" w:rsidRPr="006A22D3">
        <w:rPr>
          <w:noProof/>
        </w:rPr>
        <w:t>.</w:t>
      </w:r>
      <w:r w:rsidR="00192E90" w:rsidRPr="006A22D3">
        <w:rPr>
          <w:noProof/>
        </w:rPr>
        <w:t> </w:t>
      </w:r>
      <w:r w:rsidR="00343D24" w:rsidRPr="006A22D3">
        <w:rPr>
          <w:noProof/>
        </w:rPr>
        <w:t>9. Ponadto</w:t>
      </w:r>
      <w:r w:rsidR="006A22D3" w:rsidRPr="006A22D3">
        <w:rPr>
          <w:noProof/>
        </w:rPr>
        <w:t xml:space="preserve"> w sto</w:t>
      </w:r>
      <w:r w:rsidR="00343D24" w:rsidRPr="006A22D3">
        <w:rPr>
          <w:noProof/>
        </w:rPr>
        <w:t>sownych przypadkach przedsiębiorstwa przeprowadzają konsultacje</w:t>
      </w:r>
      <w:r w:rsidR="006A22D3" w:rsidRPr="006A22D3">
        <w:rPr>
          <w:noProof/>
        </w:rPr>
        <w:t xml:space="preserve"> z gru</w:t>
      </w:r>
      <w:r w:rsidR="00343D24" w:rsidRPr="006A22D3">
        <w:rPr>
          <w:noProof/>
        </w:rPr>
        <w:t>pami, które potencjalnie mogą odczuwać skutki,</w:t>
      </w:r>
      <w:r w:rsidR="006A22D3" w:rsidRPr="006A22D3">
        <w:rPr>
          <w:noProof/>
        </w:rPr>
        <w:t xml:space="preserve"> w tym z pra</w:t>
      </w:r>
      <w:r w:rsidR="00343D24" w:rsidRPr="006A22D3">
        <w:rPr>
          <w:noProof/>
        </w:rPr>
        <w:t>cownikami</w:t>
      </w:r>
      <w:r w:rsidR="006A22D3" w:rsidRPr="006A22D3">
        <w:rPr>
          <w:noProof/>
        </w:rPr>
        <w:t xml:space="preserve"> i inn</w:t>
      </w:r>
      <w:r w:rsidR="00343D24" w:rsidRPr="006A22D3">
        <w:rPr>
          <w:noProof/>
        </w:rPr>
        <w:t>ymi odpowiednimi zainteresowanymi stronami,</w:t>
      </w:r>
      <w:r w:rsidR="006A22D3" w:rsidRPr="006A22D3">
        <w:rPr>
          <w:noProof/>
        </w:rPr>
        <w:t xml:space="preserve"> w cel</w:t>
      </w:r>
      <w:r w:rsidR="00343D24" w:rsidRPr="006A22D3">
        <w:rPr>
          <w:noProof/>
        </w:rPr>
        <w:t>u zgromadzenia informacji na temat rzeczywistych lub potencjalnych niekorzystnych skutków.</w:t>
      </w:r>
    </w:p>
    <w:p w:rsidR="00343D24" w:rsidRPr="006A22D3" w:rsidRDefault="00343D24" w:rsidP="00343D24">
      <w:pPr>
        <w:pStyle w:val="Titrearticle"/>
        <w:rPr>
          <w:noProof/>
        </w:rPr>
      </w:pPr>
      <w:r w:rsidRPr="006A22D3">
        <w:rPr>
          <w:noProof/>
        </w:rPr>
        <w:t>Artykuł 7</w:t>
      </w:r>
    </w:p>
    <w:p w:rsidR="00343D24" w:rsidRPr="006A22D3" w:rsidRDefault="00343D24" w:rsidP="00343D24">
      <w:pPr>
        <w:pStyle w:val="Articletitle"/>
        <w:rPr>
          <w:noProof/>
        </w:rPr>
      </w:pPr>
      <w:r w:rsidRPr="006A22D3">
        <w:rPr>
          <w:noProof/>
        </w:rPr>
        <w:t>Zapobieganie potencjalnym niekorzystnym skutkom</w:t>
      </w:r>
    </w:p>
    <w:p w:rsidR="00343D24" w:rsidRPr="006A22D3" w:rsidRDefault="00D91F29" w:rsidP="00D91F29">
      <w:pPr>
        <w:pStyle w:val="ManualNumPar1"/>
        <w:rPr>
          <w:noProof/>
        </w:rPr>
      </w:pPr>
      <w:r w:rsidRPr="00D91F29">
        <w:t>1.</w:t>
      </w:r>
      <w:r w:rsidRPr="00D91F29">
        <w:tab/>
      </w:r>
      <w:r w:rsidR="00343D24" w:rsidRPr="006A22D3">
        <w:rPr>
          <w:noProof/>
        </w:rPr>
        <w:t>Państwa członkowskie zapewniają, aby przedsiębiorstwa wprowadziły odpowiednie środki</w:t>
      </w:r>
      <w:r w:rsidR="006A22D3" w:rsidRPr="006A22D3">
        <w:rPr>
          <w:noProof/>
        </w:rPr>
        <w:t xml:space="preserve"> w cel</w:t>
      </w:r>
      <w:r w:rsidR="00343D24" w:rsidRPr="006A22D3">
        <w:rPr>
          <w:noProof/>
        </w:rPr>
        <w:t>u uniknięcia lub – jeżeli uniknięcie jest niemożliwe lub natychmiastowo niemożliwe – odpowiedniego złagodzenia potencjalnych niekorzystnych skutków dla praw człowieka</w:t>
      </w:r>
      <w:r w:rsidR="006A22D3" w:rsidRPr="006A22D3">
        <w:rPr>
          <w:noProof/>
        </w:rPr>
        <w:t xml:space="preserve"> i dla</w:t>
      </w:r>
      <w:r w:rsidR="00343D24" w:rsidRPr="006A22D3">
        <w:rPr>
          <w:noProof/>
        </w:rPr>
        <w:t xml:space="preserve"> środowiska, które zidentyfikowano lub należało zidentyfikować na podstawie art.</w:t>
      </w:r>
      <w:r w:rsidR="00192E90" w:rsidRPr="006A22D3">
        <w:rPr>
          <w:noProof/>
        </w:rPr>
        <w:t> </w:t>
      </w:r>
      <w:r w:rsidR="00343D24" w:rsidRPr="006A22D3">
        <w:rPr>
          <w:noProof/>
        </w:rPr>
        <w:t>6, zgodnie</w:t>
      </w:r>
      <w:r w:rsidR="006A22D3" w:rsidRPr="006A22D3">
        <w:rPr>
          <w:noProof/>
        </w:rPr>
        <w:t xml:space="preserve"> z nin</w:t>
      </w:r>
      <w:r w:rsidR="00343D24" w:rsidRPr="006A22D3">
        <w:rPr>
          <w:noProof/>
        </w:rPr>
        <w:t>iejszym artykułem ust.</w:t>
      </w:r>
      <w:r w:rsidR="00192E90" w:rsidRPr="006A22D3">
        <w:rPr>
          <w:noProof/>
        </w:rPr>
        <w:t> </w:t>
      </w:r>
      <w:r w:rsidR="00343D24" w:rsidRPr="006A22D3">
        <w:rPr>
          <w:noProof/>
        </w:rPr>
        <w:t>2, 3, 4</w:t>
      </w:r>
      <w:r w:rsidR="006A22D3" w:rsidRPr="006A22D3">
        <w:rPr>
          <w:noProof/>
        </w:rPr>
        <w:t xml:space="preserve"> i 5</w:t>
      </w:r>
      <w:r w:rsidR="00343D24" w:rsidRPr="006A22D3">
        <w:rPr>
          <w:noProof/>
        </w:rPr>
        <w:t>.</w:t>
      </w:r>
    </w:p>
    <w:p w:rsidR="00343D24" w:rsidRPr="006A22D3" w:rsidRDefault="00D91F29" w:rsidP="00D91F29">
      <w:pPr>
        <w:pStyle w:val="ManualNumPar1"/>
        <w:rPr>
          <w:noProof/>
        </w:rPr>
      </w:pPr>
      <w:r w:rsidRPr="00D91F29">
        <w:t>2.</w:t>
      </w:r>
      <w:r w:rsidRPr="00D91F29">
        <w:tab/>
      </w:r>
      <w:r w:rsidR="00343D24" w:rsidRPr="006A22D3">
        <w:rPr>
          <w:noProof/>
        </w:rPr>
        <w:t>Przedsiębiorstwa powinny być</w:t>
      </w:r>
      <w:r w:rsidR="006A22D3" w:rsidRPr="006A22D3">
        <w:rPr>
          <w:noProof/>
        </w:rPr>
        <w:t xml:space="preserve"> w sto</w:t>
      </w:r>
      <w:r w:rsidR="00343D24" w:rsidRPr="006A22D3">
        <w:rPr>
          <w:noProof/>
        </w:rPr>
        <w:t xml:space="preserve">sownych przypadkach zobowiązane do podjęcia następujących działań: </w:t>
      </w:r>
    </w:p>
    <w:p w:rsidR="00343D24" w:rsidRPr="006A22D3" w:rsidRDefault="00C67A17" w:rsidP="00021ADA">
      <w:pPr>
        <w:pStyle w:val="Point1"/>
        <w:rPr>
          <w:noProof/>
        </w:rPr>
      </w:pPr>
      <w:r w:rsidRPr="006A22D3">
        <w:rPr>
          <w:noProof/>
        </w:rPr>
        <w:t>a)</w:t>
      </w:r>
      <w:r w:rsidRPr="006A22D3">
        <w:rPr>
          <w:noProof/>
        </w:rPr>
        <w:tab/>
        <w:t>w stosownych przypadkach ze względu na charakter lub złożoność środków koniecznych do uniknięcia skutków – opracowania</w:t>
      </w:r>
      <w:r w:rsidR="006A22D3" w:rsidRPr="006A22D3">
        <w:rPr>
          <w:noProof/>
        </w:rPr>
        <w:t xml:space="preserve"> i wdr</w:t>
      </w:r>
      <w:r w:rsidRPr="006A22D3">
        <w:rPr>
          <w:noProof/>
        </w:rPr>
        <w:t>ożenia planu działań zapobiegawczych</w:t>
      </w:r>
      <w:r w:rsidR="006A22D3" w:rsidRPr="006A22D3">
        <w:rPr>
          <w:noProof/>
        </w:rPr>
        <w:t xml:space="preserve"> z zas</w:t>
      </w:r>
      <w:r w:rsidRPr="006A22D3">
        <w:rPr>
          <w:noProof/>
        </w:rPr>
        <w:t>adnymi</w:t>
      </w:r>
      <w:r w:rsidR="006A22D3" w:rsidRPr="006A22D3">
        <w:rPr>
          <w:noProof/>
        </w:rPr>
        <w:t xml:space="preserve"> i jas</w:t>
      </w:r>
      <w:r w:rsidRPr="006A22D3">
        <w:rPr>
          <w:noProof/>
        </w:rPr>
        <w:t>no określonymi terminami działań oraz jakościowymi</w:t>
      </w:r>
      <w:r w:rsidR="006A22D3" w:rsidRPr="006A22D3">
        <w:rPr>
          <w:noProof/>
        </w:rPr>
        <w:t xml:space="preserve"> i ilo</w:t>
      </w:r>
      <w:r w:rsidRPr="006A22D3">
        <w:rPr>
          <w:noProof/>
        </w:rPr>
        <w:t>ściowymi wskaźnikami oceny poprawy. Taki plan działań zapobiegawczych opracowuje się</w:t>
      </w:r>
      <w:r w:rsidR="006A22D3" w:rsidRPr="006A22D3">
        <w:rPr>
          <w:noProof/>
        </w:rPr>
        <w:t xml:space="preserve"> w por</w:t>
      </w:r>
      <w:r w:rsidRPr="006A22D3">
        <w:rPr>
          <w:noProof/>
        </w:rPr>
        <w:t>ozumieniu</w:t>
      </w:r>
      <w:r w:rsidR="006A22D3" w:rsidRPr="006A22D3">
        <w:rPr>
          <w:noProof/>
        </w:rPr>
        <w:t xml:space="preserve"> z zai</w:t>
      </w:r>
      <w:r w:rsidRPr="006A22D3">
        <w:rPr>
          <w:noProof/>
        </w:rPr>
        <w:t xml:space="preserve">nteresowanymi stronami odczuwającymi skutki; </w:t>
      </w:r>
    </w:p>
    <w:p w:rsidR="00343D24" w:rsidRPr="006A22D3" w:rsidRDefault="00C67A17" w:rsidP="00476AB6">
      <w:pPr>
        <w:pStyle w:val="Point1"/>
        <w:rPr>
          <w:noProof/>
        </w:rPr>
      </w:pPr>
      <w:r w:rsidRPr="006A22D3">
        <w:rPr>
          <w:noProof/>
        </w:rPr>
        <w:t>b)</w:t>
      </w:r>
      <w:r w:rsidRPr="006A22D3">
        <w:rPr>
          <w:noProof/>
        </w:rPr>
        <w:tab/>
        <w:t>dążenia do uzyskania od partnera biznesowego,</w:t>
      </w:r>
      <w:r w:rsidR="006A22D3" w:rsidRPr="006A22D3">
        <w:rPr>
          <w:noProof/>
        </w:rPr>
        <w:t xml:space="preserve"> z któ</w:t>
      </w:r>
      <w:r w:rsidRPr="006A22D3">
        <w:rPr>
          <w:noProof/>
        </w:rPr>
        <w:t>rym utrzymują bezpośrednie relacje biznesowe, zabezpieczeń umownych, że zapewni on przestrzeganie kodeksu postępowania i,</w:t>
      </w:r>
      <w:r w:rsidR="006A22D3" w:rsidRPr="006A22D3">
        <w:rPr>
          <w:noProof/>
        </w:rPr>
        <w:t xml:space="preserve"> w zal</w:t>
      </w:r>
      <w:r w:rsidRPr="006A22D3">
        <w:rPr>
          <w:noProof/>
        </w:rPr>
        <w:t>eżności od przypadku, planu działań zapobiegawczych przedsiębiorstwa,</w:t>
      </w:r>
      <w:r w:rsidR="006A22D3" w:rsidRPr="006A22D3">
        <w:rPr>
          <w:noProof/>
        </w:rPr>
        <w:t xml:space="preserve"> w tym</w:t>
      </w:r>
      <w:r w:rsidRPr="006A22D3">
        <w:rPr>
          <w:noProof/>
        </w:rPr>
        <w:t xml:space="preserve"> uzyskując odpowiednie zabezpieczenia umowne od swoich partnerów</w:t>
      </w:r>
      <w:r w:rsidR="006A22D3" w:rsidRPr="006A22D3">
        <w:rPr>
          <w:noProof/>
        </w:rPr>
        <w:t xml:space="preserve"> w zak</w:t>
      </w:r>
      <w:r w:rsidRPr="006A22D3">
        <w:rPr>
          <w:noProof/>
        </w:rPr>
        <w:t>resie,</w:t>
      </w:r>
      <w:r w:rsidR="006A22D3" w:rsidRPr="006A22D3">
        <w:rPr>
          <w:noProof/>
        </w:rPr>
        <w:t xml:space="preserve"> w jak</w:t>
      </w:r>
      <w:r w:rsidRPr="006A22D3">
        <w:rPr>
          <w:noProof/>
        </w:rPr>
        <w:t>im ich działania stanowią część łańcucha wartości przedsiębiorstwa (umowy kaskadowe)</w:t>
      </w:r>
      <w:r w:rsidR="006A22D3" w:rsidRPr="006A22D3">
        <w:rPr>
          <w:noProof/>
        </w:rPr>
        <w:t>. W prz</w:t>
      </w:r>
      <w:r w:rsidRPr="006A22D3">
        <w:rPr>
          <w:noProof/>
        </w:rPr>
        <w:t>ypadku uzyskania takich zabezpieczeń umownych zastosowanie ma ust.</w:t>
      </w:r>
      <w:r w:rsidR="00192E90" w:rsidRPr="006A22D3">
        <w:rPr>
          <w:noProof/>
        </w:rPr>
        <w:t> </w:t>
      </w:r>
      <w:r w:rsidRPr="006A22D3">
        <w:rPr>
          <w:noProof/>
        </w:rPr>
        <w:t xml:space="preserve">4; </w:t>
      </w:r>
    </w:p>
    <w:p w:rsidR="00343D24" w:rsidRPr="006A22D3" w:rsidRDefault="00C67A17" w:rsidP="00476AB6">
      <w:pPr>
        <w:pStyle w:val="Point1"/>
        <w:rPr>
          <w:noProof/>
        </w:rPr>
      </w:pPr>
      <w:r w:rsidRPr="006A22D3">
        <w:rPr>
          <w:noProof/>
        </w:rPr>
        <w:t>c)</w:t>
      </w:r>
      <w:r w:rsidRPr="006A22D3">
        <w:rPr>
          <w:noProof/>
        </w:rPr>
        <w:tab/>
        <w:t>dokonania niezbędnych inwestycji, takich jak inwestycje</w:t>
      </w:r>
      <w:r w:rsidR="006A22D3" w:rsidRPr="006A22D3">
        <w:rPr>
          <w:noProof/>
        </w:rPr>
        <w:t xml:space="preserve"> w pro</w:t>
      </w:r>
      <w:r w:rsidRPr="006A22D3">
        <w:rPr>
          <w:noProof/>
        </w:rPr>
        <w:t>cesy</w:t>
      </w:r>
      <w:r w:rsidR="006A22D3" w:rsidRPr="006A22D3">
        <w:rPr>
          <w:noProof/>
        </w:rPr>
        <w:t xml:space="preserve"> i inf</w:t>
      </w:r>
      <w:r w:rsidRPr="006A22D3">
        <w:rPr>
          <w:noProof/>
        </w:rPr>
        <w:t>rastrukturę</w:t>
      </w:r>
      <w:r w:rsidR="006A22D3" w:rsidRPr="006A22D3">
        <w:rPr>
          <w:noProof/>
        </w:rPr>
        <w:t xml:space="preserve"> w zak</w:t>
      </w:r>
      <w:r w:rsidRPr="006A22D3">
        <w:rPr>
          <w:noProof/>
        </w:rPr>
        <w:t>resie zarządzania lub produkcji,</w:t>
      </w:r>
      <w:r w:rsidR="006A22D3" w:rsidRPr="006A22D3">
        <w:rPr>
          <w:noProof/>
        </w:rPr>
        <w:t xml:space="preserve"> w cel</w:t>
      </w:r>
      <w:r w:rsidRPr="006A22D3">
        <w:rPr>
          <w:noProof/>
        </w:rPr>
        <w:t>u zapewnienia zgodności</w:t>
      </w:r>
      <w:r w:rsidR="006A22D3" w:rsidRPr="006A22D3">
        <w:rPr>
          <w:noProof/>
        </w:rPr>
        <w:t xml:space="preserve"> z ust</w:t>
      </w:r>
      <w:r w:rsidRPr="006A22D3">
        <w:rPr>
          <w:noProof/>
        </w:rPr>
        <w:t>.</w:t>
      </w:r>
      <w:r w:rsidR="00192E90" w:rsidRPr="006A22D3">
        <w:rPr>
          <w:noProof/>
        </w:rPr>
        <w:t> </w:t>
      </w:r>
      <w:r w:rsidRPr="006A22D3">
        <w:rPr>
          <w:noProof/>
        </w:rPr>
        <w:t xml:space="preserve">1; </w:t>
      </w:r>
    </w:p>
    <w:p w:rsidR="00415145" w:rsidRPr="006A22D3" w:rsidRDefault="00C67A17" w:rsidP="009B5A20">
      <w:pPr>
        <w:pStyle w:val="Point1"/>
        <w:rPr>
          <w:noProof/>
        </w:rPr>
      </w:pPr>
      <w:r w:rsidRPr="006A22D3">
        <w:rPr>
          <w:noProof/>
        </w:rPr>
        <w:t>d)</w:t>
      </w:r>
      <w:r w:rsidRPr="006A22D3">
        <w:rPr>
          <w:noProof/>
        </w:rPr>
        <w:tab/>
        <w:t>zapewnienia ukierunkowanego</w:t>
      </w:r>
      <w:r w:rsidR="006A22D3" w:rsidRPr="006A22D3">
        <w:rPr>
          <w:noProof/>
        </w:rPr>
        <w:t xml:space="preserve"> i pro</w:t>
      </w:r>
      <w:r w:rsidRPr="006A22D3">
        <w:rPr>
          <w:noProof/>
        </w:rPr>
        <w:t>porcjonalnego wsparcia dla MŚP,</w:t>
      </w:r>
      <w:r w:rsidR="006A22D3" w:rsidRPr="006A22D3">
        <w:rPr>
          <w:noProof/>
        </w:rPr>
        <w:t xml:space="preserve"> z któ</w:t>
      </w:r>
      <w:r w:rsidRPr="006A22D3">
        <w:rPr>
          <w:noProof/>
        </w:rPr>
        <w:t>rymi przedsiębiorstwo utrzymuje stałe relacje biznesowe</w:t>
      </w:r>
      <w:r w:rsidR="006A22D3" w:rsidRPr="006A22D3">
        <w:rPr>
          <w:noProof/>
        </w:rPr>
        <w:t xml:space="preserve"> w syt</w:t>
      </w:r>
      <w:r w:rsidRPr="006A22D3">
        <w:rPr>
          <w:noProof/>
        </w:rPr>
        <w:t>uacjach,</w:t>
      </w:r>
      <w:r w:rsidR="006A22D3" w:rsidRPr="006A22D3">
        <w:rPr>
          <w:noProof/>
        </w:rPr>
        <w:t xml:space="preserve"> w któ</w:t>
      </w:r>
      <w:r w:rsidRPr="006A22D3">
        <w:rPr>
          <w:noProof/>
        </w:rPr>
        <w:t>rych przestrzeganie</w:t>
      </w:r>
      <w:r w:rsidR="00192E90" w:rsidRPr="006A22D3">
        <w:rPr>
          <w:noProof/>
        </w:rPr>
        <w:t xml:space="preserve"> </w:t>
      </w:r>
      <w:r w:rsidRPr="006A22D3">
        <w:rPr>
          <w:noProof/>
        </w:rPr>
        <w:t>kodeksu postępowania lub planu działań zapobiegawczych zagroziłoby rentowności MŚP;</w:t>
      </w:r>
    </w:p>
    <w:p w:rsidR="00415145" w:rsidRPr="006A22D3" w:rsidRDefault="00415145" w:rsidP="00415145">
      <w:pPr>
        <w:pStyle w:val="Point1"/>
        <w:rPr>
          <w:noProof/>
        </w:rPr>
      </w:pPr>
      <w:r w:rsidRPr="006A22D3">
        <w:rPr>
          <w:noProof/>
        </w:rPr>
        <w:t>e)</w:t>
      </w:r>
      <w:r w:rsidRPr="006A22D3">
        <w:rPr>
          <w:noProof/>
        </w:rPr>
        <w:tab/>
        <w:t>zgodnie</w:t>
      </w:r>
      <w:r w:rsidR="006A22D3" w:rsidRPr="006A22D3">
        <w:rPr>
          <w:noProof/>
        </w:rPr>
        <w:t xml:space="preserve"> z pra</w:t>
      </w:r>
      <w:r w:rsidRPr="006A22D3">
        <w:rPr>
          <w:noProof/>
        </w:rPr>
        <w:t>wem Unii,</w:t>
      </w:r>
      <w:r w:rsidR="006A22D3" w:rsidRPr="006A22D3">
        <w:rPr>
          <w:noProof/>
        </w:rPr>
        <w:t xml:space="preserve"> w tym</w:t>
      </w:r>
      <w:r w:rsidRPr="006A22D3">
        <w:rPr>
          <w:noProof/>
        </w:rPr>
        <w:t xml:space="preserve"> prawem konkurencji, do współpracy</w:t>
      </w:r>
      <w:r w:rsidR="006A22D3" w:rsidRPr="006A22D3">
        <w:rPr>
          <w:noProof/>
        </w:rPr>
        <w:t xml:space="preserve"> z inn</w:t>
      </w:r>
      <w:r w:rsidRPr="006A22D3">
        <w:rPr>
          <w:noProof/>
        </w:rPr>
        <w:t>ymi podmiotami,</w:t>
      </w:r>
      <w:r w:rsidR="006A22D3" w:rsidRPr="006A22D3">
        <w:rPr>
          <w:noProof/>
        </w:rPr>
        <w:t xml:space="preserve"> w tym</w:t>
      </w:r>
      <w:r w:rsidRPr="006A22D3">
        <w:rPr>
          <w:noProof/>
        </w:rPr>
        <w:t>,</w:t>
      </w:r>
      <w:r w:rsidR="006A22D3" w:rsidRPr="006A22D3">
        <w:rPr>
          <w:noProof/>
        </w:rPr>
        <w:t xml:space="preserve"> w sto</w:t>
      </w:r>
      <w:r w:rsidRPr="006A22D3">
        <w:rPr>
          <w:noProof/>
        </w:rPr>
        <w:t>sownych przypadkach,</w:t>
      </w:r>
      <w:r w:rsidR="006A22D3" w:rsidRPr="006A22D3">
        <w:rPr>
          <w:noProof/>
        </w:rPr>
        <w:t xml:space="preserve"> w cel</w:t>
      </w:r>
      <w:r w:rsidRPr="006A22D3">
        <w:rPr>
          <w:noProof/>
        </w:rPr>
        <w:t>u zwiększenia zdolności przedsiębiorstwa do powstrzymania niekorzystnego skutku,</w:t>
      </w:r>
      <w:r w:rsidR="006A22D3" w:rsidRPr="006A22D3">
        <w:rPr>
          <w:noProof/>
        </w:rPr>
        <w:t xml:space="preserve"> w szc</w:t>
      </w:r>
      <w:r w:rsidRPr="006A22D3">
        <w:rPr>
          <w:noProof/>
        </w:rPr>
        <w:t>zególności jeżeli żadne inne działanie nie jest odpowiednie ani skuteczne.</w:t>
      </w:r>
    </w:p>
    <w:p w:rsidR="009D5CBD" w:rsidRPr="006A22D3" w:rsidRDefault="00D91F29" w:rsidP="00D91F29">
      <w:pPr>
        <w:pStyle w:val="ManualNumPar1"/>
        <w:rPr>
          <w:noProof/>
        </w:rPr>
      </w:pPr>
      <w:r w:rsidRPr="00D91F29">
        <w:t>3.</w:t>
      </w:r>
      <w:r w:rsidRPr="00D91F29">
        <w:tab/>
      </w:r>
      <w:r w:rsidR="00343D24" w:rsidRPr="006A22D3">
        <w:rPr>
          <w:noProof/>
        </w:rPr>
        <w:t>Jeżeli chodzi</w:t>
      </w:r>
      <w:r w:rsidR="006A22D3" w:rsidRPr="006A22D3">
        <w:rPr>
          <w:noProof/>
        </w:rPr>
        <w:t xml:space="preserve"> o pot</w:t>
      </w:r>
      <w:r w:rsidR="00343D24" w:rsidRPr="006A22D3">
        <w:rPr>
          <w:noProof/>
        </w:rPr>
        <w:t>encjalne niekorzystne skutki, których nie można uniknąć ani odpowiednio ograniczyć za pomocą środków określonych</w:t>
      </w:r>
      <w:r w:rsidR="006A22D3" w:rsidRPr="006A22D3">
        <w:rPr>
          <w:noProof/>
        </w:rPr>
        <w:t xml:space="preserve"> w ust</w:t>
      </w:r>
      <w:r w:rsidR="00343D24" w:rsidRPr="006A22D3">
        <w:rPr>
          <w:noProof/>
        </w:rPr>
        <w:t>.</w:t>
      </w:r>
      <w:r w:rsidR="00192E90" w:rsidRPr="006A22D3">
        <w:rPr>
          <w:noProof/>
        </w:rPr>
        <w:t> </w:t>
      </w:r>
      <w:r w:rsidR="00343D24" w:rsidRPr="006A22D3">
        <w:rPr>
          <w:noProof/>
        </w:rPr>
        <w:t>2, przedsiębiorstwo może dążyć do zawarcia umowy</w:t>
      </w:r>
      <w:r w:rsidR="006A22D3" w:rsidRPr="006A22D3">
        <w:rPr>
          <w:noProof/>
        </w:rPr>
        <w:t xml:space="preserve"> z par</w:t>
      </w:r>
      <w:r w:rsidR="00343D24" w:rsidRPr="006A22D3">
        <w:rPr>
          <w:noProof/>
        </w:rPr>
        <w:t>tnerem,</w:t>
      </w:r>
      <w:r w:rsidR="006A22D3" w:rsidRPr="006A22D3">
        <w:rPr>
          <w:noProof/>
        </w:rPr>
        <w:t xml:space="preserve"> z któ</w:t>
      </w:r>
      <w:r w:rsidR="00343D24" w:rsidRPr="006A22D3">
        <w:rPr>
          <w:noProof/>
        </w:rPr>
        <w:t>rym łączą je pośrednie relacje,</w:t>
      </w:r>
      <w:r w:rsidR="006A22D3" w:rsidRPr="006A22D3">
        <w:rPr>
          <w:noProof/>
        </w:rPr>
        <w:t xml:space="preserve"> w cel</w:t>
      </w:r>
      <w:r w:rsidR="00343D24" w:rsidRPr="006A22D3">
        <w:rPr>
          <w:noProof/>
        </w:rPr>
        <w:t>u zapewnienia zgodności</w:t>
      </w:r>
      <w:r w:rsidR="006A22D3" w:rsidRPr="006A22D3">
        <w:rPr>
          <w:noProof/>
        </w:rPr>
        <w:t xml:space="preserve"> z kod</w:t>
      </w:r>
      <w:r w:rsidR="00343D24" w:rsidRPr="006A22D3">
        <w:rPr>
          <w:noProof/>
        </w:rPr>
        <w:t>eksem postępowania lub planem działań zapobiegawczych przedsiębiorstwa</w:t>
      </w:r>
      <w:r w:rsidR="006A22D3" w:rsidRPr="006A22D3">
        <w:rPr>
          <w:noProof/>
        </w:rPr>
        <w:t>. W prz</w:t>
      </w:r>
      <w:r w:rsidR="00343D24" w:rsidRPr="006A22D3">
        <w:rPr>
          <w:noProof/>
        </w:rPr>
        <w:t>ypadku zawarcia takiej umowy zastosowanie ma ust.</w:t>
      </w:r>
      <w:r w:rsidR="00192E90" w:rsidRPr="006A22D3">
        <w:rPr>
          <w:noProof/>
        </w:rPr>
        <w:t> </w:t>
      </w:r>
      <w:r w:rsidR="00343D24" w:rsidRPr="006A22D3">
        <w:rPr>
          <w:noProof/>
        </w:rPr>
        <w:t xml:space="preserve">4. </w:t>
      </w:r>
    </w:p>
    <w:p w:rsidR="000D3E5C" w:rsidRPr="006A22D3" w:rsidRDefault="00D91F29" w:rsidP="00D91F29">
      <w:pPr>
        <w:pStyle w:val="ManualNumPar1"/>
        <w:rPr>
          <w:noProof/>
        </w:rPr>
      </w:pPr>
      <w:r w:rsidRPr="00D91F29">
        <w:t>4.</w:t>
      </w:r>
      <w:r w:rsidRPr="00D91F29">
        <w:tab/>
      </w:r>
      <w:r w:rsidR="00343D24" w:rsidRPr="006A22D3">
        <w:rPr>
          <w:noProof/>
        </w:rPr>
        <w:t>Zabezpieczeniom umownym lub umowie powinny towarzyszyć odpowiednie środki sprawdzania zgodności. Do celów sprawdzania zgodności przedsiębiorstwo może odnieść się do odpowiednich inicjatyw branżowych lub niezależnej weryfikacji zewnętrznej.</w:t>
      </w:r>
    </w:p>
    <w:p w:rsidR="00343D24" w:rsidRPr="006A22D3" w:rsidRDefault="00111F1D" w:rsidP="00C1099F">
      <w:pPr>
        <w:pStyle w:val="Text1"/>
        <w:rPr>
          <w:noProof/>
        </w:rPr>
      </w:pPr>
      <w:r w:rsidRPr="006A22D3">
        <w:rPr>
          <w:noProof/>
        </w:rPr>
        <w:t>Jeżeli zabezpieczenia umowne zapewnia MŚP lub umowa zostaje zawarta z MŚP, należy określić sprawiedliwe, rozsądne</w:t>
      </w:r>
      <w:r w:rsidR="006A22D3" w:rsidRPr="006A22D3">
        <w:rPr>
          <w:noProof/>
        </w:rPr>
        <w:t xml:space="preserve"> i nie</w:t>
      </w:r>
      <w:r w:rsidRPr="006A22D3">
        <w:rPr>
          <w:noProof/>
        </w:rPr>
        <w:t>dyskryminujące warunki. Jeżeli środki sprawdzania zgodności realizuje się wobec MŚP, przedsiębiorstwo ponosi koszt niezależnej weryfikacji zewnętrznej.</w:t>
      </w:r>
    </w:p>
    <w:p w:rsidR="00343D24" w:rsidRPr="006A22D3" w:rsidRDefault="00D91F29" w:rsidP="00D91F29">
      <w:pPr>
        <w:pStyle w:val="ManualNumPar1"/>
        <w:rPr>
          <w:noProof/>
        </w:rPr>
      </w:pPr>
      <w:r w:rsidRPr="00D91F29">
        <w:t>5.</w:t>
      </w:r>
      <w:r w:rsidRPr="00D91F29">
        <w:tab/>
      </w:r>
      <w:r w:rsidR="00343D24" w:rsidRPr="006A22D3">
        <w:rPr>
          <w:noProof/>
        </w:rPr>
        <w:t>Jeżeli chodzi</w:t>
      </w:r>
      <w:r w:rsidR="006A22D3" w:rsidRPr="006A22D3">
        <w:rPr>
          <w:noProof/>
        </w:rPr>
        <w:t xml:space="preserve"> o pot</w:t>
      </w:r>
      <w:r w:rsidR="00343D24" w:rsidRPr="006A22D3">
        <w:rPr>
          <w:noProof/>
        </w:rPr>
        <w:t>encjalne niekorzystne skutki</w:t>
      </w:r>
      <w:r w:rsidR="006A22D3" w:rsidRPr="006A22D3">
        <w:rPr>
          <w:noProof/>
        </w:rPr>
        <w:t xml:space="preserve"> w roz</w:t>
      </w:r>
      <w:r w:rsidR="00343D24" w:rsidRPr="006A22D3">
        <w:rPr>
          <w:noProof/>
        </w:rPr>
        <w:t>umieniu ust.</w:t>
      </w:r>
      <w:r w:rsidR="00192E90" w:rsidRPr="006A22D3">
        <w:rPr>
          <w:noProof/>
        </w:rPr>
        <w:t> </w:t>
      </w:r>
      <w:r w:rsidR="00343D24" w:rsidRPr="006A22D3">
        <w:rPr>
          <w:noProof/>
        </w:rPr>
        <w:t>1, których nie można było uniknąć ani odpowiednio ograniczyć za pomocą środków określonych</w:t>
      </w:r>
      <w:r w:rsidR="006A22D3" w:rsidRPr="006A22D3">
        <w:rPr>
          <w:noProof/>
        </w:rPr>
        <w:t xml:space="preserve"> w ust</w:t>
      </w:r>
      <w:r w:rsidR="00343D24" w:rsidRPr="006A22D3">
        <w:rPr>
          <w:noProof/>
        </w:rPr>
        <w:t>.</w:t>
      </w:r>
      <w:r w:rsidR="00192E90" w:rsidRPr="006A22D3">
        <w:rPr>
          <w:noProof/>
        </w:rPr>
        <w:t> </w:t>
      </w:r>
      <w:r w:rsidR="00343D24" w:rsidRPr="006A22D3">
        <w:rPr>
          <w:noProof/>
        </w:rPr>
        <w:t>2, 3</w:t>
      </w:r>
      <w:r w:rsidR="006A22D3" w:rsidRPr="006A22D3">
        <w:rPr>
          <w:noProof/>
        </w:rPr>
        <w:t xml:space="preserve"> i 4</w:t>
      </w:r>
      <w:r w:rsidR="00343D24" w:rsidRPr="006A22D3">
        <w:rPr>
          <w:noProof/>
        </w:rPr>
        <w:t>, przedsiębiorstwo ma obowiązek powstrzymania się od nawiązywania nowych lub rozszerzania istniejących relacji</w:t>
      </w:r>
      <w:r w:rsidR="006A22D3" w:rsidRPr="006A22D3">
        <w:rPr>
          <w:noProof/>
        </w:rPr>
        <w:t xml:space="preserve"> z par</w:t>
      </w:r>
      <w:r w:rsidR="00343D24" w:rsidRPr="006A22D3">
        <w:rPr>
          <w:noProof/>
        </w:rPr>
        <w:t>tnerem,</w:t>
      </w:r>
      <w:r w:rsidR="006A22D3" w:rsidRPr="006A22D3">
        <w:rPr>
          <w:noProof/>
        </w:rPr>
        <w:t xml:space="preserve"> z któ</w:t>
      </w:r>
      <w:r w:rsidR="00343D24" w:rsidRPr="006A22D3">
        <w:rPr>
          <w:noProof/>
        </w:rPr>
        <w:t>rym lub</w:t>
      </w:r>
      <w:r w:rsidR="006A22D3" w:rsidRPr="006A22D3">
        <w:rPr>
          <w:noProof/>
        </w:rPr>
        <w:t xml:space="preserve"> z któ</w:t>
      </w:r>
      <w:r w:rsidR="00343D24" w:rsidRPr="006A22D3">
        <w:rPr>
          <w:noProof/>
        </w:rPr>
        <w:t>rego łańcuchem wartości wiąże się dany skutek,</w:t>
      </w:r>
      <w:r w:rsidR="006A22D3" w:rsidRPr="006A22D3">
        <w:rPr>
          <w:noProof/>
        </w:rPr>
        <w:t xml:space="preserve"> a tak</w:t>
      </w:r>
      <w:r w:rsidR="00343D24" w:rsidRPr="006A22D3">
        <w:rPr>
          <w:noProof/>
        </w:rPr>
        <w:t>że, jeśli uprawnia ich do tego prawo regulujące ich relacje, podejmuje następujące działania:</w:t>
      </w:r>
    </w:p>
    <w:p w:rsidR="00343D24" w:rsidRPr="006A22D3" w:rsidRDefault="006A22D3" w:rsidP="006A22D3">
      <w:pPr>
        <w:pStyle w:val="Point1"/>
        <w:rPr>
          <w:noProof/>
        </w:rPr>
      </w:pPr>
      <w:r w:rsidRPr="006A22D3">
        <w:rPr>
          <w:noProof/>
        </w:rPr>
        <w:t>a)</w:t>
      </w:r>
      <w:r w:rsidRPr="006A22D3">
        <w:rPr>
          <w:noProof/>
        </w:rPr>
        <w:tab/>
      </w:r>
      <w:r w:rsidR="00343D24" w:rsidRPr="006A22D3">
        <w:rPr>
          <w:noProof/>
        </w:rPr>
        <w:t>czasowa zawiesza stosunki handlowe</w:t>
      </w:r>
      <w:r w:rsidRPr="006A22D3">
        <w:rPr>
          <w:noProof/>
        </w:rPr>
        <w:t xml:space="preserve"> z dan</w:t>
      </w:r>
      <w:r w:rsidR="00343D24" w:rsidRPr="006A22D3">
        <w:rPr>
          <w:noProof/>
        </w:rPr>
        <w:t>ym partnerem,</w:t>
      </w:r>
      <w:r w:rsidRPr="006A22D3">
        <w:rPr>
          <w:noProof/>
        </w:rPr>
        <w:t xml:space="preserve"> a jed</w:t>
      </w:r>
      <w:r w:rsidR="00343D24" w:rsidRPr="006A22D3">
        <w:rPr>
          <w:noProof/>
        </w:rPr>
        <w:t>nocześnie podejmuje starania na rzecz zapobiegania tym skutkom</w:t>
      </w:r>
      <w:r w:rsidRPr="006A22D3">
        <w:rPr>
          <w:noProof/>
        </w:rPr>
        <w:t xml:space="preserve"> i ich</w:t>
      </w:r>
      <w:r w:rsidR="00343D24" w:rsidRPr="006A22D3">
        <w:rPr>
          <w:noProof/>
        </w:rPr>
        <w:t xml:space="preserve"> minimalizowania, jeśli istnieje uzasadnione oczekiwanie, że starania te będą skuteczne</w:t>
      </w:r>
      <w:r w:rsidRPr="006A22D3">
        <w:rPr>
          <w:noProof/>
        </w:rPr>
        <w:t xml:space="preserve"> w per</w:t>
      </w:r>
      <w:r w:rsidR="00343D24" w:rsidRPr="006A22D3">
        <w:rPr>
          <w:noProof/>
        </w:rPr>
        <w:t xml:space="preserve">spektywie krótkoterminowej; </w:t>
      </w:r>
    </w:p>
    <w:p w:rsidR="00343D24" w:rsidRPr="006A22D3" w:rsidRDefault="006A22D3" w:rsidP="006A22D3">
      <w:pPr>
        <w:pStyle w:val="Point1"/>
        <w:rPr>
          <w:noProof/>
        </w:rPr>
      </w:pPr>
      <w:r w:rsidRPr="006A22D3">
        <w:rPr>
          <w:noProof/>
        </w:rPr>
        <w:t>b)</w:t>
      </w:r>
      <w:r w:rsidRPr="006A22D3">
        <w:rPr>
          <w:noProof/>
        </w:rPr>
        <w:tab/>
      </w:r>
      <w:r w:rsidR="00343D24" w:rsidRPr="006A22D3">
        <w:rPr>
          <w:noProof/>
        </w:rPr>
        <w:t>rozwiązuje relacje biznesowe</w:t>
      </w:r>
      <w:r w:rsidRPr="006A22D3">
        <w:rPr>
          <w:noProof/>
        </w:rPr>
        <w:t xml:space="preserve"> w odn</w:t>
      </w:r>
      <w:r w:rsidR="00343D24" w:rsidRPr="006A22D3">
        <w:rPr>
          <w:noProof/>
        </w:rPr>
        <w:t>iesieniu do danej działalności, jeśli potencjalne niekorzystne skutki są poważne.</w:t>
      </w:r>
    </w:p>
    <w:p w:rsidR="00343D24" w:rsidRPr="006A22D3" w:rsidRDefault="00343D24" w:rsidP="00343D24">
      <w:pPr>
        <w:pStyle w:val="Text1"/>
        <w:rPr>
          <w:noProof/>
        </w:rPr>
      </w:pPr>
      <w:r w:rsidRPr="006A22D3">
        <w:rPr>
          <w:noProof/>
        </w:rPr>
        <w:t>Państwa członkowskie przewidują możliwość rozwiązania relacji biznesowych nawiązanych na podstawie umów podlegających ich prawu.</w:t>
      </w:r>
    </w:p>
    <w:p w:rsidR="00A96B46" w:rsidRPr="006A22D3" w:rsidRDefault="00D91F29" w:rsidP="00D91F29">
      <w:pPr>
        <w:pStyle w:val="ManualNumPar1"/>
        <w:rPr>
          <w:noProof/>
        </w:rPr>
      </w:pPr>
      <w:r w:rsidRPr="00D91F29">
        <w:t>6.</w:t>
      </w:r>
      <w:r w:rsidRPr="00D91F29">
        <w:tab/>
      </w:r>
      <w:r w:rsidR="00565EDB" w:rsidRPr="006A22D3">
        <w:rPr>
          <w:noProof/>
        </w:rPr>
        <w:t>Na zasadzie odstępstwa od ust.</w:t>
      </w:r>
      <w:r w:rsidR="00192E90" w:rsidRPr="006A22D3">
        <w:rPr>
          <w:noProof/>
        </w:rPr>
        <w:t> </w:t>
      </w:r>
      <w:r w:rsidR="00565EDB" w:rsidRPr="006A22D3">
        <w:rPr>
          <w:noProof/>
        </w:rPr>
        <w:t>5 lit.</w:t>
      </w:r>
      <w:r w:rsidR="00192E90" w:rsidRPr="006A22D3">
        <w:rPr>
          <w:noProof/>
        </w:rPr>
        <w:t> </w:t>
      </w:r>
      <w:r w:rsidR="00565EDB" w:rsidRPr="006A22D3">
        <w:rPr>
          <w:noProof/>
        </w:rPr>
        <w:t>b), jeżeli przedsiębiorstwa,</w:t>
      </w:r>
      <w:r w:rsidR="006A22D3" w:rsidRPr="006A22D3">
        <w:rPr>
          <w:noProof/>
        </w:rPr>
        <w:t xml:space="preserve"> o któ</w:t>
      </w:r>
      <w:r w:rsidR="00565EDB" w:rsidRPr="006A22D3">
        <w:rPr>
          <w:noProof/>
        </w:rPr>
        <w:t>rych mowa</w:t>
      </w:r>
      <w:r w:rsidR="006A22D3" w:rsidRPr="006A22D3">
        <w:rPr>
          <w:noProof/>
        </w:rPr>
        <w:t xml:space="preserve"> w art</w:t>
      </w:r>
      <w:r w:rsidR="00565EDB" w:rsidRPr="006A22D3">
        <w:rPr>
          <w:noProof/>
        </w:rPr>
        <w:t>.</w:t>
      </w:r>
      <w:r w:rsidR="00192E90" w:rsidRPr="006A22D3">
        <w:rPr>
          <w:noProof/>
        </w:rPr>
        <w:t> </w:t>
      </w:r>
      <w:r w:rsidR="00565EDB" w:rsidRPr="006A22D3">
        <w:rPr>
          <w:noProof/>
        </w:rPr>
        <w:t>3 lit.</w:t>
      </w:r>
      <w:r w:rsidR="00192E90" w:rsidRPr="006A22D3">
        <w:rPr>
          <w:noProof/>
        </w:rPr>
        <w:t> </w:t>
      </w:r>
      <w:r w:rsidR="00565EDB" w:rsidRPr="006A22D3">
        <w:rPr>
          <w:noProof/>
        </w:rPr>
        <w:t>a) ppkt (iv), udzielają kredytów lub pożyczek lub świadczą inne usługi finansowe, takie przedsiębiorstwa nie są zobowiązane do rozwiązania umowy</w:t>
      </w:r>
      <w:r w:rsidR="006A22D3" w:rsidRPr="006A22D3">
        <w:rPr>
          <w:noProof/>
        </w:rPr>
        <w:t xml:space="preserve"> o udz</w:t>
      </w:r>
      <w:r w:rsidR="00565EDB" w:rsidRPr="006A22D3">
        <w:rPr>
          <w:noProof/>
        </w:rPr>
        <w:t>ielenie kredytu lub pożyczki lub</w:t>
      </w:r>
      <w:r w:rsidR="006A22D3" w:rsidRPr="006A22D3">
        <w:rPr>
          <w:noProof/>
        </w:rPr>
        <w:t xml:space="preserve"> o świ</w:t>
      </w:r>
      <w:r w:rsidR="00565EDB" w:rsidRPr="006A22D3">
        <w:rPr>
          <w:noProof/>
        </w:rPr>
        <w:t>adczenie innych usług finansowych, jeżeli zasadne jest oczekiwanie, że będzie to ze szkodą dla jednostki, wobec której usługa ta jest świadczona.</w:t>
      </w:r>
    </w:p>
    <w:p w:rsidR="00343D24" w:rsidRPr="006A22D3" w:rsidRDefault="00343D24" w:rsidP="00343D24">
      <w:pPr>
        <w:pStyle w:val="Titrearticle"/>
        <w:rPr>
          <w:noProof/>
        </w:rPr>
      </w:pPr>
      <w:r w:rsidRPr="006A22D3">
        <w:rPr>
          <w:noProof/>
        </w:rPr>
        <w:t>Artykuł 8</w:t>
      </w:r>
    </w:p>
    <w:p w:rsidR="00343D24" w:rsidRPr="006A22D3" w:rsidRDefault="00343D24" w:rsidP="00343D24">
      <w:pPr>
        <w:pStyle w:val="Articletitle"/>
        <w:rPr>
          <w:noProof/>
        </w:rPr>
      </w:pPr>
      <w:r w:rsidRPr="006A22D3">
        <w:rPr>
          <w:noProof/>
        </w:rPr>
        <w:t xml:space="preserve">Powstrzymanie rzeczywistych niekorzystnych skutków </w:t>
      </w:r>
    </w:p>
    <w:p w:rsidR="00343D24" w:rsidRPr="006A22D3" w:rsidRDefault="00D91F29" w:rsidP="00D91F29">
      <w:pPr>
        <w:pStyle w:val="ManualNumPar1"/>
        <w:rPr>
          <w:noProof/>
        </w:rPr>
      </w:pPr>
      <w:r w:rsidRPr="00D91F29">
        <w:t>1.</w:t>
      </w:r>
      <w:r w:rsidRPr="00D91F29">
        <w:tab/>
      </w:r>
      <w:r w:rsidR="00343D24" w:rsidRPr="006A22D3">
        <w:rPr>
          <w:noProof/>
        </w:rPr>
        <w:t>Państwa członkowskie zapewniają, aby przedsiębiorstwa wprowadziły odpowiednie środki</w:t>
      </w:r>
      <w:r w:rsidR="006A22D3" w:rsidRPr="006A22D3">
        <w:rPr>
          <w:noProof/>
        </w:rPr>
        <w:t xml:space="preserve"> w cel</w:t>
      </w:r>
      <w:r w:rsidR="00343D24" w:rsidRPr="006A22D3">
        <w:rPr>
          <w:noProof/>
        </w:rPr>
        <w:t>u powstrzymania rzeczywistych niekorzystnych skutków, które zidentyfikowano lub należało zidentyfikować na podstawie art.</w:t>
      </w:r>
      <w:r w:rsidR="00192E90" w:rsidRPr="006A22D3">
        <w:rPr>
          <w:noProof/>
        </w:rPr>
        <w:t> </w:t>
      </w:r>
      <w:r w:rsidR="00343D24" w:rsidRPr="006A22D3">
        <w:rPr>
          <w:noProof/>
        </w:rPr>
        <w:t>6, zgodnie</w:t>
      </w:r>
      <w:r w:rsidR="006A22D3" w:rsidRPr="006A22D3">
        <w:rPr>
          <w:noProof/>
        </w:rPr>
        <w:t xml:space="preserve"> z nin</w:t>
      </w:r>
      <w:r w:rsidR="00343D24" w:rsidRPr="006A22D3">
        <w:rPr>
          <w:noProof/>
        </w:rPr>
        <w:t>iejszym artykułem ust.</w:t>
      </w:r>
      <w:r w:rsidR="00192E90" w:rsidRPr="006A22D3">
        <w:rPr>
          <w:noProof/>
        </w:rPr>
        <w:t> </w:t>
      </w:r>
      <w:r w:rsidR="00343D24" w:rsidRPr="006A22D3">
        <w:rPr>
          <w:noProof/>
        </w:rPr>
        <w:t xml:space="preserve">2–6. </w:t>
      </w:r>
    </w:p>
    <w:p w:rsidR="00343D24" w:rsidRPr="006A22D3" w:rsidRDefault="00D91F29" w:rsidP="00D91F29">
      <w:pPr>
        <w:pStyle w:val="ManualNumPar1"/>
        <w:rPr>
          <w:noProof/>
        </w:rPr>
      </w:pPr>
      <w:r w:rsidRPr="00D91F29">
        <w:t>2.</w:t>
      </w:r>
      <w:r w:rsidRPr="00D91F29">
        <w:tab/>
      </w:r>
      <w:r w:rsidR="00343D24" w:rsidRPr="006A22D3">
        <w:rPr>
          <w:noProof/>
        </w:rPr>
        <w:t xml:space="preserve">W przypadku gdy nie można powstrzymać niekorzystnych skutków, państwa członkowskie zapewniają, aby przedsiębiorstwa zminimalizowały skalę tych skutków. </w:t>
      </w:r>
    </w:p>
    <w:p w:rsidR="00343D24" w:rsidRPr="006A22D3" w:rsidRDefault="00D91F29" w:rsidP="00D91F29">
      <w:pPr>
        <w:pStyle w:val="ManualNumPar1"/>
        <w:rPr>
          <w:noProof/>
        </w:rPr>
      </w:pPr>
      <w:r w:rsidRPr="00D91F29">
        <w:t>3.</w:t>
      </w:r>
      <w:r w:rsidRPr="00D91F29">
        <w:tab/>
      </w:r>
      <w:r w:rsidR="00343D24" w:rsidRPr="006A22D3">
        <w:rPr>
          <w:noProof/>
        </w:rPr>
        <w:t>Przedsiębiorstwa powinny być</w:t>
      </w:r>
      <w:r w:rsidR="006A22D3" w:rsidRPr="006A22D3">
        <w:rPr>
          <w:noProof/>
        </w:rPr>
        <w:t xml:space="preserve"> w sto</w:t>
      </w:r>
      <w:r w:rsidR="00343D24" w:rsidRPr="006A22D3">
        <w:rPr>
          <w:noProof/>
        </w:rPr>
        <w:t>sownych przypadkach zobowiązane do podjęcia następujących działań:</w:t>
      </w:r>
    </w:p>
    <w:p w:rsidR="00343D24" w:rsidRPr="006A22D3" w:rsidRDefault="009C05B4" w:rsidP="009C05B4">
      <w:pPr>
        <w:pStyle w:val="Point1"/>
        <w:rPr>
          <w:noProof/>
        </w:rPr>
      </w:pPr>
      <w:r w:rsidRPr="006A22D3">
        <w:rPr>
          <w:noProof/>
        </w:rPr>
        <w:t>a)</w:t>
      </w:r>
      <w:r w:rsidRPr="006A22D3">
        <w:rPr>
          <w:noProof/>
        </w:rPr>
        <w:tab/>
        <w:t>zneutralizowania niekorzystnych skutków lub zminimalizowania ich zakresu,</w:t>
      </w:r>
      <w:r w:rsidR="006A22D3" w:rsidRPr="006A22D3">
        <w:rPr>
          <w:noProof/>
        </w:rPr>
        <w:t xml:space="preserve"> w tym</w:t>
      </w:r>
      <w:r w:rsidRPr="006A22D3">
        <w:rPr>
          <w:noProof/>
        </w:rPr>
        <w:t xml:space="preserve"> poprzez wypłatę odszkodowania osobom odczuwającym skutki</w:t>
      </w:r>
      <w:r w:rsidR="006A22D3" w:rsidRPr="006A22D3">
        <w:rPr>
          <w:noProof/>
        </w:rPr>
        <w:t xml:space="preserve"> i rek</w:t>
      </w:r>
      <w:r w:rsidRPr="006A22D3">
        <w:rPr>
          <w:noProof/>
        </w:rPr>
        <w:t>ompensaty finansowej społecznościom odczuwającym skutki. Działania muszą być proporcjonalne do znaczenia</w:t>
      </w:r>
      <w:r w:rsidR="006A22D3" w:rsidRPr="006A22D3">
        <w:rPr>
          <w:noProof/>
        </w:rPr>
        <w:t xml:space="preserve"> i ska</w:t>
      </w:r>
      <w:r w:rsidRPr="006A22D3">
        <w:rPr>
          <w:noProof/>
        </w:rPr>
        <w:t>li niekorzystnych skutków oraz do stopnia,</w:t>
      </w:r>
      <w:r w:rsidR="006A22D3" w:rsidRPr="006A22D3">
        <w:rPr>
          <w:noProof/>
        </w:rPr>
        <w:t xml:space="preserve"> w jak</w:t>
      </w:r>
      <w:r w:rsidRPr="006A22D3">
        <w:rPr>
          <w:noProof/>
        </w:rPr>
        <w:t>im działanie przedsiębiorstwa przyczyniło się do ich powstania;</w:t>
      </w:r>
    </w:p>
    <w:p w:rsidR="00343D24" w:rsidRPr="006A22D3" w:rsidRDefault="009C05B4" w:rsidP="009C05B4">
      <w:pPr>
        <w:pStyle w:val="Point1"/>
        <w:rPr>
          <w:noProof/>
        </w:rPr>
      </w:pPr>
      <w:r w:rsidRPr="006A22D3">
        <w:rPr>
          <w:noProof/>
        </w:rPr>
        <w:t>b)</w:t>
      </w:r>
      <w:r w:rsidRPr="006A22D3">
        <w:rPr>
          <w:noProof/>
        </w:rPr>
        <w:tab/>
        <w:t>w stosownych przypadkach ze względu na fakt, że niekorzystnych skutków nie można powstrzymać natychmiast, do opracowania</w:t>
      </w:r>
      <w:r w:rsidR="006A22D3" w:rsidRPr="006A22D3">
        <w:rPr>
          <w:noProof/>
        </w:rPr>
        <w:t xml:space="preserve"> i wdr</w:t>
      </w:r>
      <w:r w:rsidRPr="006A22D3">
        <w:rPr>
          <w:noProof/>
        </w:rPr>
        <w:t>ożenia planu działań naprawczych</w:t>
      </w:r>
      <w:r w:rsidR="006A22D3" w:rsidRPr="006A22D3">
        <w:rPr>
          <w:noProof/>
        </w:rPr>
        <w:t xml:space="preserve"> z zas</w:t>
      </w:r>
      <w:r w:rsidRPr="006A22D3">
        <w:rPr>
          <w:noProof/>
        </w:rPr>
        <w:t>adnymi</w:t>
      </w:r>
      <w:r w:rsidR="006A22D3" w:rsidRPr="006A22D3">
        <w:rPr>
          <w:noProof/>
        </w:rPr>
        <w:t xml:space="preserve"> i jas</w:t>
      </w:r>
      <w:r w:rsidRPr="006A22D3">
        <w:rPr>
          <w:noProof/>
        </w:rPr>
        <w:t>no określonymi terminami działań oraz jakościowymi</w:t>
      </w:r>
      <w:r w:rsidR="006A22D3" w:rsidRPr="006A22D3">
        <w:rPr>
          <w:noProof/>
        </w:rPr>
        <w:t xml:space="preserve"> i ilo</w:t>
      </w:r>
      <w:r w:rsidRPr="006A22D3">
        <w:rPr>
          <w:noProof/>
        </w:rPr>
        <w:t>ściowymi wskaźnikami oceny poprawy</w:t>
      </w:r>
      <w:r w:rsidR="006A22D3" w:rsidRPr="006A22D3">
        <w:rPr>
          <w:noProof/>
        </w:rPr>
        <w:t>. W sto</w:t>
      </w:r>
      <w:r w:rsidRPr="006A22D3">
        <w:rPr>
          <w:noProof/>
        </w:rPr>
        <w:t>sownych przypadkach taki plan działań naprawczych opracowuje się</w:t>
      </w:r>
      <w:r w:rsidR="006A22D3" w:rsidRPr="006A22D3">
        <w:rPr>
          <w:noProof/>
        </w:rPr>
        <w:t xml:space="preserve"> w por</w:t>
      </w:r>
      <w:r w:rsidRPr="006A22D3">
        <w:rPr>
          <w:noProof/>
        </w:rPr>
        <w:t>ozumieniu</w:t>
      </w:r>
      <w:r w:rsidR="006A22D3" w:rsidRPr="006A22D3">
        <w:rPr>
          <w:noProof/>
        </w:rPr>
        <w:t xml:space="preserve"> z zai</w:t>
      </w:r>
      <w:r w:rsidRPr="006A22D3">
        <w:rPr>
          <w:noProof/>
        </w:rPr>
        <w:t>nteresowanymi stronami;</w:t>
      </w:r>
    </w:p>
    <w:p w:rsidR="00343D24" w:rsidRPr="006A22D3" w:rsidRDefault="009C05B4" w:rsidP="009C05B4">
      <w:pPr>
        <w:pStyle w:val="Point1"/>
        <w:rPr>
          <w:noProof/>
        </w:rPr>
      </w:pPr>
      <w:r w:rsidRPr="006A22D3">
        <w:rPr>
          <w:noProof/>
        </w:rPr>
        <w:t>c)</w:t>
      </w:r>
      <w:r w:rsidRPr="006A22D3">
        <w:rPr>
          <w:noProof/>
        </w:rPr>
        <w:tab/>
        <w:t>dążenia do uzyskania od bezpośredniego partnera,</w:t>
      </w:r>
      <w:r w:rsidR="006A22D3" w:rsidRPr="006A22D3">
        <w:rPr>
          <w:noProof/>
        </w:rPr>
        <w:t xml:space="preserve"> z któ</w:t>
      </w:r>
      <w:r w:rsidRPr="006A22D3">
        <w:rPr>
          <w:noProof/>
        </w:rPr>
        <w:t>rym utrzymują stałe relacje biznesowe, zabezpieczeń umownych, że zapewni on przestrzeganie kodeksu postępowania i,</w:t>
      </w:r>
      <w:r w:rsidR="006A22D3" w:rsidRPr="006A22D3">
        <w:rPr>
          <w:noProof/>
        </w:rPr>
        <w:t xml:space="preserve"> w zal</w:t>
      </w:r>
      <w:r w:rsidRPr="006A22D3">
        <w:rPr>
          <w:noProof/>
        </w:rPr>
        <w:t>eżności od przypadku, planu działań naprawczych,</w:t>
      </w:r>
      <w:r w:rsidR="006A22D3" w:rsidRPr="006A22D3">
        <w:rPr>
          <w:noProof/>
        </w:rPr>
        <w:t xml:space="preserve"> w tym</w:t>
      </w:r>
      <w:r w:rsidRPr="006A22D3">
        <w:rPr>
          <w:noProof/>
        </w:rPr>
        <w:t xml:space="preserve"> uzyskując odpowiednie zabezpieczenia umowne od swoich partnerów</w:t>
      </w:r>
      <w:r w:rsidR="006A22D3" w:rsidRPr="006A22D3">
        <w:rPr>
          <w:noProof/>
        </w:rPr>
        <w:t xml:space="preserve"> w zak</w:t>
      </w:r>
      <w:r w:rsidRPr="006A22D3">
        <w:rPr>
          <w:noProof/>
        </w:rPr>
        <w:t>resie,</w:t>
      </w:r>
      <w:r w:rsidR="006A22D3" w:rsidRPr="006A22D3">
        <w:rPr>
          <w:noProof/>
        </w:rPr>
        <w:t xml:space="preserve"> w jak</w:t>
      </w:r>
      <w:r w:rsidRPr="006A22D3">
        <w:rPr>
          <w:noProof/>
        </w:rPr>
        <w:t>im ich działania stanowią część łańcucha wartości (umowy kaskadowe)</w:t>
      </w:r>
      <w:r w:rsidR="006A22D3" w:rsidRPr="006A22D3">
        <w:rPr>
          <w:noProof/>
        </w:rPr>
        <w:t>. W prz</w:t>
      </w:r>
      <w:r w:rsidRPr="006A22D3">
        <w:rPr>
          <w:noProof/>
        </w:rPr>
        <w:t>ypadku uzyskania takich zabezpieczeń umownych zastosowanie ma ust.</w:t>
      </w:r>
      <w:r w:rsidR="00192E90" w:rsidRPr="006A22D3">
        <w:rPr>
          <w:noProof/>
        </w:rPr>
        <w:t> </w:t>
      </w:r>
      <w:r w:rsidRPr="006A22D3">
        <w:rPr>
          <w:noProof/>
        </w:rPr>
        <w:t>5;</w:t>
      </w:r>
    </w:p>
    <w:p w:rsidR="00343D24" w:rsidRPr="006A22D3" w:rsidRDefault="009C05B4" w:rsidP="009C05B4">
      <w:pPr>
        <w:pStyle w:val="Point1"/>
        <w:rPr>
          <w:noProof/>
        </w:rPr>
      </w:pPr>
      <w:r w:rsidRPr="006A22D3">
        <w:rPr>
          <w:noProof/>
        </w:rPr>
        <w:t>d)</w:t>
      </w:r>
      <w:r w:rsidRPr="006A22D3">
        <w:rPr>
          <w:noProof/>
        </w:rPr>
        <w:tab/>
        <w:t>dokonania niezbędnych inwestycji, takich jak inwestycje</w:t>
      </w:r>
      <w:r w:rsidR="006A22D3" w:rsidRPr="006A22D3">
        <w:rPr>
          <w:noProof/>
        </w:rPr>
        <w:t xml:space="preserve"> w pro</w:t>
      </w:r>
      <w:r w:rsidRPr="006A22D3">
        <w:rPr>
          <w:noProof/>
        </w:rPr>
        <w:t>cesy</w:t>
      </w:r>
      <w:r w:rsidR="006A22D3" w:rsidRPr="006A22D3">
        <w:rPr>
          <w:noProof/>
        </w:rPr>
        <w:t xml:space="preserve"> i inf</w:t>
      </w:r>
      <w:r w:rsidRPr="006A22D3">
        <w:rPr>
          <w:noProof/>
        </w:rPr>
        <w:t>rastrukturę</w:t>
      </w:r>
      <w:r w:rsidR="006A22D3" w:rsidRPr="006A22D3">
        <w:rPr>
          <w:noProof/>
        </w:rPr>
        <w:t xml:space="preserve"> w zak</w:t>
      </w:r>
      <w:r w:rsidRPr="006A22D3">
        <w:rPr>
          <w:noProof/>
        </w:rPr>
        <w:t>resie zarządzania lub produkcji,</w:t>
      </w:r>
      <w:r w:rsidR="006A22D3" w:rsidRPr="006A22D3">
        <w:rPr>
          <w:noProof/>
        </w:rPr>
        <w:t xml:space="preserve"> w cel</w:t>
      </w:r>
      <w:r w:rsidRPr="006A22D3">
        <w:rPr>
          <w:noProof/>
        </w:rPr>
        <w:t>u zapewnienia zgodności</w:t>
      </w:r>
      <w:r w:rsidR="006A22D3" w:rsidRPr="006A22D3">
        <w:rPr>
          <w:noProof/>
        </w:rPr>
        <w:t xml:space="preserve"> z ust</w:t>
      </w:r>
      <w:r w:rsidRPr="006A22D3">
        <w:rPr>
          <w:noProof/>
        </w:rPr>
        <w:t>.</w:t>
      </w:r>
      <w:r w:rsidR="00192E90" w:rsidRPr="006A22D3">
        <w:rPr>
          <w:noProof/>
        </w:rPr>
        <w:t> </w:t>
      </w:r>
      <w:r w:rsidRPr="006A22D3">
        <w:rPr>
          <w:noProof/>
        </w:rPr>
        <w:t>1, 2</w:t>
      </w:r>
      <w:r w:rsidR="006A22D3" w:rsidRPr="006A22D3">
        <w:rPr>
          <w:noProof/>
        </w:rPr>
        <w:t xml:space="preserve"> i 3</w:t>
      </w:r>
      <w:r w:rsidRPr="006A22D3">
        <w:rPr>
          <w:noProof/>
        </w:rPr>
        <w:t>;</w:t>
      </w:r>
    </w:p>
    <w:p w:rsidR="00512CCA" w:rsidRPr="006A22D3" w:rsidRDefault="009C05B4" w:rsidP="009C05B4">
      <w:pPr>
        <w:pStyle w:val="Point1"/>
        <w:rPr>
          <w:noProof/>
        </w:rPr>
      </w:pPr>
      <w:r w:rsidRPr="006A22D3">
        <w:rPr>
          <w:noProof/>
        </w:rPr>
        <w:t>e)</w:t>
      </w:r>
      <w:r w:rsidRPr="006A22D3">
        <w:rPr>
          <w:noProof/>
        </w:rPr>
        <w:tab/>
      </w:r>
      <w:r w:rsidRPr="006A22D3">
        <w:rPr>
          <w:noProof/>
        </w:rPr>
        <w:tab/>
        <w:t>zapewnienia ukierunkowanego</w:t>
      </w:r>
      <w:r w:rsidR="006A22D3" w:rsidRPr="006A22D3">
        <w:rPr>
          <w:noProof/>
        </w:rPr>
        <w:t xml:space="preserve"> i pro</w:t>
      </w:r>
      <w:r w:rsidRPr="006A22D3">
        <w:rPr>
          <w:noProof/>
        </w:rPr>
        <w:t>porcjonalnego wsparcia dla MŚP,</w:t>
      </w:r>
      <w:r w:rsidR="006A22D3" w:rsidRPr="006A22D3">
        <w:rPr>
          <w:noProof/>
        </w:rPr>
        <w:t xml:space="preserve"> z któ</w:t>
      </w:r>
      <w:r w:rsidRPr="006A22D3">
        <w:rPr>
          <w:noProof/>
        </w:rPr>
        <w:t>rymi przedsiębiorstwo utrzymuje stałe relacje biznesowe</w:t>
      </w:r>
      <w:r w:rsidR="006A22D3" w:rsidRPr="006A22D3">
        <w:rPr>
          <w:noProof/>
        </w:rPr>
        <w:t xml:space="preserve"> w syt</w:t>
      </w:r>
      <w:r w:rsidRPr="006A22D3">
        <w:rPr>
          <w:noProof/>
        </w:rPr>
        <w:t>uacjach,</w:t>
      </w:r>
      <w:r w:rsidR="006A22D3" w:rsidRPr="006A22D3">
        <w:rPr>
          <w:noProof/>
        </w:rPr>
        <w:t xml:space="preserve"> w któ</w:t>
      </w:r>
      <w:r w:rsidRPr="006A22D3">
        <w:rPr>
          <w:noProof/>
        </w:rPr>
        <w:t>rych przestrzeganie</w:t>
      </w:r>
      <w:r w:rsidR="00192E90" w:rsidRPr="006A22D3">
        <w:rPr>
          <w:noProof/>
        </w:rPr>
        <w:t xml:space="preserve"> </w:t>
      </w:r>
      <w:r w:rsidRPr="006A22D3">
        <w:rPr>
          <w:noProof/>
        </w:rPr>
        <w:t>kodeksu postępowania lub planu działań naprawczych zagroziłoby rentowności MŚP;</w:t>
      </w:r>
    </w:p>
    <w:p w:rsidR="00343D24" w:rsidRPr="006A22D3" w:rsidRDefault="009C05B4" w:rsidP="009C05B4">
      <w:pPr>
        <w:pStyle w:val="Point1"/>
        <w:rPr>
          <w:noProof/>
        </w:rPr>
      </w:pPr>
      <w:r w:rsidRPr="006A22D3">
        <w:rPr>
          <w:noProof/>
        </w:rPr>
        <w:t>f)</w:t>
      </w:r>
      <w:r w:rsidRPr="006A22D3">
        <w:rPr>
          <w:noProof/>
        </w:rPr>
        <w:tab/>
        <w:t>zgodnie</w:t>
      </w:r>
      <w:r w:rsidR="006A22D3" w:rsidRPr="006A22D3">
        <w:rPr>
          <w:noProof/>
        </w:rPr>
        <w:t xml:space="preserve"> z pra</w:t>
      </w:r>
      <w:r w:rsidRPr="006A22D3">
        <w:rPr>
          <w:noProof/>
        </w:rPr>
        <w:t>wem Unii,</w:t>
      </w:r>
      <w:r w:rsidR="006A22D3" w:rsidRPr="006A22D3">
        <w:rPr>
          <w:noProof/>
        </w:rPr>
        <w:t xml:space="preserve"> w tym</w:t>
      </w:r>
      <w:r w:rsidRPr="006A22D3">
        <w:rPr>
          <w:noProof/>
        </w:rPr>
        <w:t xml:space="preserve"> prawem konkurencji, do współpracy</w:t>
      </w:r>
      <w:r w:rsidR="006A22D3" w:rsidRPr="006A22D3">
        <w:rPr>
          <w:noProof/>
        </w:rPr>
        <w:t xml:space="preserve"> z inn</w:t>
      </w:r>
      <w:r w:rsidRPr="006A22D3">
        <w:rPr>
          <w:noProof/>
        </w:rPr>
        <w:t>ymi podmiotami,</w:t>
      </w:r>
      <w:r w:rsidR="006A22D3" w:rsidRPr="006A22D3">
        <w:rPr>
          <w:noProof/>
        </w:rPr>
        <w:t xml:space="preserve"> w tym</w:t>
      </w:r>
      <w:r w:rsidRPr="006A22D3">
        <w:rPr>
          <w:noProof/>
        </w:rPr>
        <w:t>,</w:t>
      </w:r>
      <w:r w:rsidR="006A22D3" w:rsidRPr="006A22D3">
        <w:rPr>
          <w:noProof/>
        </w:rPr>
        <w:t xml:space="preserve"> w sto</w:t>
      </w:r>
      <w:r w:rsidRPr="006A22D3">
        <w:rPr>
          <w:noProof/>
        </w:rPr>
        <w:t>sownych przypadkach,</w:t>
      </w:r>
      <w:r w:rsidR="006A22D3" w:rsidRPr="006A22D3">
        <w:rPr>
          <w:noProof/>
        </w:rPr>
        <w:t xml:space="preserve"> w cel</w:t>
      </w:r>
      <w:r w:rsidRPr="006A22D3">
        <w:rPr>
          <w:noProof/>
        </w:rPr>
        <w:t>u zwiększenia zdolności przedsiębiorstwa do powstrzymania niekorzystnego skutku,</w:t>
      </w:r>
      <w:r w:rsidR="006A22D3" w:rsidRPr="006A22D3">
        <w:rPr>
          <w:noProof/>
        </w:rPr>
        <w:t xml:space="preserve"> w szc</w:t>
      </w:r>
      <w:r w:rsidRPr="006A22D3">
        <w:rPr>
          <w:noProof/>
        </w:rPr>
        <w:t>zególności jeżeli żadne inne działanie nie jest odpowiednie ani skuteczne.</w:t>
      </w:r>
    </w:p>
    <w:p w:rsidR="00BE6805" w:rsidRPr="006A22D3" w:rsidRDefault="00D91F29" w:rsidP="00D91F29">
      <w:pPr>
        <w:pStyle w:val="ManualNumPar1"/>
        <w:rPr>
          <w:noProof/>
        </w:rPr>
      </w:pPr>
      <w:r w:rsidRPr="00D91F29">
        <w:t>4.</w:t>
      </w:r>
      <w:r w:rsidRPr="00D91F29">
        <w:tab/>
      </w:r>
      <w:r w:rsidR="00343D24" w:rsidRPr="006A22D3">
        <w:rPr>
          <w:noProof/>
        </w:rPr>
        <w:t>Jeżeli chodzi</w:t>
      </w:r>
      <w:r w:rsidR="006A22D3" w:rsidRPr="006A22D3">
        <w:rPr>
          <w:noProof/>
        </w:rPr>
        <w:t xml:space="preserve"> o rze</w:t>
      </w:r>
      <w:r w:rsidR="00343D24" w:rsidRPr="006A22D3">
        <w:rPr>
          <w:noProof/>
        </w:rPr>
        <w:t>czywiste niekorzystne skutki, których nie można powstrzymać ani odpowiednio ograniczyć za pomocą środków określonych</w:t>
      </w:r>
      <w:r w:rsidR="006A22D3" w:rsidRPr="006A22D3">
        <w:rPr>
          <w:noProof/>
        </w:rPr>
        <w:t xml:space="preserve"> w ust</w:t>
      </w:r>
      <w:r w:rsidR="00343D24" w:rsidRPr="006A22D3">
        <w:rPr>
          <w:noProof/>
        </w:rPr>
        <w:t>.</w:t>
      </w:r>
      <w:r w:rsidR="00192E90" w:rsidRPr="006A22D3">
        <w:rPr>
          <w:noProof/>
        </w:rPr>
        <w:t> </w:t>
      </w:r>
      <w:r w:rsidR="00343D24" w:rsidRPr="006A22D3">
        <w:rPr>
          <w:noProof/>
        </w:rPr>
        <w:t>3, przedsiębiorstwo może dążyć do zawarcia umowy</w:t>
      </w:r>
      <w:r w:rsidR="006A22D3" w:rsidRPr="006A22D3">
        <w:rPr>
          <w:noProof/>
        </w:rPr>
        <w:t xml:space="preserve"> z par</w:t>
      </w:r>
      <w:r w:rsidR="00343D24" w:rsidRPr="006A22D3">
        <w:rPr>
          <w:noProof/>
        </w:rPr>
        <w:t>tnerem,</w:t>
      </w:r>
      <w:r w:rsidR="006A22D3" w:rsidRPr="006A22D3">
        <w:rPr>
          <w:noProof/>
        </w:rPr>
        <w:t xml:space="preserve"> z któ</w:t>
      </w:r>
      <w:r w:rsidR="00343D24" w:rsidRPr="006A22D3">
        <w:rPr>
          <w:noProof/>
        </w:rPr>
        <w:t>rym łączą je pośrednie relacje,</w:t>
      </w:r>
      <w:r w:rsidR="006A22D3" w:rsidRPr="006A22D3">
        <w:rPr>
          <w:noProof/>
        </w:rPr>
        <w:t xml:space="preserve"> w cel</w:t>
      </w:r>
      <w:r w:rsidR="00343D24" w:rsidRPr="006A22D3">
        <w:rPr>
          <w:noProof/>
        </w:rPr>
        <w:t>u zapewnienia zgodności</w:t>
      </w:r>
      <w:r w:rsidR="006A22D3" w:rsidRPr="006A22D3">
        <w:rPr>
          <w:noProof/>
        </w:rPr>
        <w:t xml:space="preserve"> z kod</w:t>
      </w:r>
      <w:r w:rsidR="00343D24" w:rsidRPr="006A22D3">
        <w:rPr>
          <w:noProof/>
        </w:rPr>
        <w:t>eksem postępowania lub planem działań naprawczych przedsiębiorstwa</w:t>
      </w:r>
      <w:r w:rsidR="006A22D3" w:rsidRPr="006A22D3">
        <w:rPr>
          <w:noProof/>
        </w:rPr>
        <w:t>. W prz</w:t>
      </w:r>
      <w:r w:rsidR="00343D24" w:rsidRPr="006A22D3">
        <w:rPr>
          <w:noProof/>
        </w:rPr>
        <w:t>ypadku zawarcia takiej umowy zastosowanie ma ust.</w:t>
      </w:r>
      <w:r w:rsidR="00192E90" w:rsidRPr="006A22D3">
        <w:rPr>
          <w:noProof/>
        </w:rPr>
        <w:t> </w:t>
      </w:r>
      <w:r w:rsidR="00343D24" w:rsidRPr="006A22D3">
        <w:rPr>
          <w:noProof/>
        </w:rPr>
        <w:t>5.</w:t>
      </w:r>
    </w:p>
    <w:p w:rsidR="00EC2340" w:rsidRPr="006A22D3" w:rsidRDefault="00D91F29" w:rsidP="00D91F29">
      <w:pPr>
        <w:pStyle w:val="ManualNumPar1"/>
        <w:rPr>
          <w:noProof/>
        </w:rPr>
      </w:pPr>
      <w:r w:rsidRPr="00D91F29">
        <w:t>5.</w:t>
      </w:r>
      <w:r w:rsidRPr="00D91F29">
        <w:tab/>
      </w:r>
      <w:r w:rsidR="00BE6805" w:rsidRPr="006A22D3">
        <w:rPr>
          <w:noProof/>
        </w:rPr>
        <w:tab/>
        <w:t xml:space="preserve">Zabezpieczeniom umownym lub umowie powinny towarzyszyć odpowiednie środki sprawdzania zgodności. Do celów sprawdzania zgodności przedsiębiorstwo może odnieść się do odpowiednich inicjatyw branżowych lub niezależnej weryfikacji zewnętrznej. </w:t>
      </w:r>
    </w:p>
    <w:p w:rsidR="00343D24" w:rsidRPr="006A22D3" w:rsidRDefault="009F2510" w:rsidP="00C1099F">
      <w:pPr>
        <w:pStyle w:val="Text1"/>
        <w:rPr>
          <w:noProof/>
        </w:rPr>
      </w:pPr>
      <w:r w:rsidRPr="006A22D3">
        <w:rPr>
          <w:noProof/>
        </w:rPr>
        <w:t>Jeżeli zabezpieczenia umowne zapewnia MŚP lub umowa zostaje zawarta z MŚP, należy określić sprawiedliwe, rozsądne</w:t>
      </w:r>
      <w:r w:rsidR="006A22D3" w:rsidRPr="006A22D3">
        <w:rPr>
          <w:noProof/>
        </w:rPr>
        <w:t xml:space="preserve"> i nie</w:t>
      </w:r>
      <w:r w:rsidRPr="006A22D3">
        <w:rPr>
          <w:noProof/>
        </w:rPr>
        <w:t>dyskryminujące warunki. Jeżeli środki sprawdzania zgodności realizuje się wobec MŚP, przedsiębiorstwo ponosi koszt niezależnej weryfikacji zewnętrznej.</w:t>
      </w:r>
    </w:p>
    <w:p w:rsidR="00343D24" w:rsidRPr="006A22D3" w:rsidRDefault="00D91F29" w:rsidP="00D91F29">
      <w:pPr>
        <w:pStyle w:val="ManualNumPar1"/>
        <w:rPr>
          <w:noProof/>
        </w:rPr>
      </w:pPr>
      <w:r w:rsidRPr="00D91F29">
        <w:t>6.</w:t>
      </w:r>
      <w:r w:rsidRPr="00D91F29">
        <w:tab/>
      </w:r>
      <w:r w:rsidR="00343D24" w:rsidRPr="006A22D3">
        <w:rPr>
          <w:noProof/>
        </w:rPr>
        <w:t>Jeżeli chodzi</w:t>
      </w:r>
      <w:r w:rsidR="006A22D3" w:rsidRPr="006A22D3">
        <w:rPr>
          <w:noProof/>
        </w:rPr>
        <w:t xml:space="preserve"> o rze</w:t>
      </w:r>
      <w:r w:rsidR="00343D24" w:rsidRPr="006A22D3">
        <w:rPr>
          <w:noProof/>
        </w:rPr>
        <w:t>czywiste niekorzystne skutki</w:t>
      </w:r>
      <w:r w:rsidR="006A22D3" w:rsidRPr="006A22D3">
        <w:rPr>
          <w:noProof/>
        </w:rPr>
        <w:t xml:space="preserve"> w roz</w:t>
      </w:r>
      <w:r w:rsidR="00343D24" w:rsidRPr="006A22D3">
        <w:rPr>
          <w:noProof/>
        </w:rPr>
        <w:t>umieniu ust.</w:t>
      </w:r>
      <w:r w:rsidR="00192E90" w:rsidRPr="006A22D3">
        <w:rPr>
          <w:noProof/>
        </w:rPr>
        <w:t> </w:t>
      </w:r>
      <w:r w:rsidR="00343D24" w:rsidRPr="006A22D3">
        <w:rPr>
          <w:noProof/>
        </w:rPr>
        <w:t>1, których nie można powstrzymać ani których zakresu nie można zminimalizować za pomocą środków określonych</w:t>
      </w:r>
      <w:r w:rsidR="006A22D3" w:rsidRPr="006A22D3">
        <w:rPr>
          <w:noProof/>
        </w:rPr>
        <w:t xml:space="preserve"> w ust</w:t>
      </w:r>
      <w:r w:rsidR="00343D24" w:rsidRPr="006A22D3">
        <w:rPr>
          <w:noProof/>
        </w:rPr>
        <w:t>.</w:t>
      </w:r>
      <w:r w:rsidR="00192E90" w:rsidRPr="006A22D3">
        <w:rPr>
          <w:noProof/>
        </w:rPr>
        <w:t> </w:t>
      </w:r>
      <w:r w:rsidR="00343D24" w:rsidRPr="006A22D3">
        <w:rPr>
          <w:noProof/>
        </w:rPr>
        <w:t>3, 4</w:t>
      </w:r>
      <w:r w:rsidR="006A22D3" w:rsidRPr="006A22D3">
        <w:rPr>
          <w:noProof/>
        </w:rPr>
        <w:t xml:space="preserve"> i 5</w:t>
      </w:r>
      <w:r w:rsidR="00343D24" w:rsidRPr="006A22D3">
        <w:rPr>
          <w:noProof/>
        </w:rPr>
        <w:t>, przedsiębiorstwo powstrzymuje się od nawiązywania nowych lub rozszerzania istniejących relacji</w:t>
      </w:r>
      <w:r w:rsidR="006A22D3" w:rsidRPr="006A22D3">
        <w:rPr>
          <w:noProof/>
        </w:rPr>
        <w:t xml:space="preserve"> z par</w:t>
      </w:r>
      <w:r w:rsidR="00343D24" w:rsidRPr="006A22D3">
        <w:rPr>
          <w:noProof/>
        </w:rPr>
        <w:t>tnerem,</w:t>
      </w:r>
      <w:r w:rsidR="006A22D3" w:rsidRPr="006A22D3">
        <w:rPr>
          <w:noProof/>
        </w:rPr>
        <w:t xml:space="preserve"> z któ</w:t>
      </w:r>
      <w:r w:rsidR="00343D24" w:rsidRPr="006A22D3">
        <w:rPr>
          <w:noProof/>
        </w:rPr>
        <w:t>rym lub</w:t>
      </w:r>
      <w:r w:rsidR="006A22D3" w:rsidRPr="006A22D3">
        <w:rPr>
          <w:noProof/>
        </w:rPr>
        <w:t xml:space="preserve"> z któ</w:t>
      </w:r>
      <w:r w:rsidR="00343D24" w:rsidRPr="006A22D3">
        <w:rPr>
          <w:noProof/>
        </w:rPr>
        <w:t>rego łańcuchem wartości wiąże się dany skutek,</w:t>
      </w:r>
      <w:r w:rsidR="006A22D3" w:rsidRPr="006A22D3">
        <w:rPr>
          <w:noProof/>
        </w:rPr>
        <w:t xml:space="preserve"> a tak</w:t>
      </w:r>
      <w:r w:rsidR="00343D24" w:rsidRPr="006A22D3">
        <w:rPr>
          <w:noProof/>
        </w:rPr>
        <w:t>że, jeśli uprawnia ich do tego prawo regulujące ich relacje, podejmuje jedno</w:t>
      </w:r>
      <w:r w:rsidR="006A22D3" w:rsidRPr="006A22D3">
        <w:rPr>
          <w:noProof/>
        </w:rPr>
        <w:t xml:space="preserve"> z nas</w:t>
      </w:r>
      <w:r w:rsidR="00343D24" w:rsidRPr="006A22D3">
        <w:rPr>
          <w:noProof/>
        </w:rPr>
        <w:t>tępujących działań:</w:t>
      </w:r>
    </w:p>
    <w:p w:rsidR="00343D24" w:rsidRPr="006A22D3" w:rsidRDefault="00343D24" w:rsidP="00343D24">
      <w:pPr>
        <w:pStyle w:val="Point1"/>
        <w:rPr>
          <w:noProof/>
        </w:rPr>
      </w:pPr>
      <w:r w:rsidRPr="006A22D3">
        <w:rPr>
          <w:noProof/>
        </w:rPr>
        <w:t>a)</w:t>
      </w:r>
      <w:r w:rsidRPr="006A22D3">
        <w:rPr>
          <w:noProof/>
        </w:rPr>
        <w:tab/>
        <w:t>czasowo zawiesza stosunki handlowe</w:t>
      </w:r>
      <w:r w:rsidR="006A22D3" w:rsidRPr="006A22D3">
        <w:rPr>
          <w:noProof/>
        </w:rPr>
        <w:t xml:space="preserve"> z dan</w:t>
      </w:r>
      <w:r w:rsidRPr="006A22D3">
        <w:rPr>
          <w:noProof/>
        </w:rPr>
        <w:t>ym partnerem,</w:t>
      </w:r>
      <w:r w:rsidR="006A22D3" w:rsidRPr="006A22D3">
        <w:rPr>
          <w:noProof/>
        </w:rPr>
        <w:t xml:space="preserve"> a jed</w:t>
      </w:r>
      <w:r w:rsidRPr="006A22D3">
        <w:rPr>
          <w:noProof/>
        </w:rPr>
        <w:t>nocześnie podejmuje starania na rzecz powstrzymania tych niekorzystnych skutków lub zminimalizowania ich zakresu, albo</w:t>
      </w:r>
    </w:p>
    <w:p w:rsidR="00343D24" w:rsidRPr="006A22D3" w:rsidRDefault="00343D24" w:rsidP="00343D24">
      <w:pPr>
        <w:pStyle w:val="Point1"/>
        <w:rPr>
          <w:noProof/>
        </w:rPr>
      </w:pPr>
      <w:r w:rsidRPr="006A22D3">
        <w:rPr>
          <w:noProof/>
        </w:rPr>
        <w:t>b)</w:t>
      </w:r>
      <w:r w:rsidRPr="006A22D3">
        <w:rPr>
          <w:noProof/>
        </w:rPr>
        <w:tab/>
        <w:t>rozwiązuje relacje biznesowe</w:t>
      </w:r>
      <w:r w:rsidR="006A22D3" w:rsidRPr="006A22D3">
        <w:rPr>
          <w:noProof/>
        </w:rPr>
        <w:t xml:space="preserve"> w odn</w:t>
      </w:r>
      <w:r w:rsidRPr="006A22D3">
        <w:rPr>
          <w:noProof/>
        </w:rPr>
        <w:t>iesieniu do danej działalności, jeśli niekorzystne skutki uznaje się za poważne.</w:t>
      </w:r>
    </w:p>
    <w:p w:rsidR="00343D24" w:rsidRPr="006A22D3" w:rsidRDefault="00343D24" w:rsidP="00343D24">
      <w:pPr>
        <w:pStyle w:val="Text1"/>
        <w:rPr>
          <w:noProof/>
        </w:rPr>
      </w:pPr>
      <w:r w:rsidRPr="006A22D3">
        <w:rPr>
          <w:noProof/>
        </w:rPr>
        <w:t>Państwa członkowskie przewidują możliwość rozwiązania relacji biznesowych nawiązanych na podstawie umów podlegających ich prawu.</w:t>
      </w:r>
    </w:p>
    <w:p w:rsidR="003F2B7E" w:rsidRPr="006A22D3" w:rsidRDefault="00D91F29" w:rsidP="00D91F29">
      <w:pPr>
        <w:pStyle w:val="ManualNumPar1"/>
        <w:rPr>
          <w:noProof/>
        </w:rPr>
      </w:pPr>
      <w:r w:rsidRPr="00D91F29">
        <w:t>7.</w:t>
      </w:r>
      <w:r w:rsidRPr="00D91F29">
        <w:tab/>
      </w:r>
      <w:r w:rsidR="00D933D4" w:rsidRPr="006A22D3">
        <w:rPr>
          <w:noProof/>
        </w:rPr>
        <w:t>Na zasadzie odstępstwa od ust.</w:t>
      </w:r>
      <w:r w:rsidR="00192E90" w:rsidRPr="006A22D3">
        <w:rPr>
          <w:noProof/>
        </w:rPr>
        <w:t> </w:t>
      </w:r>
      <w:r w:rsidR="00D933D4" w:rsidRPr="006A22D3">
        <w:rPr>
          <w:noProof/>
        </w:rPr>
        <w:t>6 lit.</w:t>
      </w:r>
      <w:r w:rsidR="00192E90" w:rsidRPr="006A22D3">
        <w:rPr>
          <w:noProof/>
        </w:rPr>
        <w:t> </w:t>
      </w:r>
      <w:r w:rsidR="00D933D4" w:rsidRPr="006A22D3">
        <w:rPr>
          <w:noProof/>
        </w:rPr>
        <w:t>b), jeżeli przedsiębiorstwa,</w:t>
      </w:r>
      <w:r w:rsidR="006A22D3" w:rsidRPr="006A22D3">
        <w:rPr>
          <w:noProof/>
        </w:rPr>
        <w:t xml:space="preserve"> o któ</w:t>
      </w:r>
      <w:r w:rsidR="00D933D4" w:rsidRPr="006A22D3">
        <w:rPr>
          <w:noProof/>
        </w:rPr>
        <w:t>rych mowa</w:t>
      </w:r>
      <w:r w:rsidR="006A22D3" w:rsidRPr="006A22D3">
        <w:rPr>
          <w:noProof/>
        </w:rPr>
        <w:t xml:space="preserve"> w art</w:t>
      </w:r>
      <w:r w:rsidR="00D933D4" w:rsidRPr="006A22D3">
        <w:rPr>
          <w:noProof/>
        </w:rPr>
        <w:t>.</w:t>
      </w:r>
      <w:r w:rsidR="00192E90" w:rsidRPr="006A22D3">
        <w:rPr>
          <w:noProof/>
        </w:rPr>
        <w:t> </w:t>
      </w:r>
      <w:r w:rsidR="00D933D4" w:rsidRPr="006A22D3">
        <w:rPr>
          <w:noProof/>
        </w:rPr>
        <w:t>3 lit.</w:t>
      </w:r>
      <w:r w:rsidR="00192E90" w:rsidRPr="006A22D3">
        <w:rPr>
          <w:noProof/>
        </w:rPr>
        <w:t> </w:t>
      </w:r>
      <w:r w:rsidR="00D933D4" w:rsidRPr="006A22D3">
        <w:rPr>
          <w:noProof/>
        </w:rPr>
        <w:t>a) ppkt (iv), udzielają kredytów lub pożyczek lub świadczą inne usługi finansowe, takie przedsiębiorstwa nie są zobowiązane do rozwiązania umowy</w:t>
      </w:r>
      <w:r w:rsidR="006A22D3" w:rsidRPr="006A22D3">
        <w:rPr>
          <w:noProof/>
        </w:rPr>
        <w:t xml:space="preserve"> o udz</w:t>
      </w:r>
      <w:r w:rsidR="00D933D4" w:rsidRPr="006A22D3">
        <w:rPr>
          <w:noProof/>
        </w:rPr>
        <w:t>ielenie kredytu lub pożyczki lub</w:t>
      </w:r>
      <w:r w:rsidR="006A22D3" w:rsidRPr="006A22D3">
        <w:rPr>
          <w:noProof/>
        </w:rPr>
        <w:t xml:space="preserve"> o świ</w:t>
      </w:r>
      <w:r w:rsidR="00D933D4" w:rsidRPr="006A22D3">
        <w:rPr>
          <w:noProof/>
        </w:rPr>
        <w:t>adczenie innych usług finansowych, jeżeli zasadne jest oczekiwanie, że będzie to ze szkodą dla jednostki, wobec której usługa ta jest świadczona.</w:t>
      </w:r>
    </w:p>
    <w:p w:rsidR="00343D24" w:rsidRPr="006A22D3" w:rsidRDefault="00343D24" w:rsidP="00343D24">
      <w:pPr>
        <w:pStyle w:val="Titrearticle"/>
        <w:rPr>
          <w:noProof/>
        </w:rPr>
      </w:pPr>
      <w:r w:rsidRPr="006A22D3">
        <w:rPr>
          <w:noProof/>
        </w:rPr>
        <w:t>Artykuł 9</w:t>
      </w:r>
    </w:p>
    <w:p w:rsidR="00343D24" w:rsidRPr="006A22D3" w:rsidRDefault="00343D24" w:rsidP="00343D24">
      <w:pPr>
        <w:pStyle w:val="Articletitle"/>
        <w:rPr>
          <w:noProof/>
        </w:rPr>
      </w:pPr>
      <w:r w:rsidRPr="006A22D3">
        <w:rPr>
          <w:noProof/>
        </w:rPr>
        <w:t>Procedura rozpatrywania skarg</w:t>
      </w:r>
    </w:p>
    <w:p w:rsidR="00343D24" w:rsidRPr="006A22D3" w:rsidRDefault="00D91F29" w:rsidP="00D91F29">
      <w:pPr>
        <w:pStyle w:val="ManualNumPar1"/>
        <w:rPr>
          <w:noProof/>
        </w:rPr>
      </w:pPr>
      <w:r w:rsidRPr="00D91F29">
        <w:t>1.</w:t>
      </w:r>
      <w:r w:rsidRPr="00D91F29">
        <w:tab/>
      </w:r>
      <w:r w:rsidR="00343D24" w:rsidRPr="006A22D3">
        <w:rPr>
          <w:noProof/>
        </w:rPr>
        <w:t>Państwa członkowskie zapewniają, aby przedsiębiorstwa umożliwiły osobom</w:t>
      </w:r>
      <w:r w:rsidR="006A22D3" w:rsidRPr="006A22D3">
        <w:rPr>
          <w:noProof/>
        </w:rPr>
        <w:t xml:space="preserve"> i org</w:t>
      </w:r>
      <w:r w:rsidR="00343D24" w:rsidRPr="006A22D3">
        <w:rPr>
          <w:noProof/>
        </w:rPr>
        <w:t>anizacjom wymienionym</w:t>
      </w:r>
      <w:r w:rsidR="006A22D3" w:rsidRPr="006A22D3">
        <w:rPr>
          <w:noProof/>
        </w:rPr>
        <w:t xml:space="preserve"> w ust</w:t>
      </w:r>
      <w:r w:rsidR="00343D24" w:rsidRPr="006A22D3">
        <w:rPr>
          <w:noProof/>
        </w:rPr>
        <w:t>.</w:t>
      </w:r>
      <w:r w:rsidR="00192E90" w:rsidRPr="006A22D3">
        <w:rPr>
          <w:noProof/>
        </w:rPr>
        <w:t> </w:t>
      </w:r>
      <w:r w:rsidR="00343D24" w:rsidRPr="006A22D3">
        <w:rPr>
          <w:noProof/>
        </w:rPr>
        <w:t>2 złożenie do nich skarg, jeżeli te osoby lub organizacje mają uzasadnione obawy dotyczące rzeczywistych lub potencjalnych niekorzystnych skutków dla praw człowieka</w:t>
      </w:r>
      <w:r w:rsidR="006A22D3" w:rsidRPr="006A22D3">
        <w:rPr>
          <w:noProof/>
        </w:rPr>
        <w:t xml:space="preserve"> i dla</w:t>
      </w:r>
      <w:r w:rsidR="00343D24" w:rsidRPr="006A22D3">
        <w:rPr>
          <w:noProof/>
        </w:rPr>
        <w:t xml:space="preserve"> środowiska</w:t>
      </w:r>
      <w:r w:rsidR="006A22D3" w:rsidRPr="006A22D3">
        <w:rPr>
          <w:noProof/>
        </w:rPr>
        <w:t xml:space="preserve"> w zak</w:t>
      </w:r>
      <w:r w:rsidR="00343D24" w:rsidRPr="006A22D3">
        <w:rPr>
          <w:noProof/>
        </w:rPr>
        <w:t>resie własnej działalności przedsiębiorstw, działalności ich jednostek zależnych</w:t>
      </w:r>
      <w:r w:rsidR="006A22D3" w:rsidRPr="006A22D3">
        <w:rPr>
          <w:noProof/>
        </w:rPr>
        <w:t xml:space="preserve"> i ich</w:t>
      </w:r>
      <w:r w:rsidR="00343D24" w:rsidRPr="006A22D3">
        <w:rPr>
          <w:noProof/>
        </w:rPr>
        <w:t xml:space="preserve"> łańcuchów wartości.</w:t>
      </w:r>
    </w:p>
    <w:p w:rsidR="00343D24" w:rsidRPr="006A22D3" w:rsidRDefault="00D91F29" w:rsidP="00D91F29">
      <w:pPr>
        <w:pStyle w:val="ManualNumPar1"/>
        <w:rPr>
          <w:noProof/>
        </w:rPr>
      </w:pPr>
      <w:r w:rsidRPr="00D91F29">
        <w:t>2.</w:t>
      </w:r>
      <w:r w:rsidRPr="00D91F29">
        <w:tab/>
      </w:r>
      <w:r w:rsidR="00343D24" w:rsidRPr="006A22D3">
        <w:rPr>
          <w:noProof/>
        </w:rPr>
        <w:t>Państwa członkowskie zapewniają możliwość składania skarg przez:</w:t>
      </w:r>
    </w:p>
    <w:p w:rsidR="00343D24" w:rsidRPr="006A22D3" w:rsidRDefault="00343D24" w:rsidP="00343D24">
      <w:pPr>
        <w:pStyle w:val="Point1"/>
        <w:rPr>
          <w:noProof/>
        </w:rPr>
      </w:pPr>
      <w:r w:rsidRPr="006A22D3">
        <w:rPr>
          <w:noProof/>
        </w:rPr>
        <w:t>a)</w:t>
      </w:r>
      <w:r w:rsidRPr="006A22D3">
        <w:rPr>
          <w:noProof/>
        </w:rPr>
        <w:tab/>
        <w:t xml:space="preserve">osoby, które są dotknięte niekorzystnymi skutkami lub mają uzasadnione podstawy, by sądzić, że mogą być nimi dotknięte; </w:t>
      </w:r>
    </w:p>
    <w:p w:rsidR="00343D24" w:rsidRPr="006A22D3" w:rsidRDefault="00343D24" w:rsidP="00343D24">
      <w:pPr>
        <w:pStyle w:val="Point1"/>
        <w:rPr>
          <w:noProof/>
        </w:rPr>
      </w:pPr>
      <w:r w:rsidRPr="006A22D3">
        <w:rPr>
          <w:noProof/>
        </w:rPr>
        <w:t>b)</w:t>
      </w:r>
      <w:r w:rsidRPr="006A22D3">
        <w:rPr>
          <w:noProof/>
        </w:rPr>
        <w:tab/>
        <w:t>związki zawodowe</w:t>
      </w:r>
      <w:r w:rsidR="006A22D3" w:rsidRPr="006A22D3">
        <w:rPr>
          <w:noProof/>
        </w:rPr>
        <w:t xml:space="preserve"> i inn</w:t>
      </w:r>
      <w:r w:rsidRPr="006A22D3">
        <w:rPr>
          <w:noProof/>
        </w:rPr>
        <w:t>ych przedstawicieli pracowników reprezentujących osoby pracujące</w:t>
      </w:r>
      <w:r w:rsidR="006A22D3" w:rsidRPr="006A22D3">
        <w:rPr>
          <w:noProof/>
        </w:rPr>
        <w:t xml:space="preserve"> w dan</w:t>
      </w:r>
      <w:r w:rsidRPr="006A22D3">
        <w:rPr>
          <w:noProof/>
        </w:rPr>
        <w:t xml:space="preserve">ym łańcuchu wartości; </w:t>
      </w:r>
    </w:p>
    <w:p w:rsidR="00343D24" w:rsidRPr="006A22D3" w:rsidRDefault="00343D24" w:rsidP="00343D24">
      <w:pPr>
        <w:pStyle w:val="Point1"/>
        <w:rPr>
          <w:noProof/>
        </w:rPr>
      </w:pPr>
      <w:r w:rsidRPr="006A22D3">
        <w:rPr>
          <w:noProof/>
        </w:rPr>
        <w:t>c)</w:t>
      </w:r>
      <w:r w:rsidRPr="006A22D3">
        <w:rPr>
          <w:noProof/>
        </w:rPr>
        <w:tab/>
        <w:t>organizacje społeczeństwa obywatelskiego działające</w:t>
      </w:r>
      <w:r w:rsidR="006A22D3" w:rsidRPr="006A22D3">
        <w:rPr>
          <w:noProof/>
        </w:rPr>
        <w:t xml:space="preserve"> w obs</w:t>
      </w:r>
      <w:r w:rsidRPr="006A22D3">
        <w:rPr>
          <w:noProof/>
        </w:rPr>
        <w:t>zarach związanych</w:t>
      </w:r>
      <w:r w:rsidR="006A22D3" w:rsidRPr="006A22D3">
        <w:rPr>
          <w:noProof/>
        </w:rPr>
        <w:t xml:space="preserve"> z dan</w:t>
      </w:r>
      <w:r w:rsidRPr="006A22D3">
        <w:rPr>
          <w:noProof/>
        </w:rPr>
        <w:t xml:space="preserve">ym łańcuchem wartości. </w:t>
      </w:r>
    </w:p>
    <w:p w:rsidR="00343D24" w:rsidRPr="006A22D3" w:rsidRDefault="00D91F29" w:rsidP="00D91F29">
      <w:pPr>
        <w:pStyle w:val="ManualNumPar1"/>
        <w:rPr>
          <w:noProof/>
        </w:rPr>
      </w:pPr>
      <w:r w:rsidRPr="00D91F29">
        <w:t>3.</w:t>
      </w:r>
      <w:r w:rsidRPr="00D91F29">
        <w:tab/>
      </w:r>
      <w:r w:rsidR="00343D24" w:rsidRPr="006A22D3">
        <w:rPr>
          <w:noProof/>
        </w:rPr>
        <w:t>Państwa członkowskie zapewniają, aby przedsiębiorstwa ustanowiły procedurę rozpatrywania skarg,</w:t>
      </w:r>
      <w:r w:rsidR="006A22D3" w:rsidRPr="006A22D3">
        <w:rPr>
          <w:noProof/>
        </w:rPr>
        <w:t xml:space="preserve"> o któ</w:t>
      </w:r>
      <w:r w:rsidR="00343D24" w:rsidRPr="006A22D3">
        <w:rPr>
          <w:noProof/>
        </w:rPr>
        <w:t>rych mowa</w:t>
      </w:r>
      <w:r w:rsidR="006A22D3" w:rsidRPr="006A22D3">
        <w:rPr>
          <w:noProof/>
        </w:rPr>
        <w:t xml:space="preserve"> w ust</w:t>
      </w:r>
      <w:r w:rsidR="00343D24" w:rsidRPr="006A22D3">
        <w:rPr>
          <w:noProof/>
        </w:rPr>
        <w:t>.</w:t>
      </w:r>
      <w:r w:rsidR="00192E90" w:rsidRPr="006A22D3">
        <w:rPr>
          <w:noProof/>
        </w:rPr>
        <w:t> </w:t>
      </w:r>
      <w:r w:rsidR="00343D24" w:rsidRPr="006A22D3">
        <w:rPr>
          <w:noProof/>
        </w:rPr>
        <w:t>1,</w:t>
      </w:r>
      <w:r w:rsidR="006A22D3" w:rsidRPr="006A22D3">
        <w:rPr>
          <w:noProof/>
        </w:rPr>
        <w:t xml:space="preserve"> w tym</w:t>
      </w:r>
      <w:r w:rsidR="00343D24" w:rsidRPr="006A22D3">
        <w:rPr>
          <w:noProof/>
        </w:rPr>
        <w:t xml:space="preserve"> procedurę stosowaną</w:t>
      </w:r>
      <w:r w:rsidR="006A22D3" w:rsidRPr="006A22D3">
        <w:rPr>
          <w:noProof/>
        </w:rPr>
        <w:t xml:space="preserve"> w prz</w:t>
      </w:r>
      <w:r w:rsidR="00343D24" w:rsidRPr="006A22D3">
        <w:rPr>
          <w:noProof/>
        </w:rPr>
        <w:t>ypadku, gdy przedsiębiorstwo uznaje daną skargę za bezzasadną, oraz poinformowały odpowiednich pracowników</w:t>
      </w:r>
      <w:r w:rsidR="006A22D3" w:rsidRPr="006A22D3">
        <w:rPr>
          <w:noProof/>
        </w:rPr>
        <w:t xml:space="preserve"> i zwi</w:t>
      </w:r>
      <w:r w:rsidR="00343D24" w:rsidRPr="006A22D3">
        <w:rPr>
          <w:noProof/>
        </w:rPr>
        <w:t>ązki zawodowe</w:t>
      </w:r>
      <w:r w:rsidR="006A22D3" w:rsidRPr="006A22D3">
        <w:rPr>
          <w:noProof/>
        </w:rPr>
        <w:t xml:space="preserve"> o tak</w:t>
      </w:r>
      <w:r w:rsidR="00343D24" w:rsidRPr="006A22D3">
        <w:rPr>
          <w:noProof/>
        </w:rPr>
        <w:t>ich procedurach. Państwa członkowskie zapewniają, aby</w:t>
      </w:r>
      <w:r w:rsidR="006A22D3" w:rsidRPr="006A22D3">
        <w:rPr>
          <w:noProof/>
        </w:rPr>
        <w:t xml:space="preserve"> w prz</w:t>
      </w:r>
      <w:r w:rsidR="00343D24" w:rsidRPr="006A22D3">
        <w:rPr>
          <w:noProof/>
        </w:rPr>
        <w:t>ypadku należycie uzasadnionej skargi niekorzystny skutek będący przedmiotem skargi został uznany za zidentyfikowany</w:t>
      </w:r>
      <w:r w:rsidR="006A22D3" w:rsidRPr="006A22D3">
        <w:rPr>
          <w:noProof/>
        </w:rPr>
        <w:t xml:space="preserve"> w roz</w:t>
      </w:r>
      <w:r w:rsidR="00343D24" w:rsidRPr="006A22D3">
        <w:rPr>
          <w:noProof/>
        </w:rPr>
        <w:t>umieniu art.</w:t>
      </w:r>
      <w:r w:rsidR="00192E90" w:rsidRPr="006A22D3">
        <w:rPr>
          <w:noProof/>
        </w:rPr>
        <w:t> </w:t>
      </w:r>
      <w:r w:rsidR="00343D24" w:rsidRPr="006A22D3">
        <w:rPr>
          <w:noProof/>
        </w:rPr>
        <w:t xml:space="preserve">6. </w:t>
      </w:r>
    </w:p>
    <w:p w:rsidR="00343D24" w:rsidRPr="006A22D3" w:rsidRDefault="00D91F29" w:rsidP="00D91F29">
      <w:pPr>
        <w:pStyle w:val="ManualNumPar1"/>
        <w:rPr>
          <w:noProof/>
        </w:rPr>
      </w:pPr>
      <w:r w:rsidRPr="00D91F29">
        <w:t>4.</w:t>
      </w:r>
      <w:r w:rsidRPr="00D91F29">
        <w:tab/>
      </w:r>
      <w:r w:rsidR="00343D24" w:rsidRPr="006A22D3">
        <w:rPr>
          <w:noProof/>
        </w:rPr>
        <w:t>Państwa członkowskie zapewniają, aby skarżący miał prawo do:</w:t>
      </w:r>
    </w:p>
    <w:p w:rsidR="00343D24" w:rsidRPr="006A22D3" w:rsidRDefault="0064483E" w:rsidP="0064483E">
      <w:pPr>
        <w:pStyle w:val="Point1"/>
        <w:rPr>
          <w:noProof/>
        </w:rPr>
      </w:pPr>
      <w:r w:rsidRPr="006A22D3">
        <w:rPr>
          <w:noProof/>
        </w:rPr>
        <w:t>a)</w:t>
      </w:r>
      <w:r w:rsidRPr="006A22D3">
        <w:rPr>
          <w:noProof/>
        </w:rPr>
        <w:tab/>
        <w:t>żądania od przedsiębiorstwa podjęcia odpowiednich działań następczych</w:t>
      </w:r>
      <w:r w:rsidR="006A22D3" w:rsidRPr="006A22D3">
        <w:rPr>
          <w:noProof/>
        </w:rPr>
        <w:t xml:space="preserve"> w zwi</w:t>
      </w:r>
      <w:r w:rsidRPr="006A22D3">
        <w:rPr>
          <w:noProof/>
        </w:rPr>
        <w:t>ązku ze skargą, którą złożyli na podstawie ust.</w:t>
      </w:r>
      <w:r w:rsidR="00192E90" w:rsidRPr="006A22D3">
        <w:rPr>
          <w:noProof/>
        </w:rPr>
        <w:t> </w:t>
      </w:r>
      <w:r w:rsidRPr="006A22D3">
        <w:rPr>
          <w:noProof/>
        </w:rPr>
        <w:t xml:space="preserve">1, oraz </w:t>
      </w:r>
    </w:p>
    <w:p w:rsidR="00343D24" w:rsidRPr="006A22D3" w:rsidRDefault="0064483E" w:rsidP="00752916">
      <w:pPr>
        <w:pStyle w:val="Point1"/>
        <w:rPr>
          <w:noProof/>
        </w:rPr>
      </w:pPr>
      <w:r w:rsidRPr="006A22D3">
        <w:rPr>
          <w:noProof/>
        </w:rPr>
        <w:t>b)</w:t>
      </w:r>
      <w:r w:rsidRPr="006A22D3">
        <w:rPr>
          <w:noProof/>
        </w:rPr>
        <w:tab/>
        <w:t>spotkania</w:t>
      </w:r>
      <w:r w:rsidR="006A22D3" w:rsidRPr="006A22D3">
        <w:rPr>
          <w:noProof/>
        </w:rPr>
        <w:t xml:space="preserve"> z prz</w:t>
      </w:r>
      <w:r w:rsidRPr="006A22D3">
        <w:rPr>
          <w:noProof/>
        </w:rPr>
        <w:t>edstawicielami przedsiębiorstwa na odpowiednim szczeblu</w:t>
      </w:r>
      <w:r w:rsidR="006A22D3" w:rsidRPr="006A22D3">
        <w:rPr>
          <w:noProof/>
        </w:rPr>
        <w:t xml:space="preserve"> w cel</w:t>
      </w:r>
      <w:r w:rsidRPr="006A22D3">
        <w:rPr>
          <w:noProof/>
        </w:rPr>
        <w:t xml:space="preserve">u omówienia potencjalnych lub rzeczywistych poważnych niekorzystnych skutków, które są przedmiotem skargi. </w:t>
      </w:r>
    </w:p>
    <w:p w:rsidR="00343D24" w:rsidRPr="006A22D3" w:rsidRDefault="00343D24" w:rsidP="00343D24">
      <w:pPr>
        <w:pStyle w:val="Titrearticle"/>
        <w:rPr>
          <w:noProof/>
        </w:rPr>
      </w:pPr>
      <w:r w:rsidRPr="006A22D3">
        <w:rPr>
          <w:noProof/>
        </w:rPr>
        <w:t>Artykuł 10</w:t>
      </w:r>
    </w:p>
    <w:p w:rsidR="00343D24" w:rsidRPr="006A22D3" w:rsidRDefault="00343D24" w:rsidP="00343D24">
      <w:pPr>
        <w:pStyle w:val="Articletitle"/>
        <w:rPr>
          <w:noProof/>
        </w:rPr>
      </w:pPr>
      <w:r w:rsidRPr="006A22D3">
        <w:rPr>
          <w:noProof/>
        </w:rPr>
        <w:t xml:space="preserve">Monitorowanie </w:t>
      </w:r>
    </w:p>
    <w:p w:rsidR="00343D24" w:rsidRPr="006A22D3" w:rsidRDefault="00343D24" w:rsidP="00752916">
      <w:pPr>
        <w:rPr>
          <w:noProof/>
        </w:rPr>
      </w:pPr>
      <w:r w:rsidRPr="006A22D3">
        <w:rPr>
          <w:noProof/>
        </w:rPr>
        <w:t>Państwa członkowskie zapewniają, aby przedsiębiorstwa przeprowadzały okresowe oceny własnej działalności</w:t>
      </w:r>
      <w:r w:rsidR="006A22D3" w:rsidRPr="006A22D3">
        <w:rPr>
          <w:noProof/>
        </w:rPr>
        <w:t xml:space="preserve"> i śro</w:t>
      </w:r>
      <w:r w:rsidRPr="006A22D3">
        <w:rPr>
          <w:noProof/>
        </w:rPr>
        <w:t>dków, działalności</w:t>
      </w:r>
      <w:r w:rsidR="006A22D3" w:rsidRPr="006A22D3">
        <w:rPr>
          <w:noProof/>
        </w:rPr>
        <w:t xml:space="preserve"> i śro</w:t>
      </w:r>
      <w:r w:rsidRPr="006A22D3">
        <w:rPr>
          <w:noProof/>
        </w:rPr>
        <w:t>dków jednostek zależnych oraz – jeśli jest to związane</w:t>
      </w:r>
      <w:r w:rsidR="006A22D3" w:rsidRPr="006A22D3">
        <w:rPr>
          <w:noProof/>
        </w:rPr>
        <w:t xml:space="preserve"> z łań</w:t>
      </w:r>
      <w:r w:rsidRPr="006A22D3">
        <w:rPr>
          <w:noProof/>
        </w:rPr>
        <w:t>cuchami wartości przedsiębiorstwa – działalności</w:t>
      </w:r>
      <w:r w:rsidR="006A22D3" w:rsidRPr="006A22D3">
        <w:rPr>
          <w:noProof/>
        </w:rPr>
        <w:t xml:space="preserve"> i śro</w:t>
      </w:r>
      <w:r w:rsidRPr="006A22D3">
        <w:rPr>
          <w:noProof/>
        </w:rPr>
        <w:t>dków</w:t>
      </w:r>
      <w:r w:rsidR="006A22D3" w:rsidRPr="006A22D3">
        <w:rPr>
          <w:noProof/>
        </w:rPr>
        <w:t xml:space="preserve"> w ram</w:t>
      </w:r>
      <w:r w:rsidRPr="006A22D3">
        <w:rPr>
          <w:noProof/>
        </w:rPr>
        <w:t>ach stałych relacji biznesowych, celem monitorowania skuteczności identyfikowania, łagodzenia, minimalizowania</w:t>
      </w:r>
      <w:r w:rsidR="006A22D3" w:rsidRPr="006A22D3">
        <w:rPr>
          <w:noProof/>
        </w:rPr>
        <w:t xml:space="preserve"> i pow</w:t>
      </w:r>
      <w:r w:rsidRPr="006A22D3">
        <w:rPr>
          <w:noProof/>
        </w:rPr>
        <w:t>strzymania niekorzystnych skutków dla praw człowieka</w:t>
      </w:r>
      <w:r w:rsidR="006A22D3" w:rsidRPr="006A22D3">
        <w:rPr>
          <w:noProof/>
        </w:rPr>
        <w:t xml:space="preserve"> i dla</w:t>
      </w:r>
      <w:r w:rsidRPr="006A22D3">
        <w:rPr>
          <w:noProof/>
        </w:rPr>
        <w:t xml:space="preserve"> środowiska oraz zapobiegania takim skutkom. Takie oceny opierają się,</w:t>
      </w:r>
      <w:r w:rsidR="006A22D3" w:rsidRPr="006A22D3">
        <w:rPr>
          <w:noProof/>
        </w:rPr>
        <w:t xml:space="preserve"> w sto</w:t>
      </w:r>
      <w:r w:rsidRPr="006A22D3">
        <w:rPr>
          <w:noProof/>
        </w:rPr>
        <w:t>sownych przypadkach, na wskaźnikach jakościowych</w:t>
      </w:r>
      <w:r w:rsidR="006A22D3" w:rsidRPr="006A22D3">
        <w:rPr>
          <w:noProof/>
        </w:rPr>
        <w:t xml:space="preserve"> i ilo</w:t>
      </w:r>
      <w:r w:rsidRPr="006A22D3">
        <w:rPr>
          <w:noProof/>
        </w:rPr>
        <w:t>ściowych oraz są przeprowadzane co najmniej co</w:t>
      </w:r>
      <w:r w:rsidR="00192E90" w:rsidRPr="006A22D3">
        <w:rPr>
          <w:noProof/>
        </w:rPr>
        <w:t> </w:t>
      </w:r>
      <w:r w:rsidRPr="006A22D3">
        <w:rPr>
          <w:noProof/>
        </w:rPr>
        <w:t>12 miesięcy</w:t>
      </w:r>
      <w:r w:rsidR="006A22D3" w:rsidRPr="006A22D3">
        <w:rPr>
          <w:noProof/>
        </w:rPr>
        <w:t xml:space="preserve"> i zaw</w:t>
      </w:r>
      <w:r w:rsidRPr="006A22D3">
        <w:rPr>
          <w:noProof/>
        </w:rPr>
        <w:t>sze, gdy istnieją uzasadnione podstawy, by sądzić, że mogło pojawić się znaczące nowe ryzyko wystąpienia takich niekorzystnych skutków. Zgodnie</w:t>
      </w:r>
      <w:r w:rsidR="006A22D3" w:rsidRPr="006A22D3">
        <w:rPr>
          <w:noProof/>
        </w:rPr>
        <w:t xml:space="preserve"> z wyn</w:t>
      </w:r>
      <w:r w:rsidRPr="006A22D3">
        <w:rPr>
          <w:noProof/>
        </w:rPr>
        <w:t xml:space="preserve">ikami takich ocen aktualizuje się politykę należytej staranności. </w:t>
      </w:r>
    </w:p>
    <w:p w:rsidR="00343D24" w:rsidRPr="006A22D3" w:rsidRDefault="00343D24" w:rsidP="00343D24">
      <w:pPr>
        <w:pStyle w:val="Titrearticle"/>
        <w:rPr>
          <w:noProof/>
        </w:rPr>
      </w:pPr>
      <w:r w:rsidRPr="006A22D3">
        <w:rPr>
          <w:noProof/>
        </w:rPr>
        <w:t>Artykuł 11</w:t>
      </w:r>
    </w:p>
    <w:p w:rsidR="00343D24" w:rsidRPr="006A22D3" w:rsidRDefault="00343D24" w:rsidP="00343D24">
      <w:pPr>
        <w:pStyle w:val="Articletitle"/>
        <w:rPr>
          <w:noProof/>
        </w:rPr>
      </w:pPr>
      <w:r w:rsidRPr="006A22D3">
        <w:rPr>
          <w:noProof/>
        </w:rPr>
        <w:t>Komunikacja</w:t>
      </w:r>
    </w:p>
    <w:p w:rsidR="00343D24" w:rsidRPr="006A22D3" w:rsidRDefault="00343D24" w:rsidP="00343D24">
      <w:pPr>
        <w:rPr>
          <w:noProof/>
        </w:rPr>
      </w:pPr>
      <w:r w:rsidRPr="006A22D3">
        <w:rPr>
          <w:noProof/>
        </w:rPr>
        <w:t>Państwa członkowskie zapewniają, aby przedsiębiorstwa, które nie podlegają wymogom sprawozdawczym przewidzianym</w:t>
      </w:r>
      <w:r w:rsidR="006A22D3" w:rsidRPr="006A22D3">
        <w:rPr>
          <w:noProof/>
        </w:rPr>
        <w:t xml:space="preserve"> w art</w:t>
      </w:r>
      <w:r w:rsidRPr="006A22D3">
        <w:rPr>
          <w:noProof/>
        </w:rPr>
        <w:t>.</w:t>
      </w:r>
      <w:r w:rsidR="00192E90" w:rsidRPr="006A22D3">
        <w:rPr>
          <w:noProof/>
        </w:rPr>
        <w:t> </w:t>
      </w:r>
      <w:r w:rsidRPr="006A22D3">
        <w:rPr>
          <w:noProof/>
        </w:rPr>
        <w:t>19a</w:t>
      </w:r>
      <w:r w:rsidR="006A22D3" w:rsidRPr="006A22D3">
        <w:rPr>
          <w:noProof/>
        </w:rPr>
        <w:t xml:space="preserve"> i 2</w:t>
      </w:r>
      <w:r w:rsidRPr="006A22D3">
        <w:rPr>
          <w:noProof/>
        </w:rPr>
        <w:t>9a dyrektywy 2013/34/UE, przekazywały informacje dotyczące kwestii objętych niniejszą dyrektywą poprzez publikowanie na swojej stronie internetowej sprawozdania rocznego</w:t>
      </w:r>
      <w:r w:rsidR="006A22D3" w:rsidRPr="006A22D3">
        <w:rPr>
          <w:noProof/>
        </w:rPr>
        <w:t xml:space="preserve"> w jęz</w:t>
      </w:r>
      <w:r w:rsidRPr="006A22D3">
        <w:rPr>
          <w:noProof/>
        </w:rPr>
        <w:t>yku zwyczajowo używanym</w:t>
      </w:r>
      <w:r w:rsidR="006A22D3" w:rsidRPr="006A22D3">
        <w:rPr>
          <w:noProof/>
        </w:rPr>
        <w:t xml:space="preserve"> w sfe</w:t>
      </w:r>
      <w:r w:rsidRPr="006A22D3">
        <w:rPr>
          <w:noProof/>
        </w:rPr>
        <w:t>rze biznesu międzynarodowego. Publikacja tego sprawozdania następuje do dnia 30 kwietnia każdego roku</w:t>
      </w:r>
      <w:r w:rsidR="006A22D3" w:rsidRPr="006A22D3">
        <w:rPr>
          <w:noProof/>
        </w:rPr>
        <w:t xml:space="preserve"> i obe</w:t>
      </w:r>
      <w:r w:rsidRPr="006A22D3">
        <w:rPr>
          <w:noProof/>
        </w:rPr>
        <w:t>jmuje poprzedni rok kalendarzowy.</w:t>
      </w:r>
    </w:p>
    <w:p w:rsidR="005009E6" w:rsidRPr="006A22D3" w:rsidDel="001B5C94" w:rsidRDefault="005009E6" w:rsidP="00890A71">
      <w:pPr>
        <w:rPr>
          <w:noProof/>
        </w:rPr>
      </w:pPr>
      <w:r w:rsidRPr="006A22D3">
        <w:rPr>
          <w:noProof/>
        </w:rPr>
        <w:t>Komisja przyjmuje akty delegowane dotyczące treści</w:t>
      </w:r>
      <w:r w:rsidR="006A22D3" w:rsidRPr="006A22D3">
        <w:rPr>
          <w:noProof/>
        </w:rPr>
        <w:t xml:space="preserve"> i kry</w:t>
      </w:r>
      <w:r w:rsidRPr="006A22D3">
        <w:rPr>
          <w:noProof/>
        </w:rPr>
        <w:t>teriów takiego sprawozdania,</w:t>
      </w:r>
      <w:r w:rsidR="006A22D3" w:rsidRPr="006A22D3">
        <w:rPr>
          <w:noProof/>
        </w:rPr>
        <w:t xml:space="preserve"> o któ</w:t>
      </w:r>
      <w:r w:rsidRPr="006A22D3">
        <w:rPr>
          <w:noProof/>
        </w:rPr>
        <w:t>rym mowa</w:t>
      </w:r>
      <w:r w:rsidR="006A22D3" w:rsidRPr="006A22D3">
        <w:rPr>
          <w:noProof/>
        </w:rPr>
        <w:t xml:space="preserve"> w ust</w:t>
      </w:r>
      <w:r w:rsidRPr="006A22D3">
        <w:rPr>
          <w:noProof/>
        </w:rPr>
        <w:t>.</w:t>
      </w:r>
      <w:r w:rsidR="00192E90" w:rsidRPr="006A22D3">
        <w:rPr>
          <w:noProof/>
        </w:rPr>
        <w:t> </w:t>
      </w:r>
      <w:r w:rsidRPr="006A22D3">
        <w:rPr>
          <w:noProof/>
        </w:rPr>
        <w:t>1, zgodnie</w:t>
      </w:r>
      <w:r w:rsidR="006A22D3" w:rsidRPr="006A22D3">
        <w:rPr>
          <w:noProof/>
        </w:rPr>
        <w:t xml:space="preserve"> z art</w:t>
      </w:r>
      <w:r w:rsidRPr="006A22D3">
        <w:rPr>
          <w:noProof/>
        </w:rPr>
        <w:t>.</w:t>
      </w:r>
      <w:r w:rsidR="00192E90" w:rsidRPr="006A22D3">
        <w:rPr>
          <w:noProof/>
        </w:rPr>
        <w:t> </w:t>
      </w:r>
      <w:r w:rsidRPr="006A22D3">
        <w:rPr>
          <w:noProof/>
        </w:rPr>
        <w:t>28,</w:t>
      </w:r>
      <w:r w:rsidR="006A22D3" w:rsidRPr="006A22D3">
        <w:rPr>
          <w:noProof/>
        </w:rPr>
        <w:t xml:space="preserve"> i w akt</w:t>
      </w:r>
      <w:r w:rsidRPr="006A22D3">
        <w:rPr>
          <w:noProof/>
        </w:rPr>
        <w:t>ach tych określa informacje dotyczące opisu należytej staranności, potencjalnych</w:t>
      </w:r>
      <w:r w:rsidR="006A22D3" w:rsidRPr="006A22D3">
        <w:rPr>
          <w:noProof/>
        </w:rPr>
        <w:t xml:space="preserve"> i rze</w:t>
      </w:r>
      <w:r w:rsidRPr="006A22D3">
        <w:rPr>
          <w:noProof/>
        </w:rPr>
        <w:t>czywistych niekorzystnych skutków</w:t>
      </w:r>
      <w:r w:rsidR="006A22D3" w:rsidRPr="006A22D3">
        <w:rPr>
          <w:noProof/>
        </w:rPr>
        <w:t xml:space="preserve"> i pod</w:t>
      </w:r>
      <w:r w:rsidRPr="006A22D3">
        <w:rPr>
          <w:noProof/>
        </w:rPr>
        <w:t>ejmowanych</w:t>
      </w:r>
      <w:r w:rsidR="006A22D3" w:rsidRPr="006A22D3">
        <w:rPr>
          <w:noProof/>
        </w:rPr>
        <w:t xml:space="preserve"> w zwi</w:t>
      </w:r>
      <w:r w:rsidRPr="006A22D3">
        <w:rPr>
          <w:noProof/>
        </w:rPr>
        <w:t>ązku</w:t>
      </w:r>
      <w:r w:rsidR="006A22D3" w:rsidRPr="006A22D3">
        <w:rPr>
          <w:noProof/>
        </w:rPr>
        <w:t xml:space="preserve"> z nim</w:t>
      </w:r>
      <w:r w:rsidRPr="006A22D3">
        <w:rPr>
          <w:noProof/>
        </w:rPr>
        <w:t xml:space="preserve">i działań. </w:t>
      </w:r>
    </w:p>
    <w:p w:rsidR="00E15135" w:rsidRPr="006A22D3" w:rsidRDefault="00E15135" w:rsidP="00E15135">
      <w:pPr>
        <w:pStyle w:val="Titrearticle"/>
        <w:rPr>
          <w:noProof/>
        </w:rPr>
      </w:pPr>
      <w:r w:rsidRPr="006A22D3">
        <w:rPr>
          <w:noProof/>
        </w:rPr>
        <w:t>Artykuł 12</w:t>
      </w:r>
    </w:p>
    <w:p w:rsidR="00E15135" w:rsidRPr="006A22D3" w:rsidRDefault="00E15135" w:rsidP="00E15135">
      <w:pPr>
        <w:pStyle w:val="Articletitle"/>
        <w:rPr>
          <w:noProof/>
        </w:rPr>
      </w:pPr>
      <w:r w:rsidRPr="006A22D3">
        <w:rPr>
          <w:noProof/>
        </w:rPr>
        <w:t>Wzorcowe klauzule umowne</w:t>
      </w:r>
    </w:p>
    <w:p w:rsidR="00BC6E3D" w:rsidRPr="006A22D3" w:rsidRDefault="00E15135" w:rsidP="00FB63A0">
      <w:pPr>
        <w:rPr>
          <w:noProof/>
        </w:rPr>
      </w:pPr>
      <w:r w:rsidRPr="006A22D3">
        <w:rPr>
          <w:noProof/>
        </w:rPr>
        <w:t>Celem wsparcia przedsiębiorstw, aby pomóc im</w:t>
      </w:r>
      <w:r w:rsidR="006A22D3" w:rsidRPr="006A22D3">
        <w:rPr>
          <w:noProof/>
        </w:rPr>
        <w:t xml:space="preserve"> w spe</w:t>
      </w:r>
      <w:r w:rsidRPr="006A22D3">
        <w:rPr>
          <w:noProof/>
        </w:rPr>
        <w:t>łnieniu wymogów art.</w:t>
      </w:r>
      <w:r w:rsidR="00192E90" w:rsidRPr="006A22D3">
        <w:rPr>
          <w:noProof/>
        </w:rPr>
        <w:t> </w:t>
      </w:r>
      <w:r w:rsidRPr="006A22D3">
        <w:rPr>
          <w:noProof/>
        </w:rPr>
        <w:t>7 ust.</w:t>
      </w:r>
      <w:r w:rsidR="00192E90" w:rsidRPr="006A22D3">
        <w:rPr>
          <w:noProof/>
        </w:rPr>
        <w:t> </w:t>
      </w:r>
      <w:r w:rsidRPr="006A22D3">
        <w:rPr>
          <w:noProof/>
        </w:rPr>
        <w:t>2 lit.</w:t>
      </w:r>
      <w:r w:rsidR="00192E90" w:rsidRPr="006A22D3">
        <w:rPr>
          <w:noProof/>
        </w:rPr>
        <w:t> </w:t>
      </w:r>
      <w:r w:rsidRPr="006A22D3">
        <w:rPr>
          <w:noProof/>
        </w:rPr>
        <w:t>b)</w:t>
      </w:r>
      <w:r w:rsidR="006A22D3" w:rsidRPr="006A22D3">
        <w:rPr>
          <w:noProof/>
        </w:rPr>
        <w:t xml:space="preserve"> i art</w:t>
      </w:r>
      <w:r w:rsidRPr="006A22D3">
        <w:rPr>
          <w:noProof/>
        </w:rPr>
        <w:t>.</w:t>
      </w:r>
      <w:r w:rsidR="00192E90" w:rsidRPr="006A22D3">
        <w:rPr>
          <w:noProof/>
        </w:rPr>
        <w:t> </w:t>
      </w:r>
      <w:r w:rsidRPr="006A22D3">
        <w:rPr>
          <w:noProof/>
        </w:rPr>
        <w:t>8 ust.</w:t>
      </w:r>
      <w:r w:rsidR="00192E90" w:rsidRPr="006A22D3">
        <w:rPr>
          <w:noProof/>
        </w:rPr>
        <w:t> </w:t>
      </w:r>
      <w:r w:rsidRPr="006A22D3">
        <w:rPr>
          <w:noProof/>
        </w:rPr>
        <w:t>3 lit.</w:t>
      </w:r>
      <w:r w:rsidR="00192E90" w:rsidRPr="006A22D3">
        <w:rPr>
          <w:noProof/>
        </w:rPr>
        <w:t> </w:t>
      </w:r>
      <w:r w:rsidRPr="006A22D3">
        <w:rPr>
          <w:noProof/>
        </w:rPr>
        <w:t>c), Komisja przyjmie wytyczne dotyczące dobrowolnych wzorcowych klauzul umownych.</w:t>
      </w:r>
    </w:p>
    <w:p w:rsidR="00BC6E3D" w:rsidRPr="006A22D3" w:rsidRDefault="00BC6E3D" w:rsidP="00DA7CC6">
      <w:pPr>
        <w:pStyle w:val="Titrearticle"/>
        <w:rPr>
          <w:i w:val="0"/>
          <w:noProof/>
        </w:rPr>
      </w:pPr>
      <w:r w:rsidRPr="006A22D3">
        <w:rPr>
          <w:noProof/>
        </w:rPr>
        <w:t>Artykuł 13</w:t>
      </w:r>
    </w:p>
    <w:p w:rsidR="00BC6E3D" w:rsidRPr="006A22D3" w:rsidRDefault="00BC6E3D" w:rsidP="00DA7CC6">
      <w:pPr>
        <w:pStyle w:val="Articletitle"/>
        <w:rPr>
          <w:b w:val="0"/>
          <w:bCs w:val="0"/>
          <w:noProof/>
        </w:rPr>
      </w:pPr>
      <w:r w:rsidRPr="006A22D3">
        <w:rPr>
          <w:noProof/>
        </w:rPr>
        <w:t>Wytyczne</w:t>
      </w:r>
    </w:p>
    <w:p w:rsidR="00BC6E3D" w:rsidRPr="006A22D3" w:rsidRDefault="00BC6E3D" w:rsidP="00BC6E3D">
      <w:pPr>
        <w:rPr>
          <w:noProof/>
        </w:rPr>
      </w:pPr>
      <w:r w:rsidRPr="006A22D3">
        <w:rPr>
          <w:noProof/>
        </w:rPr>
        <w:t>Celem zapewnienia wsparcia przedsiębiorstwom lub organom państw członkowskich</w:t>
      </w:r>
      <w:r w:rsidR="006A22D3" w:rsidRPr="006A22D3">
        <w:rPr>
          <w:noProof/>
        </w:rPr>
        <w:t xml:space="preserve"> w zak</w:t>
      </w:r>
      <w:r w:rsidRPr="006A22D3">
        <w:rPr>
          <w:noProof/>
        </w:rPr>
        <w:t>resie sposobu,</w:t>
      </w:r>
      <w:r w:rsidR="006A22D3" w:rsidRPr="006A22D3">
        <w:rPr>
          <w:noProof/>
        </w:rPr>
        <w:t xml:space="preserve"> w jak</w:t>
      </w:r>
      <w:r w:rsidRPr="006A22D3">
        <w:rPr>
          <w:noProof/>
        </w:rPr>
        <w:t>i przedsiębiorstwa powinny wypełniać swoje obowiązki</w:t>
      </w:r>
      <w:r w:rsidR="006A22D3" w:rsidRPr="006A22D3">
        <w:rPr>
          <w:noProof/>
        </w:rPr>
        <w:t xml:space="preserve"> w zak</w:t>
      </w:r>
      <w:r w:rsidRPr="006A22D3">
        <w:rPr>
          <w:noProof/>
        </w:rPr>
        <w:t>resie należytej staranności, Komisja – we współpracy</w:t>
      </w:r>
      <w:r w:rsidR="006A22D3" w:rsidRPr="006A22D3">
        <w:rPr>
          <w:noProof/>
        </w:rPr>
        <w:t xml:space="preserve"> z pań</w:t>
      </w:r>
      <w:r w:rsidRPr="006A22D3">
        <w:rPr>
          <w:noProof/>
        </w:rPr>
        <w:t>stwami członkowskimi</w:t>
      </w:r>
      <w:r w:rsidR="006A22D3" w:rsidRPr="006A22D3">
        <w:rPr>
          <w:noProof/>
        </w:rPr>
        <w:t xml:space="preserve"> i zai</w:t>
      </w:r>
      <w:r w:rsidRPr="006A22D3">
        <w:rPr>
          <w:noProof/>
        </w:rPr>
        <w:t>nteresowanymi stronami, Agencją Praw Podstawowych Unii Europejskiej, Europejską Agencją Środowiska</w:t>
      </w:r>
      <w:r w:rsidR="006A22D3" w:rsidRPr="006A22D3">
        <w:rPr>
          <w:noProof/>
        </w:rPr>
        <w:t xml:space="preserve"> i w raz</w:t>
      </w:r>
      <w:r w:rsidRPr="006A22D3">
        <w:rPr>
          <w:noProof/>
        </w:rPr>
        <w:t>ie potrzeby organami międzynarodowymi posiadającymi wiedzę specjalistyczną</w:t>
      </w:r>
      <w:r w:rsidR="006A22D3" w:rsidRPr="006A22D3">
        <w:rPr>
          <w:noProof/>
        </w:rPr>
        <w:t xml:space="preserve"> w zak</w:t>
      </w:r>
      <w:r w:rsidRPr="006A22D3">
        <w:rPr>
          <w:noProof/>
        </w:rPr>
        <w:t>resie należytej staranności – może wydać wytyczne,</w:t>
      </w:r>
      <w:r w:rsidR="006A22D3" w:rsidRPr="006A22D3">
        <w:rPr>
          <w:noProof/>
        </w:rPr>
        <w:t xml:space="preserve"> w tym</w:t>
      </w:r>
      <w:r w:rsidRPr="006A22D3">
        <w:rPr>
          <w:noProof/>
        </w:rPr>
        <w:t xml:space="preserve"> wytyczne dotyczące konkretnych sektorów lub konkretnych niekorzystnych skutków.</w:t>
      </w:r>
    </w:p>
    <w:p w:rsidR="00BC6E3D" w:rsidRPr="006A22D3" w:rsidRDefault="00BC6E3D" w:rsidP="00DA7CC6">
      <w:pPr>
        <w:pStyle w:val="Titrearticle"/>
        <w:rPr>
          <w:i w:val="0"/>
          <w:noProof/>
        </w:rPr>
      </w:pPr>
      <w:r w:rsidRPr="006A22D3">
        <w:rPr>
          <w:noProof/>
        </w:rPr>
        <w:t>Artykuł 14</w:t>
      </w:r>
    </w:p>
    <w:p w:rsidR="00BC6E3D" w:rsidRPr="006A22D3" w:rsidRDefault="00BC6E3D" w:rsidP="00DA7CC6">
      <w:pPr>
        <w:pStyle w:val="Articletitle"/>
        <w:rPr>
          <w:b w:val="0"/>
          <w:bCs w:val="0"/>
          <w:noProof/>
        </w:rPr>
      </w:pPr>
      <w:r w:rsidRPr="006A22D3">
        <w:rPr>
          <w:noProof/>
        </w:rPr>
        <w:t>Środki towarzyszące</w:t>
      </w:r>
    </w:p>
    <w:p w:rsidR="00BC6E3D" w:rsidRPr="006A22D3" w:rsidRDefault="00D91F29" w:rsidP="00D91F29">
      <w:pPr>
        <w:pStyle w:val="ManualNumPar1"/>
        <w:rPr>
          <w:noProof/>
        </w:rPr>
      </w:pPr>
      <w:r w:rsidRPr="00D91F29">
        <w:t>1.</w:t>
      </w:r>
      <w:r w:rsidRPr="00D91F29">
        <w:tab/>
      </w:r>
      <w:r w:rsidR="00BC6E3D" w:rsidRPr="006A22D3">
        <w:rPr>
          <w:noProof/>
        </w:rPr>
        <w:t>Państwa członkowskie tworzą</w:t>
      </w:r>
      <w:r w:rsidR="006A22D3" w:rsidRPr="006A22D3">
        <w:rPr>
          <w:noProof/>
        </w:rPr>
        <w:t xml:space="preserve"> i obs</w:t>
      </w:r>
      <w:r w:rsidR="00BC6E3D" w:rsidRPr="006A22D3">
        <w:rPr>
          <w:noProof/>
        </w:rPr>
        <w:t>ługują, indywidualnie lub łącznie, specjalne strony internetowe, platformy lub portale</w:t>
      </w:r>
      <w:r w:rsidR="006A22D3" w:rsidRPr="006A22D3">
        <w:rPr>
          <w:noProof/>
        </w:rPr>
        <w:t xml:space="preserve"> w cel</w:t>
      </w:r>
      <w:r w:rsidR="00BC6E3D" w:rsidRPr="006A22D3">
        <w:rPr>
          <w:noProof/>
        </w:rPr>
        <w:t>u udzielania informacji przedsiębiorstwom</w:t>
      </w:r>
      <w:r w:rsidR="006A22D3" w:rsidRPr="006A22D3">
        <w:rPr>
          <w:noProof/>
        </w:rPr>
        <w:t xml:space="preserve"> i par</w:t>
      </w:r>
      <w:r w:rsidR="00BC6E3D" w:rsidRPr="006A22D3">
        <w:rPr>
          <w:noProof/>
        </w:rPr>
        <w:t>tnerom,</w:t>
      </w:r>
      <w:r w:rsidR="006A22D3" w:rsidRPr="006A22D3">
        <w:rPr>
          <w:noProof/>
        </w:rPr>
        <w:t xml:space="preserve"> z któ</w:t>
      </w:r>
      <w:r w:rsidR="00BC6E3D" w:rsidRPr="006A22D3">
        <w:rPr>
          <w:noProof/>
        </w:rPr>
        <w:t>rymi przedsiębiorstwa utrzymują stałe relacje biznesowe</w:t>
      </w:r>
      <w:r w:rsidR="006A22D3" w:rsidRPr="006A22D3">
        <w:rPr>
          <w:noProof/>
        </w:rPr>
        <w:t xml:space="preserve"> w ram</w:t>
      </w:r>
      <w:r w:rsidR="00BC6E3D" w:rsidRPr="006A22D3">
        <w:rPr>
          <w:noProof/>
        </w:rPr>
        <w:t>ach łańcuchów wartości,</w:t>
      </w:r>
      <w:r w:rsidR="006A22D3" w:rsidRPr="006A22D3">
        <w:rPr>
          <w:noProof/>
        </w:rPr>
        <w:t xml:space="preserve"> i wsp</w:t>
      </w:r>
      <w:r w:rsidR="00BC6E3D" w:rsidRPr="006A22D3">
        <w:rPr>
          <w:noProof/>
        </w:rPr>
        <w:t>ierania ich</w:t>
      </w:r>
      <w:r w:rsidR="006A22D3" w:rsidRPr="006A22D3">
        <w:rPr>
          <w:noProof/>
        </w:rPr>
        <w:t xml:space="preserve"> w pod</w:t>
      </w:r>
      <w:r w:rsidR="00BC6E3D" w:rsidRPr="006A22D3">
        <w:rPr>
          <w:noProof/>
        </w:rPr>
        <w:t>ejmowanych przez nie staraniach służących spełnieniu obowiązków wynikających</w:t>
      </w:r>
      <w:r w:rsidR="006A22D3" w:rsidRPr="006A22D3">
        <w:rPr>
          <w:noProof/>
        </w:rPr>
        <w:t xml:space="preserve"> z nin</w:t>
      </w:r>
      <w:r w:rsidR="00BC6E3D" w:rsidRPr="006A22D3">
        <w:rPr>
          <w:noProof/>
        </w:rPr>
        <w:t>iejszej dyrektywy. Na szczególne traktowanie</w:t>
      </w:r>
      <w:r w:rsidR="006A22D3" w:rsidRPr="006A22D3">
        <w:rPr>
          <w:noProof/>
        </w:rPr>
        <w:t xml:space="preserve"> w tym</w:t>
      </w:r>
      <w:r w:rsidR="00BC6E3D" w:rsidRPr="006A22D3">
        <w:rPr>
          <w:noProof/>
        </w:rPr>
        <w:t xml:space="preserve"> zakresie zasługują MŚP obecne</w:t>
      </w:r>
      <w:r w:rsidR="006A22D3" w:rsidRPr="006A22D3">
        <w:rPr>
          <w:noProof/>
        </w:rPr>
        <w:t xml:space="preserve"> w łań</w:t>
      </w:r>
      <w:r w:rsidR="00BC6E3D" w:rsidRPr="006A22D3">
        <w:rPr>
          <w:noProof/>
        </w:rPr>
        <w:t>cuchach wartości przedsiębiorstw.</w:t>
      </w:r>
    </w:p>
    <w:p w:rsidR="00BC6E3D" w:rsidRPr="006A22D3" w:rsidRDefault="00D91F29" w:rsidP="00D91F29">
      <w:pPr>
        <w:pStyle w:val="ManualNumPar1"/>
        <w:rPr>
          <w:noProof/>
        </w:rPr>
      </w:pPr>
      <w:r w:rsidRPr="00D91F29">
        <w:t>2.</w:t>
      </w:r>
      <w:r w:rsidRPr="00D91F29">
        <w:tab/>
      </w:r>
      <w:r w:rsidR="00BC6E3D" w:rsidRPr="006A22D3">
        <w:rPr>
          <w:noProof/>
        </w:rPr>
        <w:t xml:space="preserve">Bez uszczerbku dla mających zastosowanie zasad pomocy państwa </w:t>
      </w:r>
      <w:r w:rsidR="00E40005" w:rsidRPr="006A22D3">
        <w:rPr>
          <w:noProof/>
        </w:rPr>
        <w:t>państwa</w:t>
      </w:r>
      <w:r w:rsidR="00BC6E3D" w:rsidRPr="006A22D3">
        <w:rPr>
          <w:noProof/>
        </w:rPr>
        <w:t xml:space="preserve"> członkowskie mogą wspierać MŚP finansowo.</w:t>
      </w:r>
    </w:p>
    <w:p w:rsidR="00BC6E3D" w:rsidRPr="006A22D3" w:rsidRDefault="00D91F29" w:rsidP="00D91F29">
      <w:pPr>
        <w:pStyle w:val="ManualNumPar1"/>
        <w:rPr>
          <w:noProof/>
        </w:rPr>
      </w:pPr>
      <w:r w:rsidRPr="00D91F29">
        <w:t>3.</w:t>
      </w:r>
      <w:r w:rsidRPr="00D91F29">
        <w:tab/>
      </w:r>
      <w:r w:rsidR="00BC6E3D" w:rsidRPr="006A22D3">
        <w:rPr>
          <w:noProof/>
        </w:rPr>
        <w:t>Komisja może uzupełnić środki wsparcia zapewnione przez państwa członkowskie</w:t>
      </w:r>
      <w:r w:rsidR="006A22D3" w:rsidRPr="006A22D3">
        <w:rPr>
          <w:noProof/>
        </w:rPr>
        <w:t xml:space="preserve"> w opa</w:t>
      </w:r>
      <w:r w:rsidR="00BC6E3D" w:rsidRPr="006A22D3">
        <w:rPr>
          <w:noProof/>
        </w:rPr>
        <w:t>rciu</w:t>
      </w:r>
      <w:r w:rsidR="006A22D3" w:rsidRPr="006A22D3">
        <w:rPr>
          <w:noProof/>
        </w:rPr>
        <w:t xml:space="preserve"> o ist</w:t>
      </w:r>
      <w:r w:rsidR="00BC6E3D" w:rsidRPr="006A22D3">
        <w:rPr>
          <w:noProof/>
        </w:rPr>
        <w:t>niejące działania UE</w:t>
      </w:r>
      <w:r w:rsidR="006A22D3" w:rsidRPr="006A22D3">
        <w:rPr>
          <w:noProof/>
        </w:rPr>
        <w:t xml:space="preserve"> w cel</w:t>
      </w:r>
      <w:r w:rsidR="00BC6E3D" w:rsidRPr="006A22D3">
        <w:rPr>
          <w:noProof/>
        </w:rPr>
        <w:t>u wspierania przestrzegania zasad należytej staranności</w:t>
      </w:r>
      <w:r w:rsidR="006A22D3" w:rsidRPr="006A22D3">
        <w:rPr>
          <w:noProof/>
        </w:rPr>
        <w:t xml:space="preserve"> w Uni</w:t>
      </w:r>
      <w:r w:rsidR="00BC6E3D" w:rsidRPr="006A22D3">
        <w:rPr>
          <w:noProof/>
        </w:rPr>
        <w:t>i</w:t>
      </w:r>
      <w:r w:rsidR="006A22D3" w:rsidRPr="006A22D3">
        <w:rPr>
          <w:noProof/>
        </w:rPr>
        <w:t xml:space="preserve"> i pań</w:t>
      </w:r>
      <w:r w:rsidR="00BC6E3D" w:rsidRPr="006A22D3">
        <w:rPr>
          <w:noProof/>
        </w:rPr>
        <w:t>stwach trzecich oraz może opracować nowe środki,</w:t>
      </w:r>
      <w:r w:rsidR="006A22D3" w:rsidRPr="006A22D3">
        <w:rPr>
          <w:noProof/>
        </w:rPr>
        <w:t xml:space="preserve"> w tym</w:t>
      </w:r>
      <w:r w:rsidR="00BC6E3D" w:rsidRPr="006A22D3">
        <w:rPr>
          <w:noProof/>
        </w:rPr>
        <w:t xml:space="preserve"> może ułatwić realizację wspólnych inicjatyw zainteresowanych stron, aby pomóc przedsiębiorstwom</w:t>
      </w:r>
      <w:r w:rsidR="006A22D3" w:rsidRPr="006A22D3">
        <w:rPr>
          <w:noProof/>
        </w:rPr>
        <w:t xml:space="preserve"> w wyp</w:t>
      </w:r>
      <w:r w:rsidR="00BC6E3D" w:rsidRPr="006A22D3">
        <w:rPr>
          <w:noProof/>
        </w:rPr>
        <w:t xml:space="preserve">ełnianiu ich obowiązków. </w:t>
      </w:r>
    </w:p>
    <w:p w:rsidR="00BC6E3D" w:rsidRPr="006A22D3" w:rsidRDefault="00D91F29" w:rsidP="00D91F29">
      <w:pPr>
        <w:pStyle w:val="ManualNumPar1"/>
        <w:rPr>
          <w:noProof/>
        </w:rPr>
      </w:pPr>
      <w:r w:rsidRPr="00D91F29">
        <w:t>4.</w:t>
      </w:r>
      <w:r w:rsidRPr="00D91F29">
        <w:tab/>
      </w:r>
      <w:r w:rsidR="00BC6E3D" w:rsidRPr="006A22D3">
        <w:rPr>
          <w:noProof/>
        </w:rPr>
        <w:t>Przedsiębiorstwa mogą opierać się na projektach branżowych</w:t>
      </w:r>
      <w:r w:rsidR="006A22D3" w:rsidRPr="006A22D3">
        <w:rPr>
          <w:noProof/>
        </w:rPr>
        <w:t xml:space="preserve"> i ini</w:t>
      </w:r>
      <w:r w:rsidR="00BC6E3D" w:rsidRPr="006A22D3">
        <w:rPr>
          <w:noProof/>
        </w:rPr>
        <w:t>cjatywach</w:t>
      </w:r>
      <w:r w:rsidR="006A22D3" w:rsidRPr="006A22D3">
        <w:rPr>
          <w:noProof/>
        </w:rPr>
        <w:t xml:space="preserve"> z udz</w:t>
      </w:r>
      <w:r w:rsidR="00BC6E3D" w:rsidRPr="006A22D3">
        <w:rPr>
          <w:noProof/>
        </w:rPr>
        <w:t>iałem wielu zainteresowanych stron</w:t>
      </w:r>
      <w:r w:rsidR="006A22D3" w:rsidRPr="006A22D3">
        <w:rPr>
          <w:noProof/>
        </w:rPr>
        <w:t xml:space="preserve"> w cel</w:t>
      </w:r>
      <w:r w:rsidR="00BC6E3D" w:rsidRPr="006A22D3">
        <w:rPr>
          <w:noProof/>
        </w:rPr>
        <w:t>u wsparcia realizacji swoich obowiązków,</w:t>
      </w:r>
      <w:r w:rsidR="006A22D3" w:rsidRPr="006A22D3">
        <w:rPr>
          <w:noProof/>
        </w:rPr>
        <w:t xml:space="preserve"> o któ</w:t>
      </w:r>
      <w:r w:rsidR="00BC6E3D" w:rsidRPr="006A22D3">
        <w:rPr>
          <w:noProof/>
        </w:rPr>
        <w:t>rych mowa</w:t>
      </w:r>
      <w:r w:rsidR="006A22D3" w:rsidRPr="006A22D3">
        <w:rPr>
          <w:noProof/>
        </w:rPr>
        <w:t xml:space="preserve"> w art</w:t>
      </w:r>
      <w:r w:rsidR="00BC6E3D" w:rsidRPr="006A22D3">
        <w:rPr>
          <w:noProof/>
        </w:rPr>
        <w:t>.</w:t>
      </w:r>
      <w:r w:rsidR="00192E90" w:rsidRPr="006A22D3">
        <w:rPr>
          <w:noProof/>
        </w:rPr>
        <w:t> </w:t>
      </w:r>
      <w:r w:rsidR="00BC6E3D" w:rsidRPr="006A22D3">
        <w:rPr>
          <w:noProof/>
        </w:rPr>
        <w:t>5–11 niniejszej dyrektywy,</w:t>
      </w:r>
      <w:r w:rsidR="006A22D3" w:rsidRPr="006A22D3">
        <w:rPr>
          <w:noProof/>
        </w:rPr>
        <w:t xml:space="preserve"> w zak</w:t>
      </w:r>
      <w:r w:rsidR="00BC6E3D" w:rsidRPr="006A22D3">
        <w:rPr>
          <w:noProof/>
        </w:rPr>
        <w:t>resie,</w:t>
      </w:r>
      <w:r w:rsidR="006A22D3" w:rsidRPr="006A22D3">
        <w:rPr>
          <w:noProof/>
        </w:rPr>
        <w:t xml:space="preserve"> w jak</w:t>
      </w:r>
      <w:r w:rsidR="00BC6E3D" w:rsidRPr="006A22D3">
        <w:rPr>
          <w:noProof/>
        </w:rPr>
        <w:t>im takie projekty</w:t>
      </w:r>
      <w:r w:rsidR="006A22D3" w:rsidRPr="006A22D3">
        <w:rPr>
          <w:noProof/>
        </w:rPr>
        <w:t xml:space="preserve"> i ini</w:t>
      </w:r>
      <w:r w:rsidR="00BC6E3D" w:rsidRPr="006A22D3">
        <w:rPr>
          <w:noProof/>
        </w:rPr>
        <w:t>cjatywy są odpowiednie, aby wspierać wypełnianie tych obowiązków. Komisja</w:t>
      </w:r>
      <w:r w:rsidR="006A22D3" w:rsidRPr="006A22D3">
        <w:rPr>
          <w:noProof/>
        </w:rPr>
        <w:t xml:space="preserve"> i pań</w:t>
      </w:r>
      <w:r w:rsidR="00BC6E3D" w:rsidRPr="006A22D3">
        <w:rPr>
          <w:noProof/>
        </w:rPr>
        <w:t>stwa członkowskie mogą ułatwić rozpowszechnianie informacji dotyczących takich projektów lub inicjatyw</w:t>
      </w:r>
      <w:r w:rsidR="006A22D3" w:rsidRPr="006A22D3">
        <w:rPr>
          <w:noProof/>
        </w:rPr>
        <w:t xml:space="preserve"> i ich</w:t>
      </w:r>
      <w:r w:rsidR="00BC6E3D" w:rsidRPr="006A22D3">
        <w:rPr>
          <w:noProof/>
        </w:rPr>
        <w:t xml:space="preserve"> rezultatów. Komisja, we współpracy</w:t>
      </w:r>
      <w:r w:rsidR="006A22D3" w:rsidRPr="006A22D3">
        <w:rPr>
          <w:noProof/>
        </w:rPr>
        <w:t xml:space="preserve"> z pań</w:t>
      </w:r>
      <w:r w:rsidR="00BC6E3D" w:rsidRPr="006A22D3">
        <w:rPr>
          <w:noProof/>
        </w:rPr>
        <w:t>stwami członkowskimi, może wydać wytyczne dotyczące oceny adekwatności projektów branżowych</w:t>
      </w:r>
      <w:r w:rsidR="006A22D3" w:rsidRPr="006A22D3">
        <w:rPr>
          <w:noProof/>
        </w:rPr>
        <w:t xml:space="preserve"> i ini</w:t>
      </w:r>
      <w:r w:rsidR="00BC6E3D" w:rsidRPr="006A22D3">
        <w:rPr>
          <w:noProof/>
        </w:rPr>
        <w:t>cjatyw</w:t>
      </w:r>
      <w:r w:rsidR="006A22D3" w:rsidRPr="006A22D3">
        <w:rPr>
          <w:noProof/>
        </w:rPr>
        <w:t xml:space="preserve"> z udz</w:t>
      </w:r>
      <w:r w:rsidR="00BC6E3D" w:rsidRPr="006A22D3">
        <w:rPr>
          <w:noProof/>
        </w:rPr>
        <w:t>iałem wielu zainteresowanych stron.</w:t>
      </w:r>
    </w:p>
    <w:p w:rsidR="00384CCC" w:rsidRPr="006A22D3" w:rsidRDefault="00384CCC" w:rsidP="00384CCC">
      <w:pPr>
        <w:pStyle w:val="Titrearticle"/>
        <w:rPr>
          <w:i w:val="0"/>
          <w:noProof/>
        </w:rPr>
      </w:pPr>
      <w:r w:rsidRPr="006A22D3">
        <w:rPr>
          <w:noProof/>
        </w:rPr>
        <w:t>Artykuł 15</w:t>
      </w:r>
    </w:p>
    <w:p w:rsidR="00E01ED1" w:rsidRPr="006A22D3" w:rsidRDefault="00EB6190" w:rsidP="00A00866">
      <w:pPr>
        <w:pStyle w:val="Articletitle"/>
        <w:rPr>
          <w:noProof/>
        </w:rPr>
      </w:pPr>
      <w:r w:rsidRPr="006A22D3">
        <w:rPr>
          <w:noProof/>
        </w:rPr>
        <w:t>Przeciwdziałanie zmianie klimatu</w:t>
      </w:r>
    </w:p>
    <w:p w:rsidR="009A64AB" w:rsidRPr="006A22D3" w:rsidRDefault="00D91F29" w:rsidP="00D91F29">
      <w:pPr>
        <w:pStyle w:val="ManualNumPar1"/>
        <w:rPr>
          <w:noProof/>
        </w:rPr>
      </w:pPr>
      <w:r w:rsidRPr="00D91F29">
        <w:t>1.</w:t>
      </w:r>
      <w:r w:rsidRPr="00D91F29">
        <w:tab/>
      </w:r>
      <w:r w:rsidR="009A64AB" w:rsidRPr="006A22D3">
        <w:rPr>
          <w:noProof/>
        </w:rPr>
        <w:t>Państwa członkowskie zapewniają, aby przedsiębiorstwa,</w:t>
      </w:r>
      <w:r w:rsidR="006A22D3" w:rsidRPr="006A22D3">
        <w:rPr>
          <w:noProof/>
        </w:rPr>
        <w:t xml:space="preserve"> o któ</w:t>
      </w:r>
      <w:r w:rsidR="009A64AB" w:rsidRPr="006A22D3">
        <w:rPr>
          <w:noProof/>
        </w:rPr>
        <w:t>rych mowa</w:t>
      </w:r>
      <w:r w:rsidR="006A22D3" w:rsidRPr="006A22D3">
        <w:rPr>
          <w:noProof/>
        </w:rPr>
        <w:t xml:space="preserve"> w art</w:t>
      </w:r>
      <w:r w:rsidR="009A64AB" w:rsidRPr="006A22D3">
        <w:rPr>
          <w:noProof/>
        </w:rPr>
        <w:t>.</w:t>
      </w:r>
      <w:r w:rsidR="00192E90" w:rsidRPr="006A22D3">
        <w:rPr>
          <w:noProof/>
        </w:rPr>
        <w:t> </w:t>
      </w:r>
      <w:r w:rsidR="009A64AB" w:rsidRPr="006A22D3">
        <w:rPr>
          <w:noProof/>
        </w:rPr>
        <w:t>2 ust.</w:t>
      </w:r>
      <w:r w:rsidR="00192E90" w:rsidRPr="006A22D3">
        <w:rPr>
          <w:noProof/>
        </w:rPr>
        <w:t> </w:t>
      </w:r>
      <w:r w:rsidR="009A64AB" w:rsidRPr="006A22D3">
        <w:rPr>
          <w:noProof/>
        </w:rPr>
        <w:t>1 lit.</w:t>
      </w:r>
      <w:r w:rsidR="00192E90" w:rsidRPr="006A22D3">
        <w:rPr>
          <w:noProof/>
        </w:rPr>
        <w:t> </w:t>
      </w:r>
      <w:r w:rsidR="009A64AB" w:rsidRPr="006A22D3">
        <w:rPr>
          <w:noProof/>
        </w:rPr>
        <w:t>a)</w:t>
      </w:r>
      <w:r w:rsidR="006A22D3" w:rsidRPr="006A22D3">
        <w:rPr>
          <w:noProof/>
        </w:rPr>
        <w:t xml:space="preserve"> i art</w:t>
      </w:r>
      <w:r w:rsidR="009A64AB" w:rsidRPr="006A22D3">
        <w:rPr>
          <w:noProof/>
        </w:rPr>
        <w:t>.</w:t>
      </w:r>
      <w:r w:rsidR="00192E90" w:rsidRPr="006A22D3">
        <w:rPr>
          <w:noProof/>
        </w:rPr>
        <w:t> </w:t>
      </w:r>
      <w:r w:rsidR="009A64AB" w:rsidRPr="006A22D3">
        <w:rPr>
          <w:noProof/>
        </w:rPr>
        <w:t>2 ust.</w:t>
      </w:r>
      <w:r w:rsidR="00192E90" w:rsidRPr="006A22D3">
        <w:rPr>
          <w:noProof/>
        </w:rPr>
        <w:t> </w:t>
      </w:r>
      <w:r w:rsidR="009A64AB" w:rsidRPr="006A22D3">
        <w:rPr>
          <w:noProof/>
        </w:rPr>
        <w:t>2 lit.</w:t>
      </w:r>
      <w:r w:rsidR="00192E90" w:rsidRPr="006A22D3">
        <w:rPr>
          <w:noProof/>
        </w:rPr>
        <w:t> </w:t>
      </w:r>
      <w:r w:rsidR="009A64AB" w:rsidRPr="006A22D3">
        <w:rPr>
          <w:noProof/>
        </w:rPr>
        <w:t>a), przyjęły plan służący zapewnieniu, że model biznesowy</w:t>
      </w:r>
      <w:r w:rsidR="006A22D3" w:rsidRPr="006A22D3">
        <w:rPr>
          <w:noProof/>
        </w:rPr>
        <w:t xml:space="preserve"> i str</w:t>
      </w:r>
      <w:r w:rsidR="009A64AB" w:rsidRPr="006A22D3">
        <w:rPr>
          <w:noProof/>
        </w:rPr>
        <w:t>ategia przedsiębiorstwa są spójne</w:t>
      </w:r>
      <w:r w:rsidR="006A22D3" w:rsidRPr="006A22D3">
        <w:rPr>
          <w:noProof/>
        </w:rPr>
        <w:t xml:space="preserve"> z zał</w:t>
      </w:r>
      <w:r w:rsidR="009A64AB" w:rsidRPr="006A22D3">
        <w:rPr>
          <w:noProof/>
        </w:rPr>
        <w:t>ożeniami procesu przechodzenia na gospodarkę zrównoważoną oraz</w:t>
      </w:r>
      <w:r w:rsidR="006A22D3" w:rsidRPr="006A22D3">
        <w:rPr>
          <w:noProof/>
        </w:rPr>
        <w:t xml:space="preserve"> z cel</w:t>
      </w:r>
      <w:r w:rsidR="009A64AB" w:rsidRPr="006A22D3">
        <w:rPr>
          <w:noProof/>
        </w:rPr>
        <w:t>em polegającym na ograniczeniu globalnego ocieplenia do</w:t>
      </w:r>
      <w:r w:rsidR="00192E90" w:rsidRPr="006A22D3">
        <w:rPr>
          <w:noProof/>
        </w:rPr>
        <w:t> </w:t>
      </w:r>
      <w:r w:rsidR="009A64AB" w:rsidRPr="006A22D3">
        <w:rPr>
          <w:noProof/>
        </w:rPr>
        <w:t>1,5</w:t>
      </w:r>
      <w:r w:rsidR="00192E90" w:rsidRPr="006A22D3">
        <w:rPr>
          <w:noProof/>
        </w:rPr>
        <w:t> </w:t>
      </w:r>
      <w:r w:rsidR="009A64AB" w:rsidRPr="006A22D3">
        <w:rPr>
          <w:noProof/>
        </w:rPr>
        <w:t>°C zgodnie</w:t>
      </w:r>
      <w:r w:rsidR="006A22D3" w:rsidRPr="006A22D3">
        <w:rPr>
          <w:noProof/>
        </w:rPr>
        <w:t xml:space="preserve"> z pos</w:t>
      </w:r>
      <w:r w:rsidR="009A64AB" w:rsidRPr="006A22D3">
        <w:rPr>
          <w:noProof/>
        </w:rPr>
        <w:t>tanowieniami porozumienia paryskiego</w:t>
      </w:r>
      <w:r w:rsidR="006A22D3" w:rsidRPr="006A22D3">
        <w:rPr>
          <w:noProof/>
        </w:rPr>
        <w:t>. W tym</w:t>
      </w:r>
      <w:r w:rsidR="009A64AB" w:rsidRPr="006A22D3">
        <w:rPr>
          <w:noProof/>
        </w:rPr>
        <w:t xml:space="preserve"> planie należy przede wszystkim wskazać – na podstawie informacji, do których przedsiębiorstwo ma racjonalny dostęp –</w:t>
      </w:r>
      <w:r w:rsidR="006A22D3" w:rsidRPr="006A22D3">
        <w:rPr>
          <w:noProof/>
        </w:rPr>
        <w:t xml:space="preserve"> w jak</w:t>
      </w:r>
      <w:r w:rsidR="009A64AB" w:rsidRPr="006A22D3">
        <w:rPr>
          <w:noProof/>
        </w:rPr>
        <w:t>im stopniu zmiana klimatu stanowi ryzyko związane</w:t>
      </w:r>
      <w:r w:rsidR="006A22D3" w:rsidRPr="006A22D3">
        <w:rPr>
          <w:noProof/>
        </w:rPr>
        <w:t xml:space="preserve"> z dzi</w:t>
      </w:r>
      <w:r w:rsidR="009A64AB" w:rsidRPr="006A22D3">
        <w:rPr>
          <w:noProof/>
        </w:rPr>
        <w:t>ałalnością przedsiębiorstwa lub obszar, na który ma ona wpływ.</w:t>
      </w:r>
    </w:p>
    <w:p w:rsidR="00563A53" w:rsidRPr="006A22D3" w:rsidRDefault="00D91F29" w:rsidP="00D91F29">
      <w:pPr>
        <w:pStyle w:val="ManualNumPar1"/>
        <w:rPr>
          <w:noProof/>
        </w:rPr>
      </w:pPr>
      <w:r w:rsidRPr="00D91F29">
        <w:t>2.</w:t>
      </w:r>
      <w:r w:rsidRPr="00D91F29">
        <w:tab/>
      </w:r>
      <w:r w:rsidR="009A64AB" w:rsidRPr="006A22D3">
        <w:rPr>
          <w:noProof/>
        </w:rPr>
        <w:t>Państwa członkowskie zapewniają, aby</w:t>
      </w:r>
      <w:r w:rsidR="006A22D3" w:rsidRPr="006A22D3">
        <w:rPr>
          <w:noProof/>
        </w:rPr>
        <w:t xml:space="preserve"> w prz</w:t>
      </w:r>
      <w:r w:rsidR="009A64AB" w:rsidRPr="006A22D3">
        <w:rPr>
          <w:noProof/>
        </w:rPr>
        <w:t>ypadku gdy zmiana klimatu jest lub powinna być uznawana za główne ryzyko związane</w:t>
      </w:r>
      <w:r w:rsidR="006A22D3" w:rsidRPr="006A22D3">
        <w:rPr>
          <w:noProof/>
        </w:rPr>
        <w:t xml:space="preserve"> z dzi</w:t>
      </w:r>
      <w:r w:rsidR="009A64AB" w:rsidRPr="006A22D3">
        <w:rPr>
          <w:noProof/>
        </w:rPr>
        <w:t>ałalnością przedsiębiorstwa lub obszar, na który działalność ta ma główny wpływ, przedsiębiorstwo włącza do swojego planu cele redukcji emisji.</w:t>
      </w:r>
    </w:p>
    <w:p w:rsidR="009A64AB" w:rsidRPr="006A22D3" w:rsidDel="00CD0104" w:rsidRDefault="00D91F29" w:rsidP="00D91F29">
      <w:pPr>
        <w:pStyle w:val="ManualNumPar1"/>
        <w:rPr>
          <w:noProof/>
        </w:rPr>
      </w:pPr>
      <w:r w:rsidRPr="00D91F29">
        <w:t>3.</w:t>
      </w:r>
      <w:r w:rsidRPr="00D91F29">
        <w:tab/>
      </w:r>
      <w:r w:rsidR="009A64AB" w:rsidRPr="006A22D3">
        <w:rPr>
          <w:noProof/>
        </w:rPr>
        <w:t>Państwa członkowskie zapewniają, aby przedsiębiorstwa należycie uwzględniały wywiązanie się</w:t>
      </w:r>
      <w:r w:rsidR="006A22D3" w:rsidRPr="006A22D3">
        <w:rPr>
          <w:noProof/>
        </w:rPr>
        <w:t xml:space="preserve"> z obo</w:t>
      </w:r>
      <w:r w:rsidR="009A64AB" w:rsidRPr="006A22D3">
        <w:rPr>
          <w:noProof/>
        </w:rPr>
        <w:t>wiązków,</w:t>
      </w:r>
      <w:r w:rsidR="006A22D3" w:rsidRPr="006A22D3">
        <w:rPr>
          <w:noProof/>
        </w:rPr>
        <w:t xml:space="preserve"> o któ</w:t>
      </w:r>
      <w:r w:rsidR="009A64AB" w:rsidRPr="006A22D3">
        <w:rPr>
          <w:noProof/>
        </w:rPr>
        <w:t>rych mowa</w:t>
      </w:r>
      <w:r w:rsidR="006A22D3" w:rsidRPr="006A22D3">
        <w:rPr>
          <w:noProof/>
        </w:rPr>
        <w:t xml:space="preserve"> w ust</w:t>
      </w:r>
      <w:r w:rsidR="009A64AB" w:rsidRPr="006A22D3">
        <w:rPr>
          <w:noProof/>
        </w:rPr>
        <w:t>.</w:t>
      </w:r>
      <w:r w:rsidR="00192E90" w:rsidRPr="006A22D3">
        <w:rPr>
          <w:noProof/>
        </w:rPr>
        <w:t> </w:t>
      </w:r>
      <w:r w:rsidR="009A64AB" w:rsidRPr="006A22D3">
        <w:rPr>
          <w:noProof/>
        </w:rPr>
        <w:t>1</w:t>
      </w:r>
      <w:r w:rsidR="006A22D3" w:rsidRPr="006A22D3">
        <w:rPr>
          <w:noProof/>
        </w:rPr>
        <w:t xml:space="preserve"> i 2</w:t>
      </w:r>
      <w:r w:rsidR="009A64AB" w:rsidRPr="006A22D3">
        <w:rPr>
          <w:noProof/>
        </w:rPr>
        <w:t>, przy ustalaniu wynagrodzenia zmiennego, jeśli wynagrodzenie zmienne jest powiązane</w:t>
      </w:r>
      <w:r w:rsidR="006A22D3" w:rsidRPr="006A22D3">
        <w:rPr>
          <w:noProof/>
        </w:rPr>
        <w:t xml:space="preserve"> z wkł</w:t>
      </w:r>
      <w:r w:rsidR="009A64AB" w:rsidRPr="006A22D3">
        <w:rPr>
          <w:noProof/>
        </w:rPr>
        <w:t>adem dyrektora</w:t>
      </w:r>
      <w:r w:rsidR="006A22D3" w:rsidRPr="006A22D3">
        <w:rPr>
          <w:noProof/>
        </w:rPr>
        <w:t xml:space="preserve"> w rea</w:t>
      </w:r>
      <w:r w:rsidR="009A64AB" w:rsidRPr="006A22D3">
        <w:rPr>
          <w:noProof/>
        </w:rPr>
        <w:t>lizację strategii biznesowej przedsiębiorstwa oraz jego długoterminowych interesów</w:t>
      </w:r>
      <w:r w:rsidR="006A22D3" w:rsidRPr="006A22D3">
        <w:rPr>
          <w:noProof/>
        </w:rPr>
        <w:t xml:space="preserve"> i zró</w:t>
      </w:r>
      <w:r w:rsidR="009A64AB" w:rsidRPr="006A22D3">
        <w:rPr>
          <w:noProof/>
        </w:rPr>
        <w:t>wnoważonego rozwoju.</w:t>
      </w:r>
    </w:p>
    <w:p w:rsidR="00BC6E3D" w:rsidRPr="006A22D3" w:rsidRDefault="00BC6E3D" w:rsidP="00DA7CC6">
      <w:pPr>
        <w:pStyle w:val="Titrearticle"/>
        <w:rPr>
          <w:i w:val="0"/>
          <w:noProof/>
        </w:rPr>
      </w:pPr>
      <w:r w:rsidRPr="006A22D3">
        <w:rPr>
          <w:noProof/>
        </w:rPr>
        <w:t>Artykuł 16</w:t>
      </w:r>
    </w:p>
    <w:p w:rsidR="00BC6E3D" w:rsidRPr="006A22D3" w:rsidRDefault="00BC6E3D" w:rsidP="00DA7CC6">
      <w:pPr>
        <w:pStyle w:val="Articletitle"/>
        <w:rPr>
          <w:b w:val="0"/>
          <w:bCs w:val="0"/>
          <w:noProof/>
        </w:rPr>
      </w:pPr>
      <w:r w:rsidRPr="006A22D3">
        <w:rPr>
          <w:noProof/>
        </w:rPr>
        <w:t>Upoważniony przedstawiciel</w:t>
      </w:r>
    </w:p>
    <w:p w:rsidR="00BC6E3D" w:rsidRPr="006A22D3" w:rsidRDefault="00D91F29" w:rsidP="00D91F29">
      <w:pPr>
        <w:pStyle w:val="ManualNumPar1"/>
        <w:rPr>
          <w:noProof/>
        </w:rPr>
      </w:pPr>
      <w:r w:rsidRPr="00D91F29">
        <w:t>1.</w:t>
      </w:r>
      <w:r w:rsidRPr="00D91F29">
        <w:tab/>
      </w:r>
      <w:r w:rsidR="00BC6E3D" w:rsidRPr="006A22D3">
        <w:rPr>
          <w:noProof/>
        </w:rPr>
        <w:t>Państwa członkowskie zapewniają, aby każde przedsiębiorstwo,</w:t>
      </w:r>
      <w:r w:rsidR="006A22D3" w:rsidRPr="006A22D3">
        <w:rPr>
          <w:noProof/>
        </w:rPr>
        <w:t xml:space="preserve"> o któ</w:t>
      </w:r>
      <w:r w:rsidR="00BC6E3D" w:rsidRPr="006A22D3">
        <w:rPr>
          <w:noProof/>
        </w:rPr>
        <w:t>rym mowa</w:t>
      </w:r>
      <w:r w:rsidR="006A22D3" w:rsidRPr="006A22D3">
        <w:rPr>
          <w:noProof/>
        </w:rPr>
        <w:t xml:space="preserve"> w art</w:t>
      </w:r>
      <w:r w:rsidR="00BC6E3D" w:rsidRPr="006A22D3">
        <w:rPr>
          <w:noProof/>
        </w:rPr>
        <w:t>.</w:t>
      </w:r>
      <w:r w:rsidR="00192E90" w:rsidRPr="006A22D3">
        <w:rPr>
          <w:noProof/>
        </w:rPr>
        <w:t> </w:t>
      </w:r>
      <w:r w:rsidR="00BC6E3D" w:rsidRPr="006A22D3">
        <w:rPr>
          <w:noProof/>
        </w:rPr>
        <w:t>2 ust.</w:t>
      </w:r>
      <w:r w:rsidR="00192E90" w:rsidRPr="006A22D3">
        <w:rPr>
          <w:noProof/>
        </w:rPr>
        <w:t> </w:t>
      </w:r>
      <w:r w:rsidR="00BC6E3D" w:rsidRPr="006A22D3">
        <w:rPr>
          <w:noProof/>
        </w:rPr>
        <w:t>2, wyznaczyło osobę prawną lub fizyczną na swojego upoważnionego przedstawiciela,</w:t>
      </w:r>
      <w:r w:rsidR="006A22D3" w:rsidRPr="006A22D3">
        <w:rPr>
          <w:noProof/>
        </w:rPr>
        <w:t xml:space="preserve"> z sie</w:t>
      </w:r>
      <w:r w:rsidR="00BC6E3D" w:rsidRPr="006A22D3">
        <w:rPr>
          <w:noProof/>
        </w:rPr>
        <w:t>dzibą lub miejscem zamieszkania</w:t>
      </w:r>
      <w:r w:rsidR="006A22D3" w:rsidRPr="006A22D3">
        <w:rPr>
          <w:noProof/>
        </w:rPr>
        <w:t xml:space="preserve"> w jed</w:t>
      </w:r>
      <w:r w:rsidR="00BC6E3D" w:rsidRPr="006A22D3">
        <w:rPr>
          <w:noProof/>
        </w:rPr>
        <w:t>nym</w:t>
      </w:r>
      <w:r w:rsidR="006A22D3" w:rsidRPr="006A22D3">
        <w:rPr>
          <w:noProof/>
        </w:rPr>
        <w:t xml:space="preserve"> z pań</w:t>
      </w:r>
      <w:r w:rsidR="00BC6E3D" w:rsidRPr="006A22D3">
        <w:rPr>
          <w:noProof/>
        </w:rPr>
        <w:t>stw członkowskich,</w:t>
      </w:r>
      <w:r w:rsidR="006A22D3" w:rsidRPr="006A22D3">
        <w:rPr>
          <w:noProof/>
        </w:rPr>
        <w:t xml:space="preserve"> w któ</w:t>
      </w:r>
      <w:r w:rsidR="00BC6E3D" w:rsidRPr="006A22D3">
        <w:rPr>
          <w:noProof/>
        </w:rPr>
        <w:t>rych przedsiębiorstwo to prowadzi swoją działalność. Wyznaczenie jest ważne po jego potwierdzeniu poprzez akceptację ze strony upoważnionego przedstawiciela.</w:t>
      </w:r>
    </w:p>
    <w:p w:rsidR="00BC6E3D" w:rsidRPr="006A22D3" w:rsidRDefault="00D91F29" w:rsidP="00D91F29">
      <w:pPr>
        <w:pStyle w:val="ManualNumPar1"/>
        <w:rPr>
          <w:noProof/>
        </w:rPr>
      </w:pPr>
      <w:r w:rsidRPr="00D91F29">
        <w:t>2.</w:t>
      </w:r>
      <w:r w:rsidRPr="00D91F29">
        <w:tab/>
      </w:r>
      <w:r w:rsidR="00BC6E3D" w:rsidRPr="006A22D3">
        <w:rPr>
          <w:noProof/>
        </w:rPr>
        <w:t>Państwa członkowskie zapewniają, aby nazwę lub imię</w:t>
      </w:r>
      <w:r w:rsidR="006A22D3" w:rsidRPr="006A22D3">
        <w:rPr>
          <w:noProof/>
        </w:rPr>
        <w:t xml:space="preserve"> i naz</w:t>
      </w:r>
      <w:r w:rsidR="00BC6E3D" w:rsidRPr="006A22D3">
        <w:rPr>
          <w:noProof/>
        </w:rPr>
        <w:t>wisko, adres, adres poczty elektronicznej</w:t>
      </w:r>
      <w:r w:rsidR="006A22D3" w:rsidRPr="006A22D3">
        <w:rPr>
          <w:noProof/>
        </w:rPr>
        <w:t xml:space="preserve"> i num</w:t>
      </w:r>
      <w:r w:rsidR="00BC6E3D" w:rsidRPr="006A22D3">
        <w:rPr>
          <w:noProof/>
        </w:rPr>
        <w:t>er telefonu upoważnionego przedstawiciela przekazano organowi nadzorczemu</w:t>
      </w:r>
      <w:r w:rsidR="006A22D3" w:rsidRPr="006A22D3">
        <w:rPr>
          <w:noProof/>
        </w:rPr>
        <w:t xml:space="preserve"> w pań</w:t>
      </w:r>
      <w:r w:rsidR="00BC6E3D" w:rsidRPr="006A22D3">
        <w:rPr>
          <w:noProof/>
        </w:rPr>
        <w:t>stwie członkowskim,</w:t>
      </w:r>
      <w:r w:rsidR="006A22D3" w:rsidRPr="006A22D3">
        <w:rPr>
          <w:noProof/>
        </w:rPr>
        <w:t xml:space="preserve"> w któ</w:t>
      </w:r>
      <w:r w:rsidR="00BC6E3D" w:rsidRPr="006A22D3">
        <w:rPr>
          <w:noProof/>
        </w:rPr>
        <w:t>rym dany upoważniony przedstawiciel ma miejsce zamieszkania lub siedzibę. Państwa członkowskie zapewniają, aby upoważniony przedstawiciel był zobowiązany do przedstawienia, na wniosek, egzemplarza dokumentu potwierdzającego wyznaczenie</w:t>
      </w:r>
      <w:r w:rsidR="006A22D3" w:rsidRPr="006A22D3">
        <w:rPr>
          <w:noProof/>
        </w:rPr>
        <w:t xml:space="preserve"> w jęz</w:t>
      </w:r>
      <w:r w:rsidR="00BC6E3D" w:rsidRPr="006A22D3">
        <w:rPr>
          <w:noProof/>
        </w:rPr>
        <w:t>yku urzędowym danego państwa członkowskiego dowolnemu organowi nadzorczemu.</w:t>
      </w:r>
    </w:p>
    <w:p w:rsidR="00BC6E3D" w:rsidRPr="006A22D3" w:rsidRDefault="00D91F29" w:rsidP="00D91F29">
      <w:pPr>
        <w:pStyle w:val="ManualNumPar1"/>
        <w:rPr>
          <w:noProof/>
        </w:rPr>
      </w:pPr>
      <w:r w:rsidRPr="00D91F29">
        <w:t>3.</w:t>
      </w:r>
      <w:r w:rsidRPr="00D91F29">
        <w:tab/>
      </w:r>
      <w:r w:rsidR="00BC6E3D" w:rsidRPr="006A22D3">
        <w:rPr>
          <w:noProof/>
        </w:rPr>
        <w:t>Państwa członkowskie zapewniają, aby informację</w:t>
      </w:r>
      <w:r w:rsidR="006A22D3" w:rsidRPr="006A22D3">
        <w:rPr>
          <w:noProof/>
        </w:rPr>
        <w:t xml:space="preserve"> o tym</w:t>
      </w:r>
      <w:r w:rsidR="00BC6E3D" w:rsidRPr="006A22D3">
        <w:rPr>
          <w:noProof/>
        </w:rPr>
        <w:t>, że dane przedsiębiorstwo jest przedsiębiorstwem</w:t>
      </w:r>
      <w:r w:rsidR="006A22D3" w:rsidRPr="006A22D3">
        <w:rPr>
          <w:noProof/>
        </w:rPr>
        <w:t xml:space="preserve"> w roz</w:t>
      </w:r>
      <w:r w:rsidR="00BC6E3D" w:rsidRPr="006A22D3">
        <w:rPr>
          <w:noProof/>
        </w:rPr>
        <w:t>umieniu art.</w:t>
      </w:r>
      <w:r w:rsidR="00192E90" w:rsidRPr="006A22D3">
        <w:rPr>
          <w:noProof/>
        </w:rPr>
        <w:t> </w:t>
      </w:r>
      <w:r w:rsidR="00BC6E3D" w:rsidRPr="006A22D3">
        <w:rPr>
          <w:noProof/>
        </w:rPr>
        <w:t>2 ust.</w:t>
      </w:r>
      <w:r w:rsidR="00192E90" w:rsidRPr="006A22D3">
        <w:rPr>
          <w:noProof/>
        </w:rPr>
        <w:t> </w:t>
      </w:r>
      <w:r w:rsidR="00BC6E3D" w:rsidRPr="006A22D3">
        <w:rPr>
          <w:noProof/>
        </w:rPr>
        <w:t>2, przekazano organowi nadzorczemu</w:t>
      </w:r>
      <w:r w:rsidR="006A22D3" w:rsidRPr="006A22D3">
        <w:rPr>
          <w:noProof/>
        </w:rPr>
        <w:t xml:space="preserve"> w pań</w:t>
      </w:r>
      <w:r w:rsidR="00BC6E3D" w:rsidRPr="006A22D3">
        <w:rPr>
          <w:noProof/>
        </w:rPr>
        <w:t>stwie członkowskim,</w:t>
      </w:r>
      <w:r w:rsidR="006A22D3" w:rsidRPr="006A22D3">
        <w:rPr>
          <w:noProof/>
        </w:rPr>
        <w:t xml:space="preserve"> w któ</w:t>
      </w:r>
      <w:r w:rsidR="00BC6E3D" w:rsidRPr="006A22D3">
        <w:rPr>
          <w:noProof/>
        </w:rPr>
        <w:t>rym upoważniony przedstawiciel ma miejsce zamieszkania lub siedzibę, oraz, gdy jest to inny organ, organowi nadzorczemu</w:t>
      </w:r>
      <w:r w:rsidR="006A22D3" w:rsidRPr="006A22D3">
        <w:rPr>
          <w:noProof/>
        </w:rPr>
        <w:t xml:space="preserve"> w pań</w:t>
      </w:r>
      <w:r w:rsidR="00BC6E3D" w:rsidRPr="006A22D3">
        <w:rPr>
          <w:noProof/>
        </w:rPr>
        <w:t>stwie członkowskim,</w:t>
      </w:r>
      <w:r w:rsidR="006A22D3" w:rsidRPr="006A22D3">
        <w:rPr>
          <w:noProof/>
        </w:rPr>
        <w:t xml:space="preserve"> w któ</w:t>
      </w:r>
      <w:r w:rsidR="00BC6E3D" w:rsidRPr="006A22D3">
        <w:rPr>
          <w:noProof/>
        </w:rPr>
        <w:t>rym przedsiębiorstwo osiągnęło największą część przychodów netto ze sprzedaży</w:t>
      </w:r>
      <w:r w:rsidR="006A22D3" w:rsidRPr="006A22D3">
        <w:rPr>
          <w:noProof/>
        </w:rPr>
        <w:t xml:space="preserve"> w Uni</w:t>
      </w:r>
      <w:r w:rsidR="00BC6E3D" w:rsidRPr="006A22D3">
        <w:rPr>
          <w:noProof/>
        </w:rPr>
        <w:t>i</w:t>
      </w:r>
      <w:r w:rsidR="006A22D3" w:rsidRPr="006A22D3">
        <w:rPr>
          <w:noProof/>
        </w:rPr>
        <w:t xml:space="preserve"> w rok</w:t>
      </w:r>
      <w:r w:rsidR="00BC6E3D" w:rsidRPr="006A22D3">
        <w:rPr>
          <w:noProof/>
        </w:rPr>
        <w:t xml:space="preserve">u obrotowym poprzedzającym ostatni rok obrotowy. </w:t>
      </w:r>
    </w:p>
    <w:p w:rsidR="00607B0D" w:rsidRPr="006A22D3" w:rsidRDefault="00D91F29" w:rsidP="00D91F29">
      <w:pPr>
        <w:pStyle w:val="ManualNumPar1"/>
        <w:rPr>
          <w:noProof/>
        </w:rPr>
      </w:pPr>
      <w:r w:rsidRPr="00D91F29">
        <w:t>4.</w:t>
      </w:r>
      <w:r w:rsidRPr="00D91F29">
        <w:tab/>
      </w:r>
      <w:r w:rsidR="00BC6E3D" w:rsidRPr="006A22D3">
        <w:rPr>
          <w:noProof/>
        </w:rPr>
        <w:t>Państwa członkowskie zapewniają, aby każde przedsiębiorstwo upoważniło swojego upoważnionego przedstawiciela do otrzymywania od organów nadzorczych wiadomości dotyczących wszystkich kwestii niezbędnych do przestrzegania</w:t>
      </w:r>
      <w:r w:rsidR="006A22D3" w:rsidRPr="006A22D3">
        <w:rPr>
          <w:noProof/>
        </w:rPr>
        <w:t xml:space="preserve"> i egz</w:t>
      </w:r>
      <w:r w:rsidR="00BC6E3D" w:rsidRPr="006A22D3">
        <w:rPr>
          <w:noProof/>
        </w:rPr>
        <w:t>ekwowania przepisów krajowych transponujących niniejszą dyrektywę. Przedsiębiorstwa są zobowiązane do przekazania swojemu upoważnionemu przedstawicielowi uprawnień</w:t>
      </w:r>
      <w:r w:rsidR="006A22D3" w:rsidRPr="006A22D3">
        <w:rPr>
          <w:noProof/>
        </w:rPr>
        <w:t xml:space="preserve"> i zas</w:t>
      </w:r>
      <w:r w:rsidR="00BC6E3D" w:rsidRPr="006A22D3">
        <w:rPr>
          <w:noProof/>
        </w:rPr>
        <w:t>obów niezbędnych przy współpracy</w:t>
      </w:r>
      <w:r w:rsidR="006A22D3" w:rsidRPr="006A22D3">
        <w:rPr>
          <w:noProof/>
        </w:rPr>
        <w:t xml:space="preserve"> z org</w:t>
      </w:r>
      <w:r w:rsidR="00BC6E3D" w:rsidRPr="006A22D3">
        <w:rPr>
          <w:noProof/>
        </w:rPr>
        <w:t xml:space="preserve">anami nadzorczymi. </w:t>
      </w:r>
    </w:p>
    <w:p w:rsidR="00BC6E3D" w:rsidRPr="006A22D3" w:rsidRDefault="00BC6E3D" w:rsidP="00F452CF">
      <w:pPr>
        <w:pStyle w:val="Titrearticle"/>
        <w:rPr>
          <w:i w:val="0"/>
          <w:noProof/>
        </w:rPr>
      </w:pPr>
      <w:r w:rsidRPr="006A22D3">
        <w:rPr>
          <w:noProof/>
        </w:rPr>
        <w:t>Artykuł 17</w:t>
      </w:r>
    </w:p>
    <w:p w:rsidR="00BC6E3D" w:rsidRPr="006A22D3" w:rsidRDefault="00BC6E3D" w:rsidP="00F452CF">
      <w:pPr>
        <w:pStyle w:val="Articletitle"/>
        <w:rPr>
          <w:b w:val="0"/>
          <w:bCs w:val="0"/>
          <w:noProof/>
        </w:rPr>
      </w:pPr>
      <w:r w:rsidRPr="006A22D3">
        <w:rPr>
          <w:noProof/>
        </w:rPr>
        <w:t>Organy nadzorcze</w:t>
      </w:r>
    </w:p>
    <w:p w:rsidR="00C07B49" w:rsidRPr="006A22D3" w:rsidRDefault="00D91F29" w:rsidP="00D91F29">
      <w:pPr>
        <w:pStyle w:val="ManualNumPar1"/>
        <w:rPr>
          <w:noProof/>
        </w:rPr>
      </w:pPr>
      <w:r w:rsidRPr="00D91F29">
        <w:t>1.</w:t>
      </w:r>
      <w:r w:rsidRPr="00D91F29">
        <w:tab/>
      </w:r>
      <w:r w:rsidR="00C07B49" w:rsidRPr="006A22D3">
        <w:rPr>
          <w:noProof/>
        </w:rPr>
        <w:t>Każde państwo członkowskie wyznacza co najmniej jeden organ nadzorczy do celów nadzorowania przestrzegania obowiązków określonych</w:t>
      </w:r>
      <w:r w:rsidR="006A22D3" w:rsidRPr="006A22D3">
        <w:rPr>
          <w:noProof/>
        </w:rPr>
        <w:t xml:space="preserve"> w prz</w:t>
      </w:r>
      <w:r w:rsidR="00C07B49" w:rsidRPr="006A22D3">
        <w:rPr>
          <w:noProof/>
        </w:rPr>
        <w:t>episach krajowych przyjętych na podstawie art.</w:t>
      </w:r>
      <w:r w:rsidR="00192E90" w:rsidRPr="006A22D3">
        <w:rPr>
          <w:noProof/>
        </w:rPr>
        <w:t> </w:t>
      </w:r>
      <w:r w:rsidR="00C07B49" w:rsidRPr="006A22D3">
        <w:rPr>
          <w:noProof/>
        </w:rPr>
        <w:t>6–11</w:t>
      </w:r>
      <w:r w:rsidR="006A22D3" w:rsidRPr="006A22D3">
        <w:rPr>
          <w:noProof/>
        </w:rPr>
        <w:t xml:space="preserve"> i art</w:t>
      </w:r>
      <w:r w:rsidR="00C07B49" w:rsidRPr="006A22D3">
        <w:rPr>
          <w:noProof/>
        </w:rPr>
        <w:t>.</w:t>
      </w:r>
      <w:r w:rsidR="00192E90" w:rsidRPr="006A22D3">
        <w:rPr>
          <w:noProof/>
        </w:rPr>
        <w:t> </w:t>
      </w:r>
      <w:r w:rsidR="00C07B49" w:rsidRPr="006A22D3">
        <w:rPr>
          <w:noProof/>
        </w:rPr>
        <w:t>15 ust.</w:t>
      </w:r>
      <w:r w:rsidR="00192E90" w:rsidRPr="006A22D3">
        <w:rPr>
          <w:noProof/>
        </w:rPr>
        <w:t> </w:t>
      </w:r>
      <w:r w:rsidR="00C07B49" w:rsidRPr="006A22D3">
        <w:rPr>
          <w:noProof/>
        </w:rPr>
        <w:t>1</w:t>
      </w:r>
      <w:r w:rsidR="006A22D3" w:rsidRPr="006A22D3">
        <w:rPr>
          <w:noProof/>
        </w:rPr>
        <w:t xml:space="preserve"> i 2</w:t>
      </w:r>
      <w:r w:rsidR="00C07B49" w:rsidRPr="006A22D3">
        <w:rPr>
          <w:noProof/>
        </w:rPr>
        <w:t xml:space="preserve"> („organ nadzorczy”). </w:t>
      </w:r>
    </w:p>
    <w:p w:rsidR="00BC6E3D" w:rsidRPr="006A22D3" w:rsidRDefault="00D91F29" w:rsidP="00D91F29">
      <w:pPr>
        <w:pStyle w:val="ManualNumPar1"/>
        <w:rPr>
          <w:noProof/>
        </w:rPr>
      </w:pPr>
      <w:r w:rsidRPr="00D91F29">
        <w:t>2.</w:t>
      </w:r>
      <w:r w:rsidRPr="00D91F29">
        <w:tab/>
      </w:r>
      <w:r w:rsidR="00BC6E3D" w:rsidRPr="006A22D3">
        <w:rPr>
          <w:noProof/>
        </w:rPr>
        <w:t>Jeżeli chodzi</w:t>
      </w:r>
      <w:r w:rsidR="006A22D3" w:rsidRPr="006A22D3">
        <w:rPr>
          <w:noProof/>
        </w:rPr>
        <w:t xml:space="preserve"> o prz</w:t>
      </w:r>
      <w:r w:rsidR="00BC6E3D" w:rsidRPr="006A22D3">
        <w:rPr>
          <w:noProof/>
        </w:rPr>
        <w:t>edsiębiorstwa,</w:t>
      </w:r>
      <w:r w:rsidR="006A22D3" w:rsidRPr="006A22D3">
        <w:rPr>
          <w:noProof/>
        </w:rPr>
        <w:t xml:space="preserve"> o któ</w:t>
      </w:r>
      <w:r w:rsidR="00BC6E3D" w:rsidRPr="006A22D3">
        <w:rPr>
          <w:noProof/>
        </w:rPr>
        <w:t>rych mowa</w:t>
      </w:r>
      <w:r w:rsidR="006A22D3" w:rsidRPr="006A22D3">
        <w:rPr>
          <w:noProof/>
        </w:rPr>
        <w:t xml:space="preserve"> w art</w:t>
      </w:r>
      <w:r w:rsidR="00BC6E3D" w:rsidRPr="006A22D3">
        <w:rPr>
          <w:noProof/>
        </w:rPr>
        <w:t>.</w:t>
      </w:r>
      <w:r w:rsidR="00192E90" w:rsidRPr="006A22D3">
        <w:rPr>
          <w:noProof/>
        </w:rPr>
        <w:t> </w:t>
      </w:r>
      <w:r w:rsidR="00BC6E3D" w:rsidRPr="006A22D3">
        <w:rPr>
          <w:noProof/>
        </w:rPr>
        <w:t>2 ust.</w:t>
      </w:r>
      <w:r w:rsidR="00192E90" w:rsidRPr="006A22D3">
        <w:rPr>
          <w:noProof/>
        </w:rPr>
        <w:t> </w:t>
      </w:r>
      <w:r w:rsidR="00BC6E3D" w:rsidRPr="006A22D3">
        <w:rPr>
          <w:noProof/>
        </w:rPr>
        <w:t>1, właściwym organem nadzorczym jest organ nadzorczy państwa członkowskiego,</w:t>
      </w:r>
      <w:r w:rsidR="006A22D3" w:rsidRPr="006A22D3">
        <w:rPr>
          <w:noProof/>
        </w:rPr>
        <w:t xml:space="preserve"> w któ</w:t>
      </w:r>
      <w:r w:rsidR="00BC6E3D" w:rsidRPr="006A22D3">
        <w:rPr>
          <w:noProof/>
        </w:rPr>
        <w:t xml:space="preserve">rym przedsiębiorstwo ma siedzibę statutową. </w:t>
      </w:r>
    </w:p>
    <w:p w:rsidR="00BC6E3D" w:rsidRPr="006A22D3" w:rsidRDefault="00D91F29" w:rsidP="00D91F29">
      <w:pPr>
        <w:pStyle w:val="ManualNumPar1"/>
        <w:rPr>
          <w:noProof/>
        </w:rPr>
      </w:pPr>
      <w:r w:rsidRPr="00D91F29">
        <w:t>3.</w:t>
      </w:r>
      <w:r w:rsidRPr="00D91F29">
        <w:tab/>
      </w:r>
      <w:r w:rsidR="00BC6E3D" w:rsidRPr="006A22D3">
        <w:rPr>
          <w:noProof/>
        </w:rPr>
        <w:t>Jeżeli chodzi</w:t>
      </w:r>
      <w:r w:rsidR="006A22D3" w:rsidRPr="006A22D3">
        <w:rPr>
          <w:noProof/>
        </w:rPr>
        <w:t xml:space="preserve"> o prz</w:t>
      </w:r>
      <w:r w:rsidR="00BC6E3D" w:rsidRPr="006A22D3">
        <w:rPr>
          <w:noProof/>
        </w:rPr>
        <w:t>edsiębiorstwa,</w:t>
      </w:r>
      <w:r w:rsidR="006A22D3" w:rsidRPr="006A22D3">
        <w:rPr>
          <w:noProof/>
        </w:rPr>
        <w:t xml:space="preserve"> o któ</w:t>
      </w:r>
      <w:r w:rsidR="00BC6E3D" w:rsidRPr="006A22D3">
        <w:rPr>
          <w:noProof/>
        </w:rPr>
        <w:t>rych mowa</w:t>
      </w:r>
      <w:r w:rsidR="006A22D3" w:rsidRPr="006A22D3">
        <w:rPr>
          <w:noProof/>
        </w:rPr>
        <w:t xml:space="preserve"> w art</w:t>
      </w:r>
      <w:r w:rsidR="00BC6E3D" w:rsidRPr="006A22D3">
        <w:rPr>
          <w:noProof/>
        </w:rPr>
        <w:t>.</w:t>
      </w:r>
      <w:r w:rsidR="00192E90" w:rsidRPr="006A22D3">
        <w:rPr>
          <w:noProof/>
        </w:rPr>
        <w:t> </w:t>
      </w:r>
      <w:r w:rsidR="00BC6E3D" w:rsidRPr="006A22D3">
        <w:rPr>
          <w:noProof/>
        </w:rPr>
        <w:t>2 ust.</w:t>
      </w:r>
      <w:r w:rsidR="00192E90" w:rsidRPr="006A22D3">
        <w:rPr>
          <w:noProof/>
        </w:rPr>
        <w:t> </w:t>
      </w:r>
      <w:r w:rsidR="00BC6E3D" w:rsidRPr="006A22D3">
        <w:rPr>
          <w:noProof/>
        </w:rPr>
        <w:t>2, właściwym organem nadzorczym jest organ nadzorczy państwa członkowskiego,</w:t>
      </w:r>
      <w:r w:rsidR="006A22D3" w:rsidRPr="006A22D3">
        <w:rPr>
          <w:noProof/>
        </w:rPr>
        <w:t xml:space="preserve"> w któ</w:t>
      </w:r>
      <w:r w:rsidR="00BC6E3D" w:rsidRPr="006A22D3">
        <w:rPr>
          <w:noProof/>
        </w:rPr>
        <w:t>rym przedsiębiorstwo ma oddział. Jeżeli dane przedsiębiorstwo nie ma oddziału</w:t>
      </w:r>
      <w:r w:rsidR="006A22D3" w:rsidRPr="006A22D3">
        <w:rPr>
          <w:noProof/>
        </w:rPr>
        <w:t xml:space="preserve"> w żad</w:t>
      </w:r>
      <w:r w:rsidR="00BC6E3D" w:rsidRPr="006A22D3">
        <w:rPr>
          <w:noProof/>
        </w:rPr>
        <w:t>nym państwie członkowskim lub ma oddziały znajdujące się</w:t>
      </w:r>
      <w:r w:rsidR="006A22D3" w:rsidRPr="006A22D3">
        <w:rPr>
          <w:noProof/>
        </w:rPr>
        <w:t xml:space="preserve"> w inn</w:t>
      </w:r>
      <w:r w:rsidR="00BC6E3D" w:rsidRPr="006A22D3">
        <w:rPr>
          <w:noProof/>
        </w:rPr>
        <w:t>ych państwach członkowskich, właściwym organem nadzorczym jest organ nadzorczy</w:t>
      </w:r>
      <w:r w:rsidR="006A22D3" w:rsidRPr="006A22D3">
        <w:rPr>
          <w:noProof/>
        </w:rPr>
        <w:t xml:space="preserve"> w pań</w:t>
      </w:r>
      <w:r w:rsidR="00BC6E3D" w:rsidRPr="006A22D3">
        <w:rPr>
          <w:noProof/>
        </w:rPr>
        <w:t>stwie członkowskim,</w:t>
      </w:r>
      <w:r w:rsidR="006A22D3" w:rsidRPr="006A22D3">
        <w:rPr>
          <w:noProof/>
        </w:rPr>
        <w:t xml:space="preserve"> w któ</w:t>
      </w:r>
      <w:r w:rsidR="00BC6E3D" w:rsidRPr="006A22D3">
        <w:rPr>
          <w:noProof/>
        </w:rPr>
        <w:t>rym przedsiębiorstwo to osiągnęło największą część przychodów netto ze sprzedaży</w:t>
      </w:r>
      <w:r w:rsidR="006A22D3" w:rsidRPr="006A22D3">
        <w:rPr>
          <w:noProof/>
        </w:rPr>
        <w:t xml:space="preserve"> w Uni</w:t>
      </w:r>
      <w:r w:rsidR="00BC6E3D" w:rsidRPr="006A22D3">
        <w:rPr>
          <w:noProof/>
        </w:rPr>
        <w:t>i</w:t>
      </w:r>
      <w:r w:rsidR="006A22D3" w:rsidRPr="006A22D3">
        <w:rPr>
          <w:noProof/>
        </w:rPr>
        <w:t xml:space="preserve"> w rok</w:t>
      </w:r>
      <w:r w:rsidR="00BC6E3D" w:rsidRPr="006A22D3">
        <w:rPr>
          <w:noProof/>
        </w:rPr>
        <w:t>u obrotowym poprzedzającym ostatni rok obrotowy przed datą wskazaną</w:t>
      </w:r>
      <w:r w:rsidR="006A22D3" w:rsidRPr="006A22D3">
        <w:rPr>
          <w:noProof/>
        </w:rPr>
        <w:t xml:space="preserve"> w art</w:t>
      </w:r>
      <w:r w:rsidR="00BC6E3D" w:rsidRPr="006A22D3">
        <w:rPr>
          <w:noProof/>
        </w:rPr>
        <w:t>.</w:t>
      </w:r>
      <w:r w:rsidR="00192E90" w:rsidRPr="006A22D3">
        <w:rPr>
          <w:noProof/>
        </w:rPr>
        <w:t> </w:t>
      </w:r>
      <w:r w:rsidR="00BC6E3D" w:rsidRPr="006A22D3">
        <w:rPr>
          <w:noProof/>
        </w:rPr>
        <w:t>30 lub dniem,</w:t>
      </w:r>
      <w:r w:rsidR="006A22D3" w:rsidRPr="006A22D3">
        <w:rPr>
          <w:noProof/>
        </w:rPr>
        <w:t xml:space="preserve"> w któ</w:t>
      </w:r>
      <w:r w:rsidR="00BC6E3D" w:rsidRPr="006A22D3">
        <w:rPr>
          <w:noProof/>
        </w:rPr>
        <w:t>rym dane przedsiębiorstwo po raz pierwszy spełniło kryteria określone</w:t>
      </w:r>
      <w:r w:rsidR="006A22D3" w:rsidRPr="006A22D3">
        <w:rPr>
          <w:noProof/>
        </w:rPr>
        <w:t xml:space="preserve"> w art</w:t>
      </w:r>
      <w:r w:rsidR="00BC6E3D" w:rsidRPr="006A22D3">
        <w:rPr>
          <w:noProof/>
        </w:rPr>
        <w:t>.</w:t>
      </w:r>
      <w:r w:rsidR="00192E90" w:rsidRPr="006A22D3">
        <w:rPr>
          <w:noProof/>
        </w:rPr>
        <w:t> </w:t>
      </w:r>
      <w:r w:rsidR="00BC6E3D" w:rsidRPr="006A22D3">
        <w:rPr>
          <w:noProof/>
        </w:rPr>
        <w:t>2 ust.</w:t>
      </w:r>
      <w:r w:rsidR="00192E90" w:rsidRPr="006A22D3">
        <w:rPr>
          <w:noProof/>
        </w:rPr>
        <w:t> </w:t>
      </w:r>
      <w:r w:rsidR="00BC6E3D" w:rsidRPr="006A22D3">
        <w:rPr>
          <w:noProof/>
        </w:rPr>
        <w:t>2,</w:t>
      </w:r>
      <w:r w:rsidR="006A22D3" w:rsidRPr="006A22D3">
        <w:rPr>
          <w:noProof/>
        </w:rPr>
        <w:t xml:space="preserve"> w zal</w:t>
      </w:r>
      <w:r w:rsidR="00BC6E3D" w:rsidRPr="006A22D3">
        <w:rPr>
          <w:noProof/>
        </w:rPr>
        <w:t>eżności od tego, która</w:t>
      </w:r>
      <w:r w:rsidR="006A22D3" w:rsidRPr="006A22D3">
        <w:rPr>
          <w:noProof/>
        </w:rPr>
        <w:t xml:space="preserve"> z tyc</w:t>
      </w:r>
      <w:r w:rsidR="00BC6E3D" w:rsidRPr="006A22D3">
        <w:rPr>
          <w:noProof/>
        </w:rPr>
        <w:t xml:space="preserve">h dat jest późniejsza. </w:t>
      </w:r>
    </w:p>
    <w:p w:rsidR="00BC6E3D" w:rsidRPr="006A22D3" w:rsidRDefault="00BC6E3D" w:rsidP="00BB7394">
      <w:pPr>
        <w:pStyle w:val="Text1"/>
        <w:rPr>
          <w:noProof/>
        </w:rPr>
      </w:pPr>
      <w:r w:rsidRPr="006A22D3">
        <w:rPr>
          <w:noProof/>
        </w:rPr>
        <w:t>Przedsiębiorstwa,</w:t>
      </w:r>
      <w:r w:rsidR="006A22D3" w:rsidRPr="006A22D3">
        <w:rPr>
          <w:noProof/>
        </w:rPr>
        <w:t xml:space="preserve"> o któ</w:t>
      </w:r>
      <w:r w:rsidRPr="006A22D3">
        <w:rPr>
          <w:noProof/>
        </w:rPr>
        <w:t>rych mowa</w:t>
      </w:r>
      <w:r w:rsidR="006A22D3" w:rsidRPr="006A22D3">
        <w:rPr>
          <w:noProof/>
        </w:rPr>
        <w:t xml:space="preserve"> w art</w:t>
      </w:r>
      <w:r w:rsidRPr="006A22D3">
        <w:rPr>
          <w:noProof/>
        </w:rPr>
        <w:t>.</w:t>
      </w:r>
      <w:r w:rsidR="00192E90" w:rsidRPr="006A22D3">
        <w:rPr>
          <w:noProof/>
        </w:rPr>
        <w:t> </w:t>
      </w:r>
      <w:r w:rsidRPr="006A22D3">
        <w:rPr>
          <w:noProof/>
        </w:rPr>
        <w:t>2 ust.</w:t>
      </w:r>
      <w:r w:rsidR="00192E90" w:rsidRPr="006A22D3">
        <w:rPr>
          <w:noProof/>
        </w:rPr>
        <w:t> </w:t>
      </w:r>
      <w:r w:rsidRPr="006A22D3">
        <w:rPr>
          <w:noProof/>
        </w:rPr>
        <w:t>2, mogą – na podstawie zmiany okoliczności,</w:t>
      </w:r>
      <w:r w:rsidR="006A22D3" w:rsidRPr="006A22D3">
        <w:rPr>
          <w:noProof/>
        </w:rPr>
        <w:t xml:space="preserve"> w wyn</w:t>
      </w:r>
      <w:r w:rsidRPr="006A22D3">
        <w:rPr>
          <w:noProof/>
        </w:rPr>
        <w:t>iku której dane przedsiębiorstwo uzyskuje większość przychodów</w:t>
      </w:r>
      <w:r w:rsidR="006A22D3" w:rsidRPr="006A22D3">
        <w:rPr>
          <w:noProof/>
        </w:rPr>
        <w:t xml:space="preserve"> w Uni</w:t>
      </w:r>
      <w:r w:rsidRPr="006A22D3">
        <w:rPr>
          <w:noProof/>
        </w:rPr>
        <w:t>i</w:t>
      </w:r>
      <w:r w:rsidR="006A22D3" w:rsidRPr="006A22D3">
        <w:rPr>
          <w:noProof/>
        </w:rPr>
        <w:t xml:space="preserve"> w inn</w:t>
      </w:r>
      <w:r w:rsidRPr="006A22D3">
        <w:rPr>
          <w:noProof/>
        </w:rPr>
        <w:t>ym państwie członkowskim – przedstawić uzasadniony wniosek</w:t>
      </w:r>
      <w:r w:rsidR="006A22D3" w:rsidRPr="006A22D3">
        <w:rPr>
          <w:noProof/>
        </w:rPr>
        <w:t xml:space="preserve"> o zmi</w:t>
      </w:r>
      <w:r w:rsidRPr="006A22D3">
        <w:rPr>
          <w:noProof/>
        </w:rPr>
        <w:t>anę organu nadzorczego właściwego</w:t>
      </w:r>
      <w:r w:rsidR="006A22D3" w:rsidRPr="006A22D3">
        <w:rPr>
          <w:noProof/>
        </w:rPr>
        <w:t xml:space="preserve"> w spr</w:t>
      </w:r>
      <w:r w:rsidRPr="006A22D3">
        <w:rPr>
          <w:noProof/>
        </w:rPr>
        <w:t>awie uregulowania kwestii objętych zakresem stosowania niniejszej dyrektywy</w:t>
      </w:r>
      <w:r w:rsidR="006A22D3" w:rsidRPr="006A22D3">
        <w:rPr>
          <w:noProof/>
        </w:rPr>
        <w:t xml:space="preserve"> w odn</w:t>
      </w:r>
      <w:r w:rsidRPr="006A22D3">
        <w:rPr>
          <w:noProof/>
        </w:rPr>
        <w:t>iesieniu do przedsiębiorstwa, które złożyło wniosek.</w:t>
      </w:r>
    </w:p>
    <w:p w:rsidR="00BC6E3D" w:rsidRPr="006A22D3" w:rsidRDefault="00D91F29" w:rsidP="00D91F29">
      <w:pPr>
        <w:pStyle w:val="ManualNumPar1"/>
        <w:rPr>
          <w:noProof/>
        </w:rPr>
      </w:pPr>
      <w:r w:rsidRPr="00D91F29">
        <w:t>4.</w:t>
      </w:r>
      <w:r w:rsidRPr="00D91F29">
        <w:tab/>
      </w:r>
      <w:r w:rsidR="00BC6E3D" w:rsidRPr="006A22D3">
        <w:rPr>
          <w:noProof/>
        </w:rPr>
        <w:t>Jeżeli dane państwo członkowskie wyznacza więcej niż jeden organ nadzorczy, wówczas państwo to musi zapewnić, aby odpowiednie kompetencje tych organów zostały wyraźnie określone,</w:t>
      </w:r>
      <w:r w:rsidR="006A22D3" w:rsidRPr="006A22D3">
        <w:rPr>
          <w:noProof/>
        </w:rPr>
        <w:t xml:space="preserve"> a org</w:t>
      </w:r>
      <w:r w:rsidR="00BC6E3D" w:rsidRPr="006A22D3">
        <w:rPr>
          <w:noProof/>
        </w:rPr>
        <w:t>any te ściśle</w:t>
      </w:r>
      <w:r w:rsidR="006A22D3" w:rsidRPr="006A22D3">
        <w:rPr>
          <w:noProof/>
        </w:rPr>
        <w:t xml:space="preserve"> i sku</w:t>
      </w:r>
      <w:r w:rsidR="00BC6E3D" w:rsidRPr="006A22D3">
        <w:rPr>
          <w:noProof/>
        </w:rPr>
        <w:t xml:space="preserve">tecznie ze sobą współpracowały. </w:t>
      </w:r>
    </w:p>
    <w:p w:rsidR="00FC730B" w:rsidRPr="006A22D3" w:rsidRDefault="00D91F29" w:rsidP="00D91F29">
      <w:pPr>
        <w:pStyle w:val="ManualNumPar1"/>
        <w:rPr>
          <w:noProof/>
        </w:rPr>
      </w:pPr>
      <w:r w:rsidRPr="00D91F29">
        <w:t>5.</w:t>
      </w:r>
      <w:r w:rsidRPr="00D91F29">
        <w:tab/>
      </w:r>
      <w:r w:rsidR="00FC730B" w:rsidRPr="006A22D3">
        <w:rPr>
          <w:noProof/>
        </w:rPr>
        <w:t>Państwa członkowskie mogą wyznaczyć organy sprawujące nadzór nad regulowanymi przedsiębiorstwami finansowymi również jako organy nadzorcze do celów niniejszej dyrektywy.</w:t>
      </w:r>
    </w:p>
    <w:p w:rsidR="00BC6E3D" w:rsidRPr="006A22D3" w:rsidRDefault="00D91F29" w:rsidP="00D91F29">
      <w:pPr>
        <w:pStyle w:val="ManualNumPar1"/>
        <w:rPr>
          <w:noProof/>
        </w:rPr>
      </w:pPr>
      <w:r w:rsidRPr="00D91F29">
        <w:t>6.</w:t>
      </w:r>
      <w:r w:rsidRPr="00D91F29">
        <w:tab/>
      </w:r>
      <w:r w:rsidR="00BC6E3D" w:rsidRPr="006A22D3">
        <w:rPr>
          <w:noProof/>
        </w:rPr>
        <w:t>W terminie wskazanym</w:t>
      </w:r>
      <w:r w:rsidR="006A22D3" w:rsidRPr="006A22D3">
        <w:rPr>
          <w:noProof/>
        </w:rPr>
        <w:t xml:space="preserve"> w art</w:t>
      </w:r>
      <w:r w:rsidR="00BC6E3D" w:rsidRPr="006A22D3">
        <w:rPr>
          <w:noProof/>
        </w:rPr>
        <w:t>.</w:t>
      </w:r>
      <w:r w:rsidR="00192E90" w:rsidRPr="006A22D3">
        <w:rPr>
          <w:noProof/>
        </w:rPr>
        <w:t> </w:t>
      </w:r>
      <w:r w:rsidR="00BC6E3D" w:rsidRPr="006A22D3">
        <w:rPr>
          <w:noProof/>
        </w:rPr>
        <w:t>30 ust.</w:t>
      </w:r>
      <w:r w:rsidR="00192E90" w:rsidRPr="006A22D3">
        <w:rPr>
          <w:noProof/>
        </w:rPr>
        <w:t> </w:t>
      </w:r>
      <w:r w:rsidR="00BC6E3D" w:rsidRPr="006A22D3">
        <w:rPr>
          <w:noProof/>
        </w:rPr>
        <w:t>1 lit.</w:t>
      </w:r>
      <w:r w:rsidR="00192E90" w:rsidRPr="006A22D3">
        <w:rPr>
          <w:noProof/>
        </w:rPr>
        <w:t> </w:t>
      </w:r>
      <w:r w:rsidR="00BC6E3D" w:rsidRPr="006A22D3">
        <w:rPr>
          <w:noProof/>
        </w:rPr>
        <w:t>a) państwa członkowskie przekazują Komisji nazwy</w:t>
      </w:r>
      <w:r w:rsidR="006A22D3" w:rsidRPr="006A22D3">
        <w:rPr>
          <w:noProof/>
        </w:rPr>
        <w:t xml:space="preserve"> i dan</w:t>
      </w:r>
      <w:r w:rsidR="00BC6E3D" w:rsidRPr="006A22D3">
        <w:rPr>
          <w:noProof/>
        </w:rPr>
        <w:t>e kontaktowe organów nadzorczych wyznaczonych zgodnie</w:t>
      </w:r>
      <w:r w:rsidR="006A22D3" w:rsidRPr="006A22D3">
        <w:rPr>
          <w:noProof/>
        </w:rPr>
        <w:t xml:space="preserve"> z nin</w:t>
      </w:r>
      <w:r w:rsidR="00BC6E3D" w:rsidRPr="006A22D3">
        <w:rPr>
          <w:noProof/>
        </w:rPr>
        <w:t>iejszym artykułem,</w:t>
      </w:r>
      <w:r w:rsidR="006A22D3" w:rsidRPr="006A22D3">
        <w:rPr>
          <w:noProof/>
        </w:rPr>
        <w:t xml:space="preserve"> a tak</w:t>
      </w:r>
      <w:r w:rsidR="00BC6E3D" w:rsidRPr="006A22D3">
        <w:rPr>
          <w:noProof/>
        </w:rPr>
        <w:t>że, jeżeli wyznaczono kilka organów nadzorczych, ich kompetencje. Państwa członkowskie informują Komisję</w:t>
      </w:r>
      <w:r w:rsidR="006A22D3" w:rsidRPr="006A22D3">
        <w:rPr>
          <w:noProof/>
        </w:rPr>
        <w:t xml:space="preserve"> o wsz</w:t>
      </w:r>
      <w:r w:rsidR="00BC6E3D" w:rsidRPr="006A22D3">
        <w:rPr>
          <w:noProof/>
        </w:rPr>
        <w:t>elkich zmianach tych danych.</w:t>
      </w:r>
    </w:p>
    <w:p w:rsidR="00BC6E3D" w:rsidRPr="006A22D3" w:rsidRDefault="00D91F29" w:rsidP="00D91F29">
      <w:pPr>
        <w:pStyle w:val="ManualNumPar1"/>
        <w:rPr>
          <w:noProof/>
        </w:rPr>
      </w:pPr>
      <w:r w:rsidRPr="00D91F29">
        <w:t>7.</w:t>
      </w:r>
      <w:r w:rsidRPr="00D91F29">
        <w:tab/>
      </w:r>
      <w:r w:rsidR="00BC6E3D" w:rsidRPr="006A22D3">
        <w:rPr>
          <w:noProof/>
        </w:rPr>
        <w:t>Komisja podaje do wiadomości publicznej,</w:t>
      </w:r>
      <w:r w:rsidR="006A22D3" w:rsidRPr="006A22D3">
        <w:rPr>
          <w:noProof/>
        </w:rPr>
        <w:t xml:space="preserve"> w tym</w:t>
      </w:r>
      <w:r w:rsidR="00BC6E3D" w:rsidRPr="006A22D3">
        <w:rPr>
          <w:noProof/>
        </w:rPr>
        <w:t xml:space="preserve"> na swojej stronie internetowej, wykaz organów nadzorczych. Komisja regularnie aktualizuje wykaz na podstawie informacji otrzymanych od państw członkowskich.</w:t>
      </w:r>
    </w:p>
    <w:p w:rsidR="00BC6E3D" w:rsidRPr="006A22D3" w:rsidRDefault="00D91F29" w:rsidP="00D91F29">
      <w:pPr>
        <w:pStyle w:val="ManualNumPar1"/>
        <w:rPr>
          <w:noProof/>
        </w:rPr>
      </w:pPr>
      <w:r w:rsidRPr="00D91F29">
        <w:t>8.</w:t>
      </w:r>
      <w:r w:rsidRPr="00D91F29">
        <w:tab/>
      </w:r>
      <w:r w:rsidR="00BC6E3D" w:rsidRPr="006A22D3">
        <w:rPr>
          <w:noProof/>
        </w:rPr>
        <w:t>Państwa członkowskie gwarantują niezależność organów nadzorczych</w:t>
      </w:r>
      <w:r w:rsidR="006A22D3" w:rsidRPr="006A22D3">
        <w:rPr>
          <w:noProof/>
        </w:rPr>
        <w:t xml:space="preserve"> i zap</w:t>
      </w:r>
      <w:r w:rsidR="00BC6E3D" w:rsidRPr="006A22D3">
        <w:rPr>
          <w:noProof/>
        </w:rPr>
        <w:t>ewniają, aby organy te oraz wszystkie osoby zatrudnione przez nie obecnie lub</w:t>
      </w:r>
      <w:r w:rsidR="006A22D3" w:rsidRPr="006A22D3">
        <w:rPr>
          <w:noProof/>
        </w:rPr>
        <w:t xml:space="preserve"> w prz</w:t>
      </w:r>
      <w:r w:rsidR="00BC6E3D" w:rsidRPr="006A22D3">
        <w:rPr>
          <w:noProof/>
        </w:rPr>
        <w:t>yszłości,</w:t>
      </w:r>
      <w:r w:rsidR="006A22D3" w:rsidRPr="006A22D3">
        <w:rPr>
          <w:noProof/>
        </w:rPr>
        <w:t xml:space="preserve"> a tak</w:t>
      </w:r>
      <w:r w:rsidR="00BC6E3D" w:rsidRPr="006A22D3">
        <w:rPr>
          <w:noProof/>
        </w:rPr>
        <w:t>że działający</w:t>
      </w:r>
      <w:r w:rsidR="006A22D3" w:rsidRPr="006A22D3">
        <w:rPr>
          <w:noProof/>
        </w:rPr>
        <w:t xml:space="preserve"> w imi</w:t>
      </w:r>
      <w:r w:rsidR="00BC6E3D" w:rsidRPr="006A22D3">
        <w:rPr>
          <w:noProof/>
        </w:rPr>
        <w:t>eniu tych organów audytorzy lub eksperci, wykonywali swoje uprawnienia</w:t>
      </w:r>
      <w:r w:rsidR="006A22D3" w:rsidRPr="006A22D3">
        <w:rPr>
          <w:noProof/>
        </w:rPr>
        <w:t xml:space="preserve"> w spo</w:t>
      </w:r>
      <w:r w:rsidR="00BC6E3D" w:rsidRPr="006A22D3">
        <w:rPr>
          <w:noProof/>
        </w:rPr>
        <w:t>sób bezstronny, przejrzysty</w:t>
      </w:r>
      <w:r w:rsidR="006A22D3" w:rsidRPr="006A22D3">
        <w:rPr>
          <w:noProof/>
        </w:rPr>
        <w:t xml:space="preserve"> i z nal</w:t>
      </w:r>
      <w:r w:rsidR="00BC6E3D" w:rsidRPr="006A22D3">
        <w:rPr>
          <w:noProof/>
        </w:rPr>
        <w:t>eżytym poszanowaniem obowiązku zachowania tajemnicy zawodowej</w:t>
      </w:r>
      <w:r w:rsidR="006A22D3" w:rsidRPr="006A22D3">
        <w:rPr>
          <w:noProof/>
        </w:rPr>
        <w:t>. W szc</w:t>
      </w:r>
      <w:r w:rsidR="00BC6E3D" w:rsidRPr="006A22D3">
        <w:rPr>
          <w:noProof/>
        </w:rPr>
        <w:t>zególności państwa członkowskie zapewniają, aby organy te były pod względem prawnym</w:t>
      </w:r>
      <w:r w:rsidR="006A22D3" w:rsidRPr="006A22D3">
        <w:rPr>
          <w:noProof/>
        </w:rPr>
        <w:t xml:space="preserve"> i fun</w:t>
      </w:r>
      <w:r w:rsidR="00BC6E3D" w:rsidRPr="006A22D3">
        <w:rPr>
          <w:noProof/>
        </w:rPr>
        <w:t>kcjonalnym niezależne od przedsiębiorstw objętych zakresem niniejszej dyrektywy lub innych interesów rynkowych, aby ich personel</w:t>
      </w:r>
      <w:r w:rsidR="006A22D3" w:rsidRPr="006A22D3">
        <w:rPr>
          <w:noProof/>
        </w:rPr>
        <w:t xml:space="preserve"> i oso</w:t>
      </w:r>
      <w:r w:rsidR="00BC6E3D" w:rsidRPr="006A22D3">
        <w:rPr>
          <w:noProof/>
        </w:rPr>
        <w:t>by odpowiedzialne za zarządzanie nimi były wolne od konfliktów interesów, były objęte wymogami</w:t>
      </w:r>
      <w:r w:rsidR="006A22D3" w:rsidRPr="006A22D3">
        <w:rPr>
          <w:noProof/>
        </w:rPr>
        <w:t xml:space="preserve"> w zak</w:t>
      </w:r>
      <w:r w:rsidR="00BC6E3D" w:rsidRPr="006A22D3">
        <w:rPr>
          <w:noProof/>
        </w:rPr>
        <w:t>resie poufności oraz aby powstrzymywały się od wszelkich czynności sprzecznych ze swoimi obowiązkami.</w:t>
      </w:r>
    </w:p>
    <w:p w:rsidR="00BC6E3D" w:rsidRPr="006A22D3" w:rsidRDefault="00BC6E3D" w:rsidP="00F452CF">
      <w:pPr>
        <w:pStyle w:val="Titrearticle"/>
        <w:rPr>
          <w:i w:val="0"/>
          <w:noProof/>
        </w:rPr>
      </w:pPr>
      <w:r w:rsidRPr="006A22D3">
        <w:rPr>
          <w:noProof/>
        </w:rPr>
        <w:t>Artykuł 18</w:t>
      </w:r>
    </w:p>
    <w:p w:rsidR="00BC6E3D" w:rsidRPr="006A22D3" w:rsidRDefault="00BC6E3D" w:rsidP="00F452CF">
      <w:pPr>
        <w:pStyle w:val="Articletitle"/>
        <w:rPr>
          <w:b w:val="0"/>
          <w:bCs w:val="0"/>
          <w:noProof/>
        </w:rPr>
      </w:pPr>
      <w:r w:rsidRPr="006A22D3">
        <w:rPr>
          <w:noProof/>
        </w:rPr>
        <w:t>Uprawnienia organów nadzorczych</w:t>
      </w:r>
    </w:p>
    <w:p w:rsidR="00BC6E3D" w:rsidRPr="006A22D3" w:rsidRDefault="00D91F29" w:rsidP="00D91F29">
      <w:pPr>
        <w:pStyle w:val="ManualNumPar1"/>
        <w:rPr>
          <w:noProof/>
        </w:rPr>
      </w:pPr>
      <w:r w:rsidRPr="00D91F29">
        <w:t>1.</w:t>
      </w:r>
      <w:r w:rsidRPr="00D91F29">
        <w:tab/>
      </w:r>
      <w:r w:rsidR="00BC6E3D" w:rsidRPr="006A22D3">
        <w:rPr>
          <w:noProof/>
        </w:rPr>
        <w:t>Państwa członkowskie zapewniają, aby organy nadzorcze miały odpowiednie uprawnienia</w:t>
      </w:r>
      <w:r w:rsidR="006A22D3" w:rsidRPr="006A22D3">
        <w:rPr>
          <w:noProof/>
        </w:rPr>
        <w:t xml:space="preserve"> i zas</w:t>
      </w:r>
      <w:r w:rsidR="00BC6E3D" w:rsidRPr="006A22D3">
        <w:rPr>
          <w:noProof/>
        </w:rPr>
        <w:t>oby do wykonywania zadań powierzonych im na mocy niniejszej dyrektywy,</w:t>
      </w:r>
      <w:r w:rsidR="006A22D3" w:rsidRPr="006A22D3">
        <w:rPr>
          <w:noProof/>
        </w:rPr>
        <w:t xml:space="preserve"> w tym</w:t>
      </w:r>
      <w:r w:rsidR="00BC6E3D" w:rsidRPr="006A22D3">
        <w:rPr>
          <w:noProof/>
        </w:rPr>
        <w:t xml:space="preserve"> prawo do żądania informacji</w:t>
      </w:r>
      <w:r w:rsidR="006A22D3" w:rsidRPr="006A22D3">
        <w:rPr>
          <w:noProof/>
        </w:rPr>
        <w:t xml:space="preserve"> i pro</w:t>
      </w:r>
      <w:r w:rsidR="00BC6E3D" w:rsidRPr="006A22D3">
        <w:rPr>
          <w:noProof/>
        </w:rPr>
        <w:t>wadzenia postępowań wyjaśniających związanych</w:t>
      </w:r>
      <w:r w:rsidR="006A22D3" w:rsidRPr="006A22D3">
        <w:rPr>
          <w:noProof/>
        </w:rPr>
        <w:t xml:space="preserve"> z wyp</w:t>
      </w:r>
      <w:r w:rsidR="00BC6E3D" w:rsidRPr="006A22D3">
        <w:rPr>
          <w:noProof/>
        </w:rPr>
        <w:t>ełnianiem obowiązków określonych</w:t>
      </w:r>
      <w:r w:rsidR="006A22D3" w:rsidRPr="006A22D3">
        <w:rPr>
          <w:noProof/>
        </w:rPr>
        <w:t xml:space="preserve"> w nin</w:t>
      </w:r>
      <w:r w:rsidR="00BC6E3D" w:rsidRPr="006A22D3">
        <w:rPr>
          <w:noProof/>
        </w:rPr>
        <w:t xml:space="preserve">iejszej dyrektywie. </w:t>
      </w:r>
    </w:p>
    <w:p w:rsidR="000D4029" w:rsidRPr="006A22D3" w:rsidRDefault="00D91F29" w:rsidP="00D91F29">
      <w:pPr>
        <w:pStyle w:val="ManualNumPar1"/>
        <w:rPr>
          <w:noProof/>
        </w:rPr>
      </w:pPr>
      <w:r w:rsidRPr="00D91F29">
        <w:t>2.</w:t>
      </w:r>
      <w:r w:rsidRPr="00D91F29">
        <w:tab/>
      </w:r>
      <w:r w:rsidR="00BC6E3D" w:rsidRPr="006A22D3">
        <w:rPr>
          <w:noProof/>
        </w:rPr>
        <w:t>Organ nadzorczy może wszcząć postępowanie wyjaśniające</w:t>
      </w:r>
      <w:r w:rsidR="006A22D3" w:rsidRPr="006A22D3">
        <w:rPr>
          <w:noProof/>
        </w:rPr>
        <w:t xml:space="preserve"> z urz</w:t>
      </w:r>
      <w:r w:rsidR="00BC6E3D" w:rsidRPr="006A22D3">
        <w:rPr>
          <w:noProof/>
        </w:rPr>
        <w:t>ędu lub</w:t>
      </w:r>
      <w:r w:rsidR="006A22D3" w:rsidRPr="006A22D3">
        <w:rPr>
          <w:noProof/>
        </w:rPr>
        <w:t xml:space="preserve"> w zwi</w:t>
      </w:r>
      <w:r w:rsidR="00BC6E3D" w:rsidRPr="006A22D3">
        <w:rPr>
          <w:noProof/>
        </w:rPr>
        <w:t>ązku</w:t>
      </w:r>
      <w:r w:rsidR="006A22D3" w:rsidRPr="006A22D3">
        <w:rPr>
          <w:noProof/>
        </w:rPr>
        <w:t xml:space="preserve"> z uza</w:t>
      </w:r>
      <w:r w:rsidR="00BC6E3D" w:rsidRPr="006A22D3">
        <w:rPr>
          <w:noProof/>
        </w:rPr>
        <w:t>sadnionymi obawami, które zostały mu zgłoszone zgodnie</w:t>
      </w:r>
      <w:r w:rsidR="006A22D3" w:rsidRPr="006A22D3">
        <w:rPr>
          <w:noProof/>
        </w:rPr>
        <w:t xml:space="preserve"> z art</w:t>
      </w:r>
      <w:r w:rsidR="00BC6E3D" w:rsidRPr="006A22D3">
        <w:rPr>
          <w:noProof/>
        </w:rPr>
        <w:t>.</w:t>
      </w:r>
      <w:r w:rsidR="00192E90" w:rsidRPr="006A22D3">
        <w:rPr>
          <w:noProof/>
        </w:rPr>
        <w:t> </w:t>
      </w:r>
      <w:r w:rsidR="00BC6E3D" w:rsidRPr="006A22D3">
        <w:rPr>
          <w:noProof/>
        </w:rPr>
        <w:t>19, jeżeli uzna, że posiada wystarczające informacje wskazujące na możliwe niewywiązanie się przez przedsiębiorstwo</w:t>
      </w:r>
      <w:r w:rsidR="006A22D3" w:rsidRPr="006A22D3">
        <w:rPr>
          <w:noProof/>
        </w:rPr>
        <w:t xml:space="preserve"> z zob</w:t>
      </w:r>
      <w:r w:rsidR="00BC6E3D" w:rsidRPr="006A22D3">
        <w:rPr>
          <w:noProof/>
        </w:rPr>
        <w:t>owiązań przewidzianych</w:t>
      </w:r>
      <w:r w:rsidR="006A22D3" w:rsidRPr="006A22D3">
        <w:rPr>
          <w:noProof/>
        </w:rPr>
        <w:t xml:space="preserve"> w prz</w:t>
      </w:r>
      <w:r w:rsidR="00BC6E3D" w:rsidRPr="006A22D3">
        <w:rPr>
          <w:noProof/>
        </w:rPr>
        <w:t>episach krajowych przyjętych na podstawie niniejszej dyrektywy.</w:t>
      </w:r>
    </w:p>
    <w:p w:rsidR="00BC6E3D" w:rsidRPr="006A22D3" w:rsidRDefault="00D91F29" w:rsidP="00D91F29">
      <w:pPr>
        <w:pStyle w:val="ManualNumPar1"/>
        <w:rPr>
          <w:noProof/>
        </w:rPr>
      </w:pPr>
      <w:r w:rsidRPr="00D91F29">
        <w:t>3.</w:t>
      </w:r>
      <w:r w:rsidRPr="00D91F29">
        <w:tab/>
      </w:r>
      <w:r w:rsidR="00BC6E3D" w:rsidRPr="006A22D3">
        <w:rPr>
          <w:noProof/>
        </w:rPr>
        <w:t>Inspekcje przeprowadza się zgodnie</w:t>
      </w:r>
      <w:r w:rsidR="006A22D3" w:rsidRPr="006A22D3">
        <w:rPr>
          <w:noProof/>
        </w:rPr>
        <w:t xml:space="preserve"> z pra</w:t>
      </w:r>
      <w:r w:rsidR="00BC6E3D" w:rsidRPr="006A22D3">
        <w:rPr>
          <w:noProof/>
        </w:rPr>
        <w:t>wem krajowym państwa członkowskiego,</w:t>
      </w:r>
      <w:r w:rsidR="006A22D3" w:rsidRPr="006A22D3">
        <w:rPr>
          <w:noProof/>
        </w:rPr>
        <w:t xml:space="preserve"> w któ</w:t>
      </w:r>
      <w:r w:rsidR="00BC6E3D" w:rsidRPr="006A22D3">
        <w:rPr>
          <w:noProof/>
        </w:rPr>
        <w:t>rym ma miejsce inspekcja, i po uprzednim ostrzeżeniu przedsiębiorstwa,</w:t>
      </w:r>
      <w:r w:rsidR="006A22D3" w:rsidRPr="006A22D3">
        <w:rPr>
          <w:noProof/>
        </w:rPr>
        <w:t xml:space="preserve"> z wyj</w:t>
      </w:r>
      <w:r w:rsidR="00BC6E3D" w:rsidRPr="006A22D3">
        <w:rPr>
          <w:noProof/>
        </w:rPr>
        <w:t>ątkiem sytuacji, gdy uprzednie powiadomienie zmniejsza skuteczność inspekcji. Jeżeli</w:t>
      </w:r>
      <w:r w:rsidR="006A22D3" w:rsidRPr="006A22D3">
        <w:rPr>
          <w:noProof/>
        </w:rPr>
        <w:t xml:space="preserve"> w ram</w:t>
      </w:r>
      <w:r w:rsidR="00BC6E3D" w:rsidRPr="006A22D3">
        <w:rPr>
          <w:noProof/>
        </w:rPr>
        <w:t>ach tego postępowania wyjaśniającego organ nadzorczy chce przeprowadzić inspekcję na terytorium państwa członkowskiego innego niż jego państwo, zwraca się</w:t>
      </w:r>
      <w:r w:rsidR="006A22D3" w:rsidRPr="006A22D3">
        <w:rPr>
          <w:noProof/>
        </w:rPr>
        <w:t xml:space="preserve"> o pom</w:t>
      </w:r>
      <w:r w:rsidR="00BC6E3D" w:rsidRPr="006A22D3">
        <w:rPr>
          <w:noProof/>
        </w:rPr>
        <w:t>oc organu nadzorczego</w:t>
      </w:r>
      <w:r w:rsidR="006A22D3" w:rsidRPr="006A22D3">
        <w:rPr>
          <w:noProof/>
        </w:rPr>
        <w:t xml:space="preserve"> w tym</w:t>
      </w:r>
      <w:r w:rsidR="00BC6E3D" w:rsidRPr="006A22D3">
        <w:rPr>
          <w:noProof/>
        </w:rPr>
        <w:t xml:space="preserve"> państwie członkowskim zgodnie</w:t>
      </w:r>
      <w:r w:rsidR="006A22D3" w:rsidRPr="006A22D3">
        <w:rPr>
          <w:noProof/>
        </w:rPr>
        <w:t xml:space="preserve"> z art</w:t>
      </w:r>
      <w:r w:rsidR="00BC6E3D" w:rsidRPr="006A22D3">
        <w:rPr>
          <w:noProof/>
        </w:rPr>
        <w:t>.</w:t>
      </w:r>
      <w:r w:rsidR="00192E90" w:rsidRPr="006A22D3">
        <w:rPr>
          <w:noProof/>
        </w:rPr>
        <w:t> </w:t>
      </w:r>
      <w:r w:rsidR="00BC6E3D" w:rsidRPr="006A22D3">
        <w:rPr>
          <w:noProof/>
        </w:rPr>
        <w:t>21 ust.</w:t>
      </w:r>
      <w:r w:rsidR="00192E90" w:rsidRPr="006A22D3">
        <w:rPr>
          <w:noProof/>
        </w:rPr>
        <w:t> </w:t>
      </w:r>
      <w:r w:rsidR="00BC6E3D" w:rsidRPr="006A22D3">
        <w:rPr>
          <w:noProof/>
        </w:rPr>
        <w:t>2.</w:t>
      </w:r>
    </w:p>
    <w:p w:rsidR="00BC6E3D" w:rsidRPr="006A22D3" w:rsidRDefault="00D91F29" w:rsidP="00D91F29">
      <w:pPr>
        <w:pStyle w:val="ManualNumPar1"/>
        <w:rPr>
          <w:noProof/>
        </w:rPr>
      </w:pPr>
      <w:r w:rsidRPr="00D91F29">
        <w:t>4.</w:t>
      </w:r>
      <w:r w:rsidRPr="00D91F29">
        <w:tab/>
      </w:r>
      <w:r w:rsidR="00BC6E3D" w:rsidRPr="006A22D3">
        <w:rPr>
          <w:noProof/>
        </w:rPr>
        <w:t>Jeżeli</w:t>
      </w:r>
      <w:r w:rsidR="006A22D3" w:rsidRPr="006A22D3">
        <w:rPr>
          <w:noProof/>
        </w:rPr>
        <w:t xml:space="preserve"> w wyn</w:t>
      </w:r>
      <w:r w:rsidR="00BC6E3D" w:rsidRPr="006A22D3">
        <w:rPr>
          <w:noProof/>
        </w:rPr>
        <w:t>iku działań podjętych na podstawie ust.</w:t>
      </w:r>
      <w:r w:rsidR="00192E90" w:rsidRPr="006A22D3">
        <w:rPr>
          <w:noProof/>
        </w:rPr>
        <w:t> </w:t>
      </w:r>
      <w:r w:rsidR="00BC6E3D" w:rsidRPr="006A22D3">
        <w:rPr>
          <w:noProof/>
        </w:rPr>
        <w:t>1</w:t>
      </w:r>
      <w:r w:rsidR="006A22D3" w:rsidRPr="006A22D3">
        <w:rPr>
          <w:noProof/>
        </w:rPr>
        <w:t xml:space="preserve"> i 2</w:t>
      </w:r>
      <w:r w:rsidR="00BC6E3D" w:rsidRPr="006A22D3">
        <w:rPr>
          <w:noProof/>
        </w:rPr>
        <w:t xml:space="preserve"> organ nadzorczy stwierdzi nieprzestrzeganie przepisów krajowych przyjętych na podstawie niniejszej dyrektywy, wyznacza zainteresowanemu przedsiębiorstwu odpowiedni termin na podjęcie działań zaradczych,</w:t>
      </w:r>
      <w:r w:rsidR="006A22D3" w:rsidRPr="006A22D3">
        <w:rPr>
          <w:noProof/>
        </w:rPr>
        <w:t xml:space="preserve"> o ile</w:t>
      </w:r>
      <w:r w:rsidR="00BC6E3D" w:rsidRPr="006A22D3">
        <w:rPr>
          <w:noProof/>
        </w:rPr>
        <w:t xml:space="preserve"> działania takie są możliwe. </w:t>
      </w:r>
    </w:p>
    <w:p w:rsidR="00BC6E3D" w:rsidRPr="006A22D3" w:rsidRDefault="00BC6E3D" w:rsidP="00BB7394">
      <w:pPr>
        <w:pStyle w:val="Text1"/>
        <w:rPr>
          <w:noProof/>
        </w:rPr>
      </w:pPr>
      <w:r w:rsidRPr="006A22D3">
        <w:rPr>
          <w:noProof/>
        </w:rPr>
        <w:t>Zgodnie z, odpowiednio, art.</w:t>
      </w:r>
      <w:r w:rsidR="00192E90" w:rsidRPr="006A22D3">
        <w:rPr>
          <w:noProof/>
        </w:rPr>
        <w:t> </w:t>
      </w:r>
      <w:r w:rsidRPr="006A22D3">
        <w:rPr>
          <w:noProof/>
        </w:rPr>
        <w:t>20</w:t>
      </w:r>
      <w:r w:rsidR="006A22D3" w:rsidRPr="006A22D3">
        <w:rPr>
          <w:noProof/>
        </w:rPr>
        <w:t xml:space="preserve"> i 2</w:t>
      </w:r>
      <w:r w:rsidRPr="006A22D3">
        <w:rPr>
          <w:noProof/>
        </w:rPr>
        <w:t>2 podjęcie działań zaradczych nie wyklucza nałożenia sankcji administracyjnych lub pociągnięcia do odpowiedzialności cywilnej</w:t>
      </w:r>
      <w:r w:rsidR="006A22D3" w:rsidRPr="006A22D3">
        <w:rPr>
          <w:noProof/>
        </w:rPr>
        <w:t xml:space="preserve"> w prz</w:t>
      </w:r>
      <w:r w:rsidRPr="006A22D3">
        <w:rPr>
          <w:noProof/>
        </w:rPr>
        <w:t>ypadku szkód.</w:t>
      </w:r>
    </w:p>
    <w:p w:rsidR="00BC6E3D" w:rsidRPr="006A22D3" w:rsidRDefault="00D91F29" w:rsidP="00D91F29">
      <w:pPr>
        <w:pStyle w:val="ManualNumPar1"/>
        <w:rPr>
          <w:noProof/>
        </w:rPr>
      </w:pPr>
      <w:r w:rsidRPr="00D91F29">
        <w:t>5.</w:t>
      </w:r>
      <w:r w:rsidRPr="00D91F29">
        <w:tab/>
      </w:r>
      <w:r w:rsidR="00BC6E3D" w:rsidRPr="006A22D3">
        <w:rPr>
          <w:noProof/>
        </w:rPr>
        <w:t>Przy wykonywaniu swoich zadań organy nadzorcze mają co najmniej uprawnienia do:</w:t>
      </w:r>
    </w:p>
    <w:p w:rsidR="00BC6E3D" w:rsidRPr="006A22D3" w:rsidRDefault="00BC6E3D" w:rsidP="00377D93">
      <w:pPr>
        <w:pStyle w:val="Point1"/>
        <w:rPr>
          <w:noProof/>
        </w:rPr>
      </w:pPr>
      <w:r w:rsidRPr="006A22D3">
        <w:rPr>
          <w:noProof/>
        </w:rPr>
        <w:t>a)</w:t>
      </w:r>
      <w:r w:rsidRPr="006A22D3">
        <w:rPr>
          <w:noProof/>
        </w:rPr>
        <w:tab/>
        <w:t>nakazania zaprzestania naruszeń przepisów krajowych przyjętych na podstawie niniejszej dyrektywy, powstrzymania się od ponownego podejmowania danego zachowania oraz,</w:t>
      </w:r>
      <w:r w:rsidR="006A22D3" w:rsidRPr="006A22D3">
        <w:rPr>
          <w:noProof/>
        </w:rPr>
        <w:t xml:space="preserve"> w sto</w:t>
      </w:r>
      <w:r w:rsidRPr="006A22D3">
        <w:rPr>
          <w:noProof/>
        </w:rPr>
        <w:t>sownych przypadkach, podjęcia działań zaradczych proporcjonalnych do naruszenia</w:t>
      </w:r>
      <w:r w:rsidR="006A22D3" w:rsidRPr="006A22D3">
        <w:rPr>
          <w:noProof/>
        </w:rPr>
        <w:t xml:space="preserve"> i kon</w:t>
      </w:r>
      <w:r w:rsidRPr="006A22D3">
        <w:rPr>
          <w:noProof/>
        </w:rPr>
        <w:t>iecznych do jego zaprzestania;</w:t>
      </w:r>
    </w:p>
    <w:p w:rsidR="00BC6E3D" w:rsidRPr="006A22D3" w:rsidRDefault="00BC6E3D" w:rsidP="00377D93">
      <w:pPr>
        <w:pStyle w:val="Point1"/>
        <w:rPr>
          <w:noProof/>
        </w:rPr>
      </w:pPr>
      <w:r w:rsidRPr="006A22D3">
        <w:rPr>
          <w:noProof/>
        </w:rPr>
        <w:t>b)</w:t>
      </w:r>
      <w:r w:rsidRPr="006A22D3">
        <w:rPr>
          <w:noProof/>
        </w:rPr>
        <w:tab/>
        <w:t>nałożenia kar pieniężnych zgodnie</w:t>
      </w:r>
      <w:r w:rsidR="006A22D3" w:rsidRPr="006A22D3">
        <w:rPr>
          <w:noProof/>
        </w:rPr>
        <w:t xml:space="preserve"> z art</w:t>
      </w:r>
      <w:r w:rsidRPr="006A22D3">
        <w:rPr>
          <w:noProof/>
        </w:rPr>
        <w:t>.</w:t>
      </w:r>
      <w:r w:rsidR="00192E90" w:rsidRPr="006A22D3">
        <w:rPr>
          <w:noProof/>
        </w:rPr>
        <w:t> </w:t>
      </w:r>
      <w:r w:rsidRPr="006A22D3">
        <w:rPr>
          <w:noProof/>
        </w:rPr>
        <w:t>20;</w:t>
      </w:r>
    </w:p>
    <w:p w:rsidR="00BC6E3D" w:rsidRPr="006A22D3" w:rsidRDefault="00BC6E3D" w:rsidP="00377D93">
      <w:pPr>
        <w:pStyle w:val="Point1"/>
        <w:rPr>
          <w:noProof/>
        </w:rPr>
      </w:pPr>
      <w:r w:rsidRPr="006A22D3">
        <w:rPr>
          <w:noProof/>
        </w:rPr>
        <w:t>c)</w:t>
      </w:r>
      <w:r w:rsidRPr="006A22D3">
        <w:rPr>
          <w:noProof/>
        </w:rPr>
        <w:tab/>
        <w:t>przyjęcia środków tymczasowych</w:t>
      </w:r>
      <w:r w:rsidR="006A22D3" w:rsidRPr="006A22D3">
        <w:rPr>
          <w:noProof/>
        </w:rPr>
        <w:t xml:space="preserve"> w cel</w:t>
      </w:r>
      <w:r w:rsidRPr="006A22D3">
        <w:rPr>
          <w:noProof/>
        </w:rPr>
        <w:t>u uniknięcia ryzyka poważnej</w:t>
      </w:r>
      <w:r w:rsidR="006A22D3" w:rsidRPr="006A22D3">
        <w:rPr>
          <w:noProof/>
        </w:rPr>
        <w:t xml:space="preserve"> i nie</w:t>
      </w:r>
      <w:r w:rsidRPr="006A22D3">
        <w:rPr>
          <w:noProof/>
        </w:rPr>
        <w:t xml:space="preserve">odwracalnej szkody. </w:t>
      </w:r>
    </w:p>
    <w:p w:rsidR="00BC6E3D" w:rsidRPr="006A22D3" w:rsidRDefault="00D91F29" w:rsidP="00D91F29">
      <w:pPr>
        <w:pStyle w:val="ManualNumPar1"/>
        <w:rPr>
          <w:noProof/>
        </w:rPr>
      </w:pPr>
      <w:r w:rsidRPr="00D91F29">
        <w:t>6.</w:t>
      </w:r>
      <w:r w:rsidRPr="00D91F29">
        <w:tab/>
      </w:r>
      <w:r w:rsidR="00BC6E3D" w:rsidRPr="006A22D3">
        <w:rPr>
          <w:noProof/>
        </w:rPr>
        <w:t>Jeżeli</w:t>
      </w:r>
      <w:r w:rsidR="006A22D3" w:rsidRPr="006A22D3">
        <w:rPr>
          <w:noProof/>
        </w:rPr>
        <w:t xml:space="preserve"> w sys</w:t>
      </w:r>
      <w:r w:rsidR="00BC6E3D" w:rsidRPr="006A22D3">
        <w:rPr>
          <w:noProof/>
        </w:rPr>
        <w:t>temie prawnym państwa członkowskiego nie przewidziano sankcji administracyjnych, niniejszy artykuł oraz art.</w:t>
      </w:r>
      <w:r w:rsidR="00192E90" w:rsidRPr="006A22D3">
        <w:rPr>
          <w:noProof/>
        </w:rPr>
        <w:t> </w:t>
      </w:r>
      <w:r w:rsidR="00BC6E3D" w:rsidRPr="006A22D3">
        <w:rPr>
          <w:noProof/>
        </w:rPr>
        <w:t>20 można stosować</w:t>
      </w:r>
      <w:r w:rsidR="006A22D3" w:rsidRPr="006A22D3">
        <w:rPr>
          <w:noProof/>
        </w:rPr>
        <w:t xml:space="preserve"> w ten</w:t>
      </w:r>
      <w:r w:rsidR="00BC6E3D" w:rsidRPr="006A22D3">
        <w:rPr>
          <w:noProof/>
        </w:rPr>
        <w:t xml:space="preserve"> sposób, że</w:t>
      </w:r>
      <w:r w:rsidR="006A22D3" w:rsidRPr="006A22D3">
        <w:rPr>
          <w:noProof/>
        </w:rPr>
        <w:t xml:space="preserve"> o zas</w:t>
      </w:r>
      <w:r w:rsidR="00BC6E3D" w:rsidRPr="006A22D3">
        <w:rPr>
          <w:noProof/>
        </w:rPr>
        <w:t>tosowanie sankcji wnosi właściwy organ nadzorczy,</w:t>
      </w:r>
      <w:r w:rsidR="006A22D3" w:rsidRPr="006A22D3">
        <w:rPr>
          <w:noProof/>
        </w:rPr>
        <w:t xml:space="preserve"> a nak</w:t>
      </w:r>
      <w:r w:rsidR="00BC6E3D" w:rsidRPr="006A22D3">
        <w:rPr>
          <w:noProof/>
        </w:rPr>
        <w:t>łada ją właściwy sąd krajowy, pod warunkiem zapewnienia skuteczności tych sankcji</w:t>
      </w:r>
      <w:r w:rsidR="006A22D3" w:rsidRPr="006A22D3">
        <w:rPr>
          <w:noProof/>
        </w:rPr>
        <w:t xml:space="preserve"> i rów</w:t>
      </w:r>
      <w:r w:rsidR="00BC6E3D" w:rsidRPr="006A22D3">
        <w:rPr>
          <w:noProof/>
        </w:rPr>
        <w:t>noważności ich skutków względem sankcji administracyjnej nakładanej przez organ nadzorczy.</w:t>
      </w:r>
    </w:p>
    <w:p w:rsidR="00BC6E3D" w:rsidRPr="006A22D3" w:rsidRDefault="00D91F29" w:rsidP="00D91F29">
      <w:pPr>
        <w:pStyle w:val="ManualNumPar1"/>
        <w:rPr>
          <w:noProof/>
        </w:rPr>
      </w:pPr>
      <w:r w:rsidRPr="00D91F29">
        <w:t>7.</w:t>
      </w:r>
      <w:r w:rsidRPr="00D91F29">
        <w:tab/>
      </w:r>
      <w:r w:rsidR="00BC6E3D" w:rsidRPr="006A22D3">
        <w:rPr>
          <w:noProof/>
        </w:rPr>
        <w:t>Państwa członkowskie zapewniają, aby każda osoba fizyczna lub prawna miała prawo do skutecznego środka ochrony prawnej przed sądem przeciwko prawnie wiążącej decyzji organu nadzorczego jej dotyczącej.</w:t>
      </w:r>
    </w:p>
    <w:p w:rsidR="00BC6E3D" w:rsidRPr="006A22D3" w:rsidRDefault="00BC6E3D" w:rsidP="00F452CF">
      <w:pPr>
        <w:pStyle w:val="Titrearticle"/>
        <w:rPr>
          <w:i w:val="0"/>
          <w:noProof/>
        </w:rPr>
      </w:pPr>
      <w:r w:rsidRPr="006A22D3">
        <w:rPr>
          <w:noProof/>
        </w:rPr>
        <w:t>Artykuł 19</w:t>
      </w:r>
    </w:p>
    <w:p w:rsidR="00BC6E3D" w:rsidRPr="006A22D3" w:rsidRDefault="00BC6E3D" w:rsidP="00F452CF">
      <w:pPr>
        <w:pStyle w:val="Articletitle"/>
        <w:rPr>
          <w:b w:val="0"/>
          <w:bCs w:val="0"/>
          <w:noProof/>
        </w:rPr>
      </w:pPr>
      <w:r w:rsidRPr="006A22D3">
        <w:rPr>
          <w:noProof/>
        </w:rPr>
        <w:t>Uzasadnione obawy</w:t>
      </w:r>
    </w:p>
    <w:p w:rsidR="00BC6E3D" w:rsidRPr="006A22D3" w:rsidRDefault="00D91F29" w:rsidP="00D91F29">
      <w:pPr>
        <w:pStyle w:val="ManualNumPar1"/>
        <w:rPr>
          <w:noProof/>
        </w:rPr>
      </w:pPr>
      <w:r w:rsidRPr="00D91F29">
        <w:t>1.</w:t>
      </w:r>
      <w:r w:rsidRPr="00D91F29">
        <w:tab/>
      </w:r>
      <w:r w:rsidR="00BC6E3D" w:rsidRPr="006A22D3">
        <w:rPr>
          <w:noProof/>
        </w:rPr>
        <w:t>Państwa członkowskie zapewniają, aby osoby fizyczne</w:t>
      </w:r>
      <w:r w:rsidR="006A22D3" w:rsidRPr="006A22D3">
        <w:rPr>
          <w:noProof/>
        </w:rPr>
        <w:t xml:space="preserve"> i pra</w:t>
      </w:r>
      <w:r w:rsidR="00BC6E3D" w:rsidRPr="006A22D3">
        <w:rPr>
          <w:noProof/>
        </w:rPr>
        <w:t>wne były uprawnione do zgłaszania uzasadnionych obaw każdemu organowi nadzorczemu, jeżeli na podstawie obiektywnych okoliczności mają powody, aby sądzić, że przedsiębiorstwo nie przestrzega przepisów krajowych przyjętych na podstawie niniejszej dyrektywy („uzasadnione obawy”).</w:t>
      </w:r>
    </w:p>
    <w:p w:rsidR="00BC6E3D" w:rsidRPr="006A22D3" w:rsidRDefault="00D91F29" w:rsidP="00D91F29">
      <w:pPr>
        <w:pStyle w:val="ManualNumPar1"/>
        <w:rPr>
          <w:noProof/>
        </w:rPr>
      </w:pPr>
      <w:r w:rsidRPr="00D91F29">
        <w:t>2.</w:t>
      </w:r>
      <w:r w:rsidRPr="00D91F29">
        <w:tab/>
      </w:r>
      <w:r w:rsidR="00BC6E3D" w:rsidRPr="006A22D3">
        <w:rPr>
          <w:noProof/>
        </w:rPr>
        <w:t>W przypadku gdy uzasadniona obawa podlega kompetencjom innego organu nadzorczego, organ, do którego zgłoszono taką obawę, przekazuje ją temu innemu organowi.</w:t>
      </w:r>
    </w:p>
    <w:p w:rsidR="00BC6E3D" w:rsidRPr="006A22D3" w:rsidRDefault="00D91F29" w:rsidP="00D91F29">
      <w:pPr>
        <w:pStyle w:val="ManualNumPar1"/>
        <w:rPr>
          <w:noProof/>
        </w:rPr>
      </w:pPr>
      <w:r w:rsidRPr="00D91F29">
        <w:t>3.</w:t>
      </w:r>
      <w:r w:rsidRPr="00D91F29">
        <w:tab/>
      </w:r>
      <w:r w:rsidR="00BC6E3D" w:rsidRPr="006A22D3">
        <w:rPr>
          <w:noProof/>
        </w:rPr>
        <w:t>Państwa członkowskie zapewniają, aby organy nadzorcze oceniały uzasadnione obawy</w:t>
      </w:r>
      <w:r w:rsidR="006A22D3" w:rsidRPr="006A22D3">
        <w:rPr>
          <w:noProof/>
        </w:rPr>
        <w:t xml:space="preserve"> i w sto</w:t>
      </w:r>
      <w:r w:rsidR="00BC6E3D" w:rsidRPr="006A22D3">
        <w:rPr>
          <w:noProof/>
        </w:rPr>
        <w:t>sownych przypadkach wykonywały swoje uprawnienia,</w:t>
      </w:r>
      <w:r w:rsidR="006A22D3" w:rsidRPr="006A22D3">
        <w:rPr>
          <w:noProof/>
        </w:rPr>
        <w:t xml:space="preserve"> o któ</w:t>
      </w:r>
      <w:r w:rsidR="00BC6E3D" w:rsidRPr="006A22D3">
        <w:rPr>
          <w:noProof/>
        </w:rPr>
        <w:t>rych mowa</w:t>
      </w:r>
      <w:r w:rsidR="006A22D3" w:rsidRPr="006A22D3">
        <w:rPr>
          <w:noProof/>
        </w:rPr>
        <w:t xml:space="preserve"> w art</w:t>
      </w:r>
      <w:r w:rsidR="00BC6E3D" w:rsidRPr="006A22D3">
        <w:rPr>
          <w:noProof/>
        </w:rPr>
        <w:t>.</w:t>
      </w:r>
      <w:r w:rsidR="00192E90" w:rsidRPr="006A22D3">
        <w:rPr>
          <w:noProof/>
        </w:rPr>
        <w:t> </w:t>
      </w:r>
      <w:r w:rsidR="00BC6E3D" w:rsidRPr="006A22D3">
        <w:rPr>
          <w:noProof/>
        </w:rPr>
        <w:t xml:space="preserve">18. </w:t>
      </w:r>
    </w:p>
    <w:p w:rsidR="00BC6E3D" w:rsidRPr="006A22D3" w:rsidRDefault="00D91F29" w:rsidP="00D91F29">
      <w:pPr>
        <w:pStyle w:val="ManualNumPar1"/>
        <w:rPr>
          <w:noProof/>
        </w:rPr>
      </w:pPr>
      <w:r w:rsidRPr="00D91F29">
        <w:t>4.</w:t>
      </w:r>
      <w:r w:rsidRPr="00D91F29">
        <w:tab/>
      </w:r>
      <w:r w:rsidR="00BC6E3D" w:rsidRPr="006A22D3">
        <w:rPr>
          <w:noProof/>
        </w:rPr>
        <w:t>Organ nadzorczy informuje, jak najszybciej</w:t>
      </w:r>
      <w:r w:rsidR="006A22D3" w:rsidRPr="006A22D3">
        <w:rPr>
          <w:noProof/>
        </w:rPr>
        <w:t xml:space="preserve"> i zgo</w:t>
      </w:r>
      <w:r w:rsidR="00BC6E3D" w:rsidRPr="006A22D3">
        <w:rPr>
          <w:noProof/>
        </w:rPr>
        <w:t>dnie</w:t>
      </w:r>
      <w:r w:rsidR="006A22D3" w:rsidRPr="006A22D3">
        <w:rPr>
          <w:noProof/>
        </w:rPr>
        <w:t xml:space="preserve"> z odp</w:t>
      </w:r>
      <w:r w:rsidR="00BC6E3D" w:rsidRPr="006A22D3">
        <w:rPr>
          <w:noProof/>
        </w:rPr>
        <w:t>owiednimi przepisami prawa krajowego</w:t>
      </w:r>
      <w:r w:rsidR="006A22D3" w:rsidRPr="006A22D3">
        <w:rPr>
          <w:noProof/>
        </w:rPr>
        <w:t xml:space="preserve"> i pra</w:t>
      </w:r>
      <w:r w:rsidR="00BC6E3D" w:rsidRPr="006A22D3">
        <w:rPr>
          <w:noProof/>
        </w:rPr>
        <w:t>wa Unii, osobę,</w:t>
      </w:r>
      <w:r w:rsidR="006A22D3" w:rsidRPr="006A22D3">
        <w:rPr>
          <w:noProof/>
        </w:rPr>
        <w:t xml:space="preserve"> o któ</w:t>
      </w:r>
      <w:r w:rsidR="00BC6E3D" w:rsidRPr="006A22D3">
        <w:rPr>
          <w:noProof/>
        </w:rPr>
        <w:t>rej mowa</w:t>
      </w:r>
      <w:r w:rsidR="006A22D3" w:rsidRPr="006A22D3">
        <w:rPr>
          <w:noProof/>
        </w:rPr>
        <w:t xml:space="preserve"> w ust</w:t>
      </w:r>
      <w:r w:rsidR="00BC6E3D" w:rsidRPr="006A22D3">
        <w:rPr>
          <w:noProof/>
        </w:rPr>
        <w:t>.</w:t>
      </w:r>
      <w:r w:rsidR="00192E90" w:rsidRPr="006A22D3">
        <w:rPr>
          <w:noProof/>
        </w:rPr>
        <w:t> </w:t>
      </w:r>
      <w:r w:rsidR="00BC6E3D" w:rsidRPr="006A22D3">
        <w:rPr>
          <w:noProof/>
        </w:rPr>
        <w:t>1,</w:t>
      </w:r>
      <w:r w:rsidR="006A22D3" w:rsidRPr="006A22D3">
        <w:rPr>
          <w:noProof/>
        </w:rPr>
        <w:t xml:space="preserve"> o wyn</w:t>
      </w:r>
      <w:r w:rsidR="00BC6E3D" w:rsidRPr="006A22D3">
        <w:rPr>
          <w:noProof/>
        </w:rPr>
        <w:t>ikach oceny zgłoszonej przez tę osobę uzasadnionej obawy wraz</w:t>
      </w:r>
      <w:r w:rsidR="006A22D3" w:rsidRPr="006A22D3">
        <w:rPr>
          <w:noProof/>
        </w:rPr>
        <w:t xml:space="preserve"> z uza</w:t>
      </w:r>
      <w:r w:rsidR="00BC6E3D" w:rsidRPr="006A22D3">
        <w:rPr>
          <w:noProof/>
        </w:rPr>
        <w:t>sadnieniem.</w:t>
      </w:r>
    </w:p>
    <w:p w:rsidR="00BC6E3D" w:rsidRPr="006A22D3" w:rsidRDefault="00D91F29" w:rsidP="00D91F29">
      <w:pPr>
        <w:pStyle w:val="ManualNumPar1"/>
        <w:rPr>
          <w:noProof/>
        </w:rPr>
      </w:pPr>
      <w:r w:rsidRPr="00D91F29">
        <w:t>5.</w:t>
      </w:r>
      <w:r w:rsidRPr="00D91F29">
        <w:tab/>
      </w:r>
      <w:r w:rsidR="00BC6E3D" w:rsidRPr="006A22D3">
        <w:rPr>
          <w:noProof/>
        </w:rPr>
        <w:t>Państwa członkowskie zapewniają, aby osoby zgłaszające uzasadnioną obawę zgodnie</w:t>
      </w:r>
      <w:r w:rsidR="006A22D3" w:rsidRPr="006A22D3">
        <w:rPr>
          <w:noProof/>
        </w:rPr>
        <w:t xml:space="preserve"> z nin</w:t>
      </w:r>
      <w:r w:rsidR="00BC6E3D" w:rsidRPr="006A22D3">
        <w:rPr>
          <w:noProof/>
        </w:rPr>
        <w:t>iejszym artykułem</w:t>
      </w:r>
      <w:r w:rsidR="006A22D3" w:rsidRPr="006A22D3">
        <w:rPr>
          <w:noProof/>
        </w:rPr>
        <w:t xml:space="preserve"> i maj</w:t>
      </w:r>
      <w:r w:rsidR="00BC6E3D" w:rsidRPr="006A22D3">
        <w:rPr>
          <w:noProof/>
        </w:rPr>
        <w:t>ące – zgodnie</w:t>
      </w:r>
      <w:r w:rsidR="006A22D3" w:rsidRPr="006A22D3">
        <w:rPr>
          <w:noProof/>
        </w:rPr>
        <w:t xml:space="preserve"> z pra</w:t>
      </w:r>
      <w:r w:rsidR="00BC6E3D" w:rsidRPr="006A22D3">
        <w:rPr>
          <w:noProof/>
        </w:rPr>
        <w:t>wem krajowym – prawnie uzasadniony interes</w:t>
      </w:r>
      <w:r w:rsidR="006A22D3" w:rsidRPr="006A22D3">
        <w:rPr>
          <w:noProof/>
        </w:rPr>
        <w:t xml:space="preserve"> w tej</w:t>
      </w:r>
      <w:r w:rsidR="00BC6E3D" w:rsidRPr="006A22D3">
        <w:rPr>
          <w:noProof/>
        </w:rPr>
        <w:t xml:space="preserve"> sprawie, miały możliwość skorzystania</w:t>
      </w:r>
      <w:r w:rsidR="006A22D3" w:rsidRPr="006A22D3">
        <w:rPr>
          <w:noProof/>
        </w:rPr>
        <w:t xml:space="preserve"> z pro</w:t>
      </w:r>
      <w:r w:rsidR="00BC6E3D" w:rsidRPr="006A22D3">
        <w:rPr>
          <w:noProof/>
        </w:rPr>
        <w:t>cedur odwoławczych</w:t>
      </w:r>
      <w:r w:rsidR="006A22D3" w:rsidRPr="006A22D3">
        <w:rPr>
          <w:noProof/>
        </w:rPr>
        <w:t xml:space="preserve"> w sąd</w:t>
      </w:r>
      <w:r w:rsidR="00BC6E3D" w:rsidRPr="006A22D3">
        <w:rPr>
          <w:noProof/>
        </w:rPr>
        <w:t>zie lub innej bezstronnej instytucji publicznej</w:t>
      </w:r>
      <w:r w:rsidR="006A22D3" w:rsidRPr="006A22D3">
        <w:rPr>
          <w:noProof/>
        </w:rPr>
        <w:t xml:space="preserve"> w cel</w:t>
      </w:r>
      <w:r w:rsidR="00BC6E3D" w:rsidRPr="006A22D3">
        <w:rPr>
          <w:noProof/>
        </w:rPr>
        <w:t>u oceny decyzji, działań lub zaniechania działania organu nadzorczego pod kątem ich zgodności</w:t>
      </w:r>
      <w:r w:rsidR="006A22D3" w:rsidRPr="006A22D3">
        <w:rPr>
          <w:noProof/>
        </w:rPr>
        <w:t xml:space="preserve"> z pra</w:t>
      </w:r>
      <w:r w:rsidR="00BC6E3D" w:rsidRPr="006A22D3">
        <w:rPr>
          <w:noProof/>
        </w:rPr>
        <w:t>wem materialnym</w:t>
      </w:r>
      <w:r w:rsidR="006A22D3" w:rsidRPr="006A22D3">
        <w:rPr>
          <w:noProof/>
        </w:rPr>
        <w:t xml:space="preserve"> i for</w:t>
      </w:r>
      <w:r w:rsidR="00BC6E3D" w:rsidRPr="006A22D3">
        <w:rPr>
          <w:noProof/>
        </w:rPr>
        <w:t>malnym.</w:t>
      </w:r>
    </w:p>
    <w:p w:rsidR="00BC6E3D" w:rsidRPr="006A22D3" w:rsidRDefault="00BC6E3D" w:rsidP="00F452CF">
      <w:pPr>
        <w:pStyle w:val="Titrearticle"/>
        <w:rPr>
          <w:i w:val="0"/>
          <w:noProof/>
        </w:rPr>
      </w:pPr>
      <w:r w:rsidRPr="006A22D3">
        <w:rPr>
          <w:noProof/>
        </w:rPr>
        <w:t>Artykuł 20</w:t>
      </w:r>
    </w:p>
    <w:p w:rsidR="00BC6E3D" w:rsidRPr="006A22D3" w:rsidRDefault="00BC6E3D" w:rsidP="00F452CF">
      <w:pPr>
        <w:pStyle w:val="Articletitle"/>
        <w:rPr>
          <w:b w:val="0"/>
          <w:bCs w:val="0"/>
          <w:noProof/>
        </w:rPr>
      </w:pPr>
      <w:r w:rsidRPr="006A22D3">
        <w:rPr>
          <w:noProof/>
        </w:rPr>
        <w:t>Sankcje</w:t>
      </w:r>
    </w:p>
    <w:p w:rsidR="00BC6E3D" w:rsidRPr="006A22D3" w:rsidRDefault="00D91F29" w:rsidP="00D91F29">
      <w:pPr>
        <w:pStyle w:val="ManualNumPar1"/>
        <w:rPr>
          <w:noProof/>
        </w:rPr>
      </w:pPr>
      <w:r w:rsidRPr="00D91F29">
        <w:t>1.</w:t>
      </w:r>
      <w:r w:rsidRPr="00D91F29">
        <w:tab/>
      </w:r>
      <w:r w:rsidR="00BC6E3D" w:rsidRPr="006A22D3">
        <w:rPr>
          <w:noProof/>
        </w:rPr>
        <w:t>Państwa członkowskie ustanawiają przepisy dotyczące sankcji mających zastosowanie</w:t>
      </w:r>
      <w:r w:rsidR="006A22D3" w:rsidRPr="006A22D3">
        <w:rPr>
          <w:noProof/>
        </w:rPr>
        <w:t xml:space="preserve"> w prz</w:t>
      </w:r>
      <w:r w:rsidR="00BC6E3D" w:rsidRPr="006A22D3">
        <w:rPr>
          <w:noProof/>
        </w:rPr>
        <w:t>ypadku naruszeń przepisów krajowych przyjętych na podstawie niniejszej dyrektywy</w:t>
      </w:r>
      <w:r w:rsidR="006A22D3" w:rsidRPr="006A22D3">
        <w:rPr>
          <w:noProof/>
        </w:rPr>
        <w:t xml:space="preserve"> i pod</w:t>
      </w:r>
      <w:r w:rsidR="00BC6E3D" w:rsidRPr="006A22D3">
        <w:rPr>
          <w:noProof/>
        </w:rPr>
        <w:t>ejmują wszelkie niezbędne środki</w:t>
      </w:r>
      <w:r w:rsidR="006A22D3" w:rsidRPr="006A22D3">
        <w:rPr>
          <w:noProof/>
        </w:rPr>
        <w:t xml:space="preserve"> w cel</w:t>
      </w:r>
      <w:r w:rsidR="00BC6E3D" w:rsidRPr="006A22D3">
        <w:rPr>
          <w:noProof/>
        </w:rPr>
        <w:t>u zapewnienia ich wykonywania. Przewidziane sankcje muszą być skuteczne, proporcjonalne</w:t>
      </w:r>
      <w:r w:rsidR="006A22D3" w:rsidRPr="006A22D3">
        <w:rPr>
          <w:noProof/>
        </w:rPr>
        <w:t xml:space="preserve"> i ods</w:t>
      </w:r>
      <w:r w:rsidR="00BC6E3D" w:rsidRPr="006A22D3">
        <w:rPr>
          <w:noProof/>
        </w:rPr>
        <w:t>traszające.</w:t>
      </w:r>
    </w:p>
    <w:p w:rsidR="00BC6E3D" w:rsidRPr="006A22D3" w:rsidRDefault="00D91F29" w:rsidP="00D91F29">
      <w:pPr>
        <w:pStyle w:val="ManualNumPar1"/>
        <w:rPr>
          <w:noProof/>
        </w:rPr>
      </w:pPr>
      <w:r w:rsidRPr="00D91F29">
        <w:t>2.</w:t>
      </w:r>
      <w:r w:rsidRPr="00D91F29">
        <w:tab/>
      </w:r>
      <w:r w:rsidR="00BC6E3D" w:rsidRPr="006A22D3">
        <w:rPr>
          <w:noProof/>
        </w:rPr>
        <w:t>Przy podejmowaniu decyzji</w:t>
      </w:r>
      <w:r w:rsidR="006A22D3" w:rsidRPr="006A22D3">
        <w:rPr>
          <w:noProof/>
        </w:rPr>
        <w:t xml:space="preserve"> o ewe</w:t>
      </w:r>
      <w:r w:rsidR="00BC6E3D" w:rsidRPr="006A22D3">
        <w:rPr>
          <w:noProof/>
        </w:rPr>
        <w:t>ntualnym nałożeniu sankcji,</w:t>
      </w:r>
      <w:r w:rsidR="006A22D3" w:rsidRPr="006A22D3">
        <w:rPr>
          <w:noProof/>
        </w:rPr>
        <w:t xml:space="preserve"> a w prz</w:t>
      </w:r>
      <w:r w:rsidR="00BC6E3D" w:rsidRPr="006A22D3">
        <w:rPr>
          <w:noProof/>
        </w:rPr>
        <w:t>ypadku decyzji</w:t>
      </w:r>
      <w:r w:rsidR="006A22D3" w:rsidRPr="006A22D3">
        <w:rPr>
          <w:noProof/>
        </w:rPr>
        <w:t xml:space="preserve"> o ich</w:t>
      </w:r>
      <w:r w:rsidR="00BC6E3D" w:rsidRPr="006A22D3">
        <w:rPr>
          <w:noProof/>
        </w:rPr>
        <w:t xml:space="preserve"> nałożeniu, przy określaniu ich charakteru</w:t>
      </w:r>
      <w:r w:rsidR="006A22D3" w:rsidRPr="006A22D3">
        <w:rPr>
          <w:noProof/>
        </w:rPr>
        <w:t xml:space="preserve"> i odp</w:t>
      </w:r>
      <w:r w:rsidR="00BC6E3D" w:rsidRPr="006A22D3">
        <w:rPr>
          <w:noProof/>
        </w:rPr>
        <w:t>owiedniego poziomu, należy należycie uwzględnić starania przedsiębiorstwa</w:t>
      </w:r>
      <w:r w:rsidR="006A22D3" w:rsidRPr="006A22D3">
        <w:rPr>
          <w:noProof/>
        </w:rPr>
        <w:t xml:space="preserve"> w cel</w:t>
      </w:r>
      <w:r w:rsidR="00BC6E3D" w:rsidRPr="006A22D3">
        <w:rPr>
          <w:noProof/>
        </w:rPr>
        <w:t>u podjęcia wszelkich działań zaradczych wymaganych od niego przez organ nadzorczy, wszelkie dokonane inwestycje</w:t>
      </w:r>
      <w:r w:rsidR="006A22D3" w:rsidRPr="006A22D3">
        <w:rPr>
          <w:noProof/>
        </w:rPr>
        <w:t xml:space="preserve"> i uki</w:t>
      </w:r>
      <w:r w:rsidR="00BC6E3D" w:rsidRPr="006A22D3">
        <w:rPr>
          <w:noProof/>
        </w:rPr>
        <w:t>erunkowane wsparcie udzielone zgodnie</w:t>
      </w:r>
      <w:r w:rsidR="006A22D3" w:rsidRPr="006A22D3">
        <w:rPr>
          <w:noProof/>
        </w:rPr>
        <w:t xml:space="preserve"> z art</w:t>
      </w:r>
      <w:r w:rsidR="00BC6E3D" w:rsidRPr="006A22D3">
        <w:rPr>
          <w:noProof/>
        </w:rPr>
        <w:t>.</w:t>
      </w:r>
      <w:r w:rsidR="00192E90" w:rsidRPr="006A22D3">
        <w:rPr>
          <w:noProof/>
        </w:rPr>
        <w:t> </w:t>
      </w:r>
      <w:r w:rsidR="00BC6E3D" w:rsidRPr="006A22D3">
        <w:rPr>
          <w:noProof/>
        </w:rPr>
        <w:t>7</w:t>
      </w:r>
      <w:r w:rsidR="006A22D3" w:rsidRPr="006A22D3">
        <w:rPr>
          <w:noProof/>
        </w:rPr>
        <w:t xml:space="preserve"> i 8</w:t>
      </w:r>
      <w:r w:rsidR="00BC6E3D" w:rsidRPr="006A22D3">
        <w:rPr>
          <w:noProof/>
        </w:rPr>
        <w:t>,</w:t>
      </w:r>
      <w:r w:rsidR="006A22D3" w:rsidRPr="006A22D3">
        <w:rPr>
          <w:noProof/>
        </w:rPr>
        <w:t xml:space="preserve"> a tak</w:t>
      </w:r>
      <w:r w:rsidR="00BC6E3D" w:rsidRPr="006A22D3">
        <w:rPr>
          <w:noProof/>
        </w:rPr>
        <w:t>że współpracę</w:t>
      </w:r>
      <w:r w:rsidR="006A22D3" w:rsidRPr="006A22D3">
        <w:rPr>
          <w:noProof/>
        </w:rPr>
        <w:t xml:space="preserve"> z inn</w:t>
      </w:r>
      <w:r w:rsidR="00BC6E3D" w:rsidRPr="006A22D3">
        <w:rPr>
          <w:noProof/>
        </w:rPr>
        <w:t>ymi podmiotami</w:t>
      </w:r>
      <w:r w:rsidR="006A22D3" w:rsidRPr="006A22D3">
        <w:rPr>
          <w:noProof/>
        </w:rPr>
        <w:t xml:space="preserve"> w cel</w:t>
      </w:r>
      <w:r w:rsidR="00BC6E3D" w:rsidRPr="006A22D3">
        <w:rPr>
          <w:noProof/>
        </w:rPr>
        <w:t>u przeciwdziałania niekorzystnym skutkom</w:t>
      </w:r>
      <w:r w:rsidR="006A22D3" w:rsidRPr="006A22D3">
        <w:rPr>
          <w:noProof/>
        </w:rPr>
        <w:t xml:space="preserve"> w łań</w:t>
      </w:r>
      <w:r w:rsidR="00BC6E3D" w:rsidRPr="006A22D3">
        <w:rPr>
          <w:noProof/>
        </w:rPr>
        <w:t>cuchach wartości,</w:t>
      </w:r>
      <w:r w:rsidR="006A22D3" w:rsidRPr="006A22D3">
        <w:rPr>
          <w:noProof/>
        </w:rPr>
        <w:t xml:space="preserve"> w zal</w:t>
      </w:r>
      <w:r w:rsidR="00BC6E3D" w:rsidRPr="006A22D3">
        <w:rPr>
          <w:noProof/>
        </w:rPr>
        <w:t>eżności od przypadku.</w:t>
      </w:r>
    </w:p>
    <w:p w:rsidR="00BC6E3D" w:rsidRPr="006A22D3" w:rsidRDefault="00D91F29" w:rsidP="00D91F29">
      <w:pPr>
        <w:pStyle w:val="ManualNumPar1"/>
        <w:rPr>
          <w:noProof/>
        </w:rPr>
      </w:pPr>
      <w:r w:rsidRPr="00D91F29">
        <w:t>3.</w:t>
      </w:r>
      <w:r w:rsidRPr="00D91F29">
        <w:tab/>
      </w:r>
      <w:r w:rsidR="00BC6E3D" w:rsidRPr="006A22D3">
        <w:rPr>
          <w:noProof/>
        </w:rPr>
        <w:t>W przypadku nałożenia kar pieniężnych ich wysokość zależy od przychodów przedsiębiorstwa.</w:t>
      </w:r>
    </w:p>
    <w:p w:rsidR="00BC6E3D" w:rsidRPr="006A22D3" w:rsidRDefault="00D91F29" w:rsidP="00D91F29">
      <w:pPr>
        <w:pStyle w:val="ManualNumPar1"/>
        <w:rPr>
          <w:noProof/>
        </w:rPr>
      </w:pPr>
      <w:r w:rsidRPr="00D91F29">
        <w:t>4.</w:t>
      </w:r>
      <w:r w:rsidRPr="00D91F29">
        <w:tab/>
      </w:r>
      <w:r w:rsidR="00BC6E3D" w:rsidRPr="006A22D3">
        <w:rPr>
          <w:noProof/>
        </w:rPr>
        <w:t>Państwa członkowskie zapewniają publikację wszelkich decyzji organów nadzorczych</w:t>
      </w:r>
      <w:r w:rsidR="006A22D3" w:rsidRPr="006A22D3">
        <w:rPr>
          <w:noProof/>
        </w:rPr>
        <w:t xml:space="preserve"> o nał</w:t>
      </w:r>
      <w:r w:rsidR="00BC6E3D" w:rsidRPr="006A22D3">
        <w:rPr>
          <w:noProof/>
        </w:rPr>
        <w:t>ożeniu sankcji</w:t>
      </w:r>
      <w:r w:rsidR="006A22D3" w:rsidRPr="006A22D3">
        <w:rPr>
          <w:noProof/>
        </w:rPr>
        <w:t xml:space="preserve"> z tyt</w:t>
      </w:r>
      <w:r w:rsidR="00BC6E3D" w:rsidRPr="006A22D3">
        <w:rPr>
          <w:noProof/>
        </w:rPr>
        <w:t xml:space="preserve">ułu naruszenia przepisów niniejszej dyrektywy. </w:t>
      </w:r>
    </w:p>
    <w:p w:rsidR="00BC6E3D" w:rsidRPr="006A22D3" w:rsidRDefault="00BC6E3D" w:rsidP="00F452CF">
      <w:pPr>
        <w:pStyle w:val="Titrearticle"/>
        <w:rPr>
          <w:i w:val="0"/>
          <w:noProof/>
        </w:rPr>
      </w:pPr>
      <w:r w:rsidRPr="006A22D3">
        <w:rPr>
          <w:noProof/>
        </w:rPr>
        <w:t>Artykuł 21</w:t>
      </w:r>
    </w:p>
    <w:p w:rsidR="00BC6E3D" w:rsidRPr="006A22D3" w:rsidRDefault="00BC6E3D" w:rsidP="00F452CF">
      <w:pPr>
        <w:pStyle w:val="Articletitle"/>
        <w:rPr>
          <w:b w:val="0"/>
          <w:bCs w:val="0"/>
          <w:noProof/>
        </w:rPr>
      </w:pPr>
      <w:r w:rsidRPr="006A22D3">
        <w:rPr>
          <w:noProof/>
        </w:rPr>
        <w:t>Europejska Sieć Organów Nadzorczych</w:t>
      </w:r>
    </w:p>
    <w:p w:rsidR="00BC6E3D" w:rsidRPr="006A22D3" w:rsidRDefault="00D91F29" w:rsidP="00D91F29">
      <w:pPr>
        <w:pStyle w:val="ManualNumPar1"/>
        <w:rPr>
          <w:noProof/>
        </w:rPr>
      </w:pPr>
      <w:r w:rsidRPr="00D91F29">
        <w:t>1.</w:t>
      </w:r>
      <w:r w:rsidRPr="00D91F29">
        <w:tab/>
      </w:r>
      <w:r w:rsidR="00BC6E3D" w:rsidRPr="006A22D3">
        <w:rPr>
          <w:noProof/>
        </w:rPr>
        <w:t>Komisja ustanawia Europejską Sieć Organów Nadzorczych,</w:t>
      </w:r>
      <w:r w:rsidR="006A22D3" w:rsidRPr="006A22D3">
        <w:rPr>
          <w:noProof/>
        </w:rPr>
        <w:t xml:space="preserve"> w skł</w:t>
      </w:r>
      <w:r w:rsidR="00BC6E3D" w:rsidRPr="006A22D3">
        <w:rPr>
          <w:noProof/>
        </w:rPr>
        <w:t>ad której wchodzą przedstawiciele organów nadzorczych. Sieć ułatwia współpracę organów nadzorczych oraz koordynację</w:t>
      </w:r>
      <w:r w:rsidR="006A22D3" w:rsidRPr="006A22D3">
        <w:rPr>
          <w:noProof/>
        </w:rPr>
        <w:t xml:space="preserve"> i dos</w:t>
      </w:r>
      <w:r w:rsidR="00BC6E3D" w:rsidRPr="006A22D3">
        <w:rPr>
          <w:noProof/>
        </w:rPr>
        <w:t>tosowanie praktyk organów nadzorczych</w:t>
      </w:r>
      <w:r w:rsidR="006A22D3" w:rsidRPr="006A22D3">
        <w:rPr>
          <w:noProof/>
        </w:rPr>
        <w:t xml:space="preserve"> w zak</w:t>
      </w:r>
      <w:r w:rsidR="00BC6E3D" w:rsidRPr="006A22D3">
        <w:rPr>
          <w:noProof/>
        </w:rPr>
        <w:t>resie regulacji, prowadzenia postępowań wyjaśniających, nakładania sankcji</w:t>
      </w:r>
      <w:r w:rsidR="006A22D3" w:rsidRPr="006A22D3">
        <w:rPr>
          <w:noProof/>
        </w:rPr>
        <w:t xml:space="preserve"> i nad</w:t>
      </w:r>
      <w:r w:rsidR="00BC6E3D" w:rsidRPr="006A22D3">
        <w:rPr>
          <w:noProof/>
        </w:rPr>
        <w:t>zoru,</w:t>
      </w:r>
      <w:r w:rsidR="006A22D3" w:rsidRPr="006A22D3">
        <w:rPr>
          <w:noProof/>
        </w:rPr>
        <w:t xml:space="preserve"> a tak</w:t>
      </w:r>
      <w:r w:rsidR="00BC6E3D" w:rsidRPr="006A22D3">
        <w:rPr>
          <w:noProof/>
        </w:rPr>
        <w:t>że,</w:t>
      </w:r>
      <w:r w:rsidR="006A22D3" w:rsidRPr="006A22D3">
        <w:rPr>
          <w:noProof/>
        </w:rPr>
        <w:t xml:space="preserve"> w sto</w:t>
      </w:r>
      <w:r w:rsidR="00BC6E3D" w:rsidRPr="006A22D3">
        <w:rPr>
          <w:noProof/>
        </w:rPr>
        <w:t xml:space="preserve">sownych przypadkach, wymianę informacji między tymi organami. </w:t>
      </w:r>
    </w:p>
    <w:p w:rsidR="00BC6E3D" w:rsidRPr="006A22D3" w:rsidRDefault="00BC6E3D" w:rsidP="006D1201">
      <w:pPr>
        <w:pStyle w:val="Text1"/>
        <w:rPr>
          <w:noProof/>
        </w:rPr>
      </w:pPr>
      <w:r w:rsidRPr="006A22D3">
        <w:rPr>
          <w:noProof/>
        </w:rPr>
        <w:t>Komisja może zaprosić agencje Unii dysponujące odpowiednią wiedzą ekspercką</w:t>
      </w:r>
      <w:r w:rsidR="006A22D3" w:rsidRPr="006A22D3">
        <w:rPr>
          <w:noProof/>
        </w:rPr>
        <w:t xml:space="preserve"> w dzi</w:t>
      </w:r>
      <w:r w:rsidRPr="006A22D3">
        <w:rPr>
          <w:noProof/>
        </w:rPr>
        <w:t>edzinach objętych zakresem niniejszej dyrektywy do przyłączenia się do Europejskiej Sieci Organów Nadzorczych.</w:t>
      </w:r>
      <w:r w:rsidR="00192E90" w:rsidRPr="006A22D3">
        <w:rPr>
          <w:noProof/>
        </w:rPr>
        <w:t xml:space="preserve"> </w:t>
      </w:r>
    </w:p>
    <w:p w:rsidR="00E10567" w:rsidRPr="006A22D3" w:rsidRDefault="00D91F29" w:rsidP="00D91F29">
      <w:pPr>
        <w:pStyle w:val="ManualNumPar1"/>
        <w:rPr>
          <w:noProof/>
        </w:rPr>
      </w:pPr>
      <w:r w:rsidRPr="00D91F29">
        <w:t>2.</w:t>
      </w:r>
      <w:r w:rsidRPr="00D91F29">
        <w:tab/>
      </w:r>
      <w:r w:rsidR="00BC6E3D" w:rsidRPr="006A22D3">
        <w:rPr>
          <w:noProof/>
        </w:rPr>
        <w:t>Organy nadzorcze przekazują sobie stosowne informacje</w:t>
      </w:r>
      <w:r w:rsidR="006A22D3" w:rsidRPr="006A22D3">
        <w:rPr>
          <w:noProof/>
        </w:rPr>
        <w:t xml:space="preserve"> i świ</w:t>
      </w:r>
      <w:r w:rsidR="00BC6E3D" w:rsidRPr="006A22D3">
        <w:rPr>
          <w:noProof/>
        </w:rPr>
        <w:t>adczą wzajemną pomoc</w:t>
      </w:r>
      <w:r w:rsidR="006A22D3" w:rsidRPr="006A22D3">
        <w:rPr>
          <w:noProof/>
        </w:rPr>
        <w:t xml:space="preserve"> w wyk</w:t>
      </w:r>
      <w:r w:rsidR="00BC6E3D" w:rsidRPr="006A22D3">
        <w:rPr>
          <w:noProof/>
        </w:rPr>
        <w:t>onywaniu swoich obowiązków oraz wprowadzają środki na rzecz skutecznej wzajemnej współpracy. Wzajemna pomoc obejmuje współpracę mającą na celu wykonywanie uprawnień,</w:t>
      </w:r>
      <w:r w:rsidR="006A22D3" w:rsidRPr="006A22D3">
        <w:rPr>
          <w:noProof/>
        </w:rPr>
        <w:t xml:space="preserve"> o któ</w:t>
      </w:r>
      <w:r w:rsidR="00BC6E3D" w:rsidRPr="006A22D3">
        <w:rPr>
          <w:noProof/>
        </w:rPr>
        <w:t>rych mowa</w:t>
      </w:r>
      <w:r w:rsidR="006A22D3" w:rsidRPr="006A22D3">
        <w:rPr>
          <w:noProof/>
        </w:rPr>
        <w:t xml:space="preserve"> w art</w:t>
      </w:r>
      <w:r w:rsidR="00BC6E3D" w:rsidRPr="006A22D3">
        <w:rPr>
          <w:noProof/>
        </w:rPr>
        <w:t>.</w:t>
      </w:r>
      <w:r w:rsidR="00192E90" w:rsidRPr="006A22D3">
        <w:rPr>
          <w:noProof/>
        </w:rPr>
        <w:t> </w:t>
      </w:r>
      <w:r w:rsidR="00BC6E3D" w:rsidRPr="006A22D3">
        <w:rPr>
          <w:noProof/>
        </w:rPr>
        <w:t>18,</w:t>
      </w:r>
      <w:r w:rsidR="006A22D3" w:rsidRPr="006A22D3">
        <w:rPr>
          <w:noProof/>
        </w:rPr>
        <w:t xml:space="preserve"> w tym w odn</w:t>
      </w:r>
      <w:r w:rsidR="00BC6E3D" w:rsidRPr="006A22D3">
        <w:rPr>
          <w:noProof/>
        </w:rPr>
        <w:t>iesieniu do inspekcji oraz wniosków</w:t>
      </w:r>
      <w:r w:rsidR="006A22D3" w:rsidRPr="006A22D3">
        <w:rPr>
          <w:noProof/>
        </w:rPr>
        <w:t xml:space="preserve"> o udz</w:t>
      </w:r>
      <w:r w:rsidR="00BC6E3D" w:rsidRPr="006A22D3">
        <w:rPr>
          <w:noProof/>
        </w:rPr>
        <w:t xml:space="preserve">ielenie informacji. </w:t>
      </w:r>
    </w:p>
    <w:p w:rsidR="00E10567" w:rsidRPr="006A22D3" w:rsidRDefault="00D91F29" w:rsidP="00D91F29">
      <w:pPr>
        <w:pStyle w:val="ManualNumPar1"/>
        <w:rPr>
          <w:noProof/>
        </w:rPr>
      </w:pPr>
      <w:r w:rsidRPr="00D91F29">
        <w:t>3.</w:t>
      </w:r>
      <w:r w:rsidRPr="00D91F29">
        <w:tab/>
      </w:r>
      <w:r w:rsidR="00BC6E3D" w:rsidRPr="006A22D3">
        <w:rPr>
          <w:noProof/>
        </w:rPr>
        <w:t>Organy nadzorcze podejmują wszelkie odpowiednie kroki niezbędne do tego, aby odpowiedzi na wniosek innego organu nadzorczego</w:t>
      </w:r>
      <w:r w:rsidR="006A22D3" w:rsidRPr="006A22D3">
        <w:rPr>
          <w:noProof/>
        </w:rPr>
        <w:t xml:space="preserve"> o udz</w:t>
      </w:r>
      <w:r w:rsidR="00BC6E3D" w:rsidRPr="006A22D3">
        <w:rPr>
          <w:noProof/>
        </w:rPr>
        <w:t>ielenie pomocy udzielić bez zbędnej zwłoki</w:t>
      </w:r>
      <w:r w:rsidR="006A22D3" w:rsidRPr="006A22D3">
        <w:rPr>
          <w:noProof/>
        </w:rPr>
        <w:t xml:space="preserve"> i nie</w:t>
      </w:r>
      <w:r w:rsidR="00BC6E3D" w:rsidRPr="006A22D3">
        <w:rPr>
          <w:noProof/>
        </w:rPr>
        <w:t xml:space="preserve"> później niż</w:t>
      </w:r>
      <w:r w:rsidR="006A22D3" w:rsidRPr="006A22D3">
        <w:rPr>
          <w:noProof/>
        </w:rPr>
        <w:t xml:space="preserve"> w ter</w:t>
      </w:r>
      <w:r w:rsidR="00BC6E3D" w:rsidRPr="006A22D3">
        <w:rPr>
          <w:noProof/>
        </w:rPr>
        <w:t>minie 1 miesiąca od otrzymania wniosku. Kroki takie mogą obejmować</w:t>
      </w:r>
      <w:r w:rsidR="006A22D3" w:rsidRPr="006A22D3">
        <w:rPr>
          <w:noProof/>
        </w:rPr>
        <w:t xml:space="preserve"> w szc</w:t>
      </w:r>
      <w:r w:rsidR="00BC6E3D" w:rsidRPr="006A22D3">
        <w:rPr>
          <w:noProof/>
        </w:rPr>
        <w:t>zególności przekazanie stosownych informacji</w:t>
      </w:r>
      <w:r w:rsidR="006A22D3" w:rsidRPr="006A22D3">
        <w:rPr>
          <w:noProof/>
        </w:rPr>
        <w:t xml:space="preserve"> o prz</w:t>
      </w:r>
      <w:r w:rsidR="00BC6E3D" w:rsidRPr="006A22D3">
        <w:rPr>
          <w:noProof/>
        </w:rPr>
        <w:t>ebiegu postępowania wyjaśniającego.</w:t>
      </w:r>
    </w:p>
    <w:p w:rsidR="00E10567" w:rsidRPr="006A22D3" w:rsidRDefault="00D91F29" w:rsidP="00D91F29">
      <w:pPr>
        <w:pStyle w:val="ManualNumPar1"/>
        <w:rPr>
          <w:noProof/>
        </w:rPr>
      </w:pPr>
      <w:r w:rsidRPr="00D91F29">
        <w:t>4.</w:t>
      </w:r>
      <w:r w:rsidRPr="00D91F29">
        <w:tab/>
      </w:r>
      <w:r w:rsidR="00BC6E3D" w:rsidRPr="006A22D3">
        <w:rPr>
          <w:noProof/>
        </w:rPr>
        <w:t>Wniosek</w:t>
      </w:r>
      <w:r w:rsidR="006A22D3" w:rsidRPr="006A22D3">
        <w:rPr>
          <w:noProof/>
        </w:rPr>
        <w:t xml:space="preserve"> o pom</w:t>
      </w:r>
      <w:r w:rsidR="00BC6E3D" w:rsidRPr="006A22D3">
        <w:rPr>
          <w:noProof/>
        </w:rPr>
        <w:t>oc zawiera wszelkie niezbędne informacje,</w:t>
      </w:r>
      <w:r w:rsidR="006A22D3" w:rsidRPr="006A22D3">
        <w:rPr>
          <w:noProof/>
        </w:rPr>
        <w:t xml:space="preserve"> w tym</w:t>
      </w:r>
      <w:r w:rsidR="00BC6E3D" w:rsidRPr="006A22D3">
        <w:rPr>
          <w:noProof/>
        </w:rPr>
        <w:t xml:space="preserve"> cel</w:t>
      </w:r>
      <w:r w:rsidR="006A22D3" w:rsidRPr="006A22D3">
        <w:rPr>
          <w:noProof/>
        </w:rPr>
        <w:t xml:space="preserve"> i uza</w:t>
      </w:r>
      <w:r w:rsidR="00BC6E3D" w:rsidRPr="006A22D3">
        <w:rPr>
          <w:noProof/>
        </w:rPr>
        <w:t>sadnienie wniosku. Organy nadzorcze wykorzystują informacje uzyskane na podstawie wniosku</w:t>
      </w:r>
      <w:r w:rsidR="006A22D3" w:rsidRPr="006A22D3">
        <w:rPr>
          <w:noProof/>
        </w:rPr>
        <w:t xml:space="preserve"> o udz</w:t>
      </w:r>
      <w:r w:rsidR="00BC6E3D" w:rsidRPr="006A22D3">
        <w:rPr>
          <w:noProof/>
        </w:rPr>
        <w:t>ielenie pomocy wyłącznie do celów, których dotyczył wniosek.</w:t>
      </w:r>
    </w:p>
    <w:p w:rsidR="00E10567" w:rsidRPr="006A22D3" w:rsidRDefault="00D91F29" w:rsidP="00D91F29">
      <w:pPr>
        <w:pStyle w:val="ManualNumPar1"/>
        <w:rPr>
          <w:noProof/>
        </w:rPr>
      </w:pPr>
      <w:r w:rsidRPr="00D91F29">
        <w:t>5.</w:t>
      </w:r>
      <w:r w:rsidRPr="00D91F29">
        <w:tab/>
      </w:r>
      <w:r w:rsidR="00BC6E3D" w:rsidRPr="006A22D3">
        <w:rPr>
          <w:noProof/>
        </w:rPr>
        <w:t>Wezwany organ nadzorczy informuje organ nadzorczy, od którego pochodzi wniosek,</w:t>
      </w:r>
      <w:r w:rsidR="006A22D3" w:rsidRPr="006A22D3">
        <w:rPr>
          <w:noProof/>
        </w:rPr>
        <w:t xml:space="preserve"> o rez</w:t>
      </w:r>
      <w:r w:rsidR="00BC6E3D" w:rsidRPr="006A22D3">
        <w:rPr>
          <w:noProof/>
        </w:rPr>
        <w:t>ultatach lub</w:t>
      </w:r>
      <w:r w:rsidR="006A22D3" w:rsidRPr="006A22D3">
        <w:rPr>
          <w:noProof/>
        </w:rPr>
        <w:t xml:space="preserve"> w sto</w:t>
      </w:r>
      <w:r w:rsidR="00BC6E3D" w:rsidRPr="006A22D3">
        <w:rPr>
          <w:noProof/>
        </w:rPr>
        <w:t>sownym przypadku</w:t>
      </w:r>
      <w:r w:rsidR="006A22D3" w:rsidRPr="006A22D3">
        <w:rPr>
          <w:noProof/>
        </w:rPr>
        <w:t xml:space="preserve"> o pos</w:t>
      </w:r>
      <w:r w:rsidR="00BC6E3D" w:rsidRPr="006A22D3">
        <w:rPr>
          <w:noProof/>
        </w:rPr>
        <w:t>tępach lub środkach, które mają być zastosowane</w:t>
      </w:r>
      <w:r w:rsidR="006A22D3" w:rsidRPr="006A22D3">
        <w:rPr>
          <w:noProof/>
        </w:rPr>
        <w:t xml:space="preserve"> w zwi</w:t>
      </w:r>
      <w:r w:rsidR="00BC6E3D" w:rsidRPr="006A22D3">
        <w:rPr>
          <w:noProof/>
        </w:rPr>
        <w:t>ązku</w:t>
      </w:r>
      <w:r w:rsidR="006A22D3" w:rsidRPr="006A22D3">
        <w:rPr>
          <w:noProof/>
        </w:rPr>
        <w:t xml:space="preserve"> z wni</w:t>
      </w:r>
      <w:r w:rsidR="00BC6E3D" w:rsidRPr="006A22D3">
        <w:rPr>
          <w:noProof/>
        </w:rPr>
        <w:t>oskiem</w:t>
      </w:r>
      <w:r w:rsidR="006A22D3" w:rsidRPr="006A22D3">
        <w:rPr>
          <w:noProof/>
        </w:rPr>
        <w:t xml:space="preserve"> o udz</w:t>
      </w:r>
      <w:r w:rsidR="00BC6E3D" w:rsidRPr="006A22D3">
        <w:rPr>
          <w:noProof/>
        </w:rPr>
        <w:t>ielenie pomocy.</w:t>
      </w:r>
    </w:p>
    <w:p w:rsidR="00BC6E3D" w:rsidRPr="006A22D3" w:rsidRDefault="00D91F29" w:rsidP="00D91F29">
      <w:pPr>
        <w:pStyle w:val="ManualNumPar1"/>
        <w:rPr>
          <w:noProof/>
        </w:rPr>
      </w:pPr>
      <w:r w:rsidRPr="00D91F29">
        <w:t>6.</w:t>
      </w:r>
      <w:r w:rsidRPr="00D91F29">
        <w:tab/>
      </w:r>
      <w:r w:rsidR="00BC6E3D" w:rsidRPr="006A22D3">
        <w:rPr>
          <w:noProof/>
        </w:rPr>
        <w:t>Organy nadzorcze nie pobierają od siebie nawzajem opłat</w:t>
      </w:r>
      <w:r w:rsidR="006A22D3" w:rsidRPr="006A22D3">
        <w:rPr>
          <w:noProof/>
        </w:rPr>
        <w:t xml:space="preserve"> z tyt</w:t>
      </w:r>
      <w:r w:rsidR="00BC6E3D" w:rsidRPr="006A22D3">
        <w:rPr>
          <w:noProof/>
        </w:rPr>
        <w:t>ułu działań</w:t>
      </w:r>
      <w:r w:rsidR="006A22D3" w:rsidRPr="006A22D3">
        <w:rPr>
          <w:noProof/>
        </w:rPr>
        <w:t xml:space="preserve"> i śro</w:t>
      </w:r>
      <w:r w:rsidR="00BC6E3D" w:rsidRPr="006A22D3">
        <w:rPr>
          <w:noProof/>
        </w:rPr>
        <w:t>dków zastosowanych na podstawie wniosku</w:t>
      </w:r>
      <w:r w:rsidR="006A22D3" w:rsidRPr="006A22D3">
        <w:rPr>
          <w:noProof/>
        </w:rPr>
        <w:t xml:space="preserve"> o udz</w:t>
      </w:r>
      <w:r w:rsidR="00BC6E3D" w:rsidRPr="006A22D3">
        <w:rPr>
          <w:noProof/>
        </w:rPr>
        <w:t xml:space="preserve">ielenie pomocy. </w:t>
      </w:r>
    </w:p>
    <w:p w:rsidR="00E10567" w:rsidRPr="006A22D3" w:rsidRDefault="00BC6E3D" w:rsidP="00E10567">
      <w:pPr>
        <w:pStyle w:val="Text1"/>
        <w:rPr>
          <w:noProof/>
        </w:rPr>
      </w:pPr>
      <w:r w:rsidRPr="006A22D3">
        <w:rPr>
          <w:noProof/>
        </w:rPr>
        <w:t>Organy nadzorcze mogą jednak uzgodnić zasady dokonywania wzajemnego zwrotu konkretnych wydatków poniesionych</w:t>
      </w:r>
      <w:r w:rsidR="006A22D3" w:rsidRPr="006A22D3">
        <w:rPr>
          <w:noProof/>
        </w:rPr>
        <w:t xml:space="preserve"> w wyn</w:t>
      </w:r>
      <w:r w:rsidRPr="006A22D3">
        <w:rPr>
          <w:noProof/>
        </w:rPr>
        <w:t>iku świadczenia pomocy</w:t>
      </w:r>
      <w:r w:rsidR="006A22D3" w:rsidRPr="006A22D3">
        <w:rPr>
          <w:noProof/>
        </w:rPr>
        <w:t xml:space="preserve"> w wyj</w:t>
      </w:r>
      <w:r w:rsidRPr="006A22D3">
        <w:rPr>
          <w:noProof/>
        </w:rPr>
        <w:t>ątkowych przypadkach.</w:t>
      </w:r>
    </w:p>
    <w:p w:rsidR="00E10567" w:rsidRPr="006A22D3" w:rsidRDefault="00D91F29" w:rsidP="00D91F29">
      <w:pPr>
        <w:pStyle w:val="ManualNumPar1"/>
        <w:rPr>
          <w:noProof/>
        </w:rPr>
      </w:pPr>
      <w:r w:rsidRPr="00D91F29">
        <w:t>7.</w:t>
      </w:r>
      <w:r w:rsidRPr="00D91F29">
        <w:tab/>
      </w:r>
      <w:r w:rsidR="00BC6E3D" w:rsidRPr="006A22D3">
        <w:rPr>
          <w:noProof/>
        </w:rPr>
        <w:t>Organ nadzorczy właściwy na podstawie art.</w:t>
      </w:r>
      <w:r w:rsidR="00192E90" w:rsidRPr="006A22D3">
        <w:rPr>
          <w:noProof/>
        </w:rPr>
        <w:t> </w:t>
      </w:r>
      <w:r w:rsidR="00BC6E3D" w:rsidRPr="006A22D3">
        <w:rPr>
          <w:noProof/>
        </w:rPr>
        <w:t>17 ust.</w:t>
      </w:r>
      <w:r w:rsidR="00192E90" w:rsidRPr="006A22D3">
        <w:rPr>
          <w:noProof/>
        </w:rPr>
        <w:t> </w:t>
      </w:r>
      <w:r w:rsidR="00BC6E3D" w:rsidRPr="006A22D3">
        <w:rPr>
          <w:noProof/>
        </w:rPr>
        <w:t>3 informuje Europejską Sieć Organów Nadzorczych</w:t>
      </w:r>
      <w:r w:rsidR="006A22D3" w:rsidRPr="006A22D3">
        <w:rPr>
          <w:noProof/>
        </w:rPr>
        <w:t xml:space="preserve"> o tym</w:t>
      </w:r>
      <w:r w:rsidR="00BC6E3D" w:rsidRPr="006A22D3">
        <w:rPr>
          <w:noProof/>
        </w:rPr>
        <w:t xml:space="preserve"> fakcie oraz</w:t>
      </w:r>
      <w:r w:rsidR="006A22D3" w:rsidRPr="006A22D3">
        <w:rPr>
          <w:noProof/>
        </w:rPr>
        <w:t xml:space="preserve"> o wsz</w:t>
      </w:r>
      <w:r w:rsidR="00BC6E3D" w:rsidRPr="006A22D3">
        <w:rPr>
          <w:noProof/>
        </w:rPr>
        <w:t>elkich wnioskach</w:t>
      </w:r>
      <w:r w:rsidR="006A22D3" w:rsidRPr="006A22D3">
        <w:rPr>
          <w:noProof/>
        </w:rPr>
        <w:t xml:space="preserve"> o zmi</w:t>
      </w:r>
      <w:r w:rsidR="00BC6E3D" w:rsidRPr="006A22D3">
        <w:rPr>
          <w:noProof/>
        </w:rPr>
        <w:t xml:space="preserve">anę właściwego organu nadzorczego. </w:t>
      </w:r>
    </w:p>
    <w:p w:rsidR="00BC6E3D" w:rsidRPr="006A22D3" w:rsidRDefault="00D91F29" w:rsidP="00D91F29">
      <w:pPr>
        <w:pStyle w:val="ManualNumPar1"/>
        <w:rPr>
          <w:noProof/>
        </w:rPr>
      </w:pPr>
      <w:r w:rsidRPr="00D91F29">
        <w:t>8.</w:t>
      </w:r>
      <w:r w:rsidRPr="00D91F29">
        <w:tab/>
      </w:r>
      <w:r w:rsidR="00BC6E3D" w:rsidRPr="006A22D3">
        <w:rPr>
          <w:noProof/>
        </w:rPr>
        <w:t xml:space="preserve">Jeżeli istnieją wątpliwości co do przydziału kompetencji, informacje, na których opiera się ten przydział, zostaną przekazane Europejskiej Sieci Organów Nadzorczych, która może koordynować starania na rzecz znalezienia rozwiązania. </w:t>
      </w:r>
    </w:p>
    <w:p w:rsidR="00BC6E3D" w:rsidRPr="006A22D3" w:rsidRDefault="00BC6E3D" w:rsidP="00F452CF">
      <w:pPr>
        <w:pStyle w:val="Titrearticle"/>
        <w:rPr>
          <w:noProof/>
        </w:rPr>
      </w:pPr>
      <w:r w:rsidRPr="006A22D3">
        <w:rPr>
          <w:noProof/>
        </w:rPr>
        <w:t>Artykuł 22</w:t>
      </w:r>
    </w:p>
    <w:p w:rsidR="00BC6E3D" w:rsidRPr="006A22D3" w:rsidRDefault="00BC6E3D" w:rsidP="00F452CF">
      <w:pPr>
        <w:pStyle w:val="Articletitle"/>
        <w:rPr>
          <w:b w:val="0"/>
          <w:bCs w:val="0"/>
          <w:noProof/>
        </w:rPr>
      </w:pPr>
      <w:r w:rsidRPr="006A22D3">
        <w:rPr>
          <w:noProof/>
        </w:rPr>
        <w:t>Odpowiedzialność cywilna</w:t>
      </w:r>
    </w:p>
    <w:p w:rsidR="00BC6E3D" w:rsidRPr="006A22D3" w:rsidRDefault="00D91F29" w:rsidP="00D91F29">
      <w:pPr>
        <w:pStyle w:val="ManualNumPar1"/>
        <w:rPr>
          <w:noProof/>
        </w:rPr>
      </w:pPr>
      <w:r w:rsidRPr="00D91F29">
        <w:t>1.</w:t>
      </w:r>
      <w:r w:rsidRPr="00D91F29">
        <w:tab/>
      </w:r>
      <w:r w:rsidR="00BC6E3D" w:rsidRPr="006A22D3">
        <w:rPr>
          <w:noProof/>
        </w:rPr>
        <w:t xml:space="preserve">Państwa członkowskie zapewniają pociągnięcie przedsiębiorstw do odpowiedzialności za szkody, jeżeli: </w:t>
      </w:r>
    </w:p>
    <w:p w:rsidR="00BC6E3D" w:rsidRPr="006A22D3" w:rsidRDefault="00BC6E3D" w:rsidP="00E31C2E">
      <w:pPr>
        <w:pStyle w:val="Point1"/>
        <w:rPr>
          <w:noProof/>
        </w:rPr>
      </w:pPr>
      <w:r w:rsidRPr="006A22D3">
        <w:rPr>
          <w:noProof/>
        </w:rPr>
        <w:t>a)</w:t>
      </w:r>
      <w:r w:rsidRPr="006A22D3">
        <w:rPr>
          <w:noProof/>
        </w:rPr>
        <w:tab/>
        <w:t>nie wywiązały się</w:t>
      </w:r>
      <w:r w:rsidR="006A22D3" w:rsidRPr="006A22D3">
        <w:rPr>
          <w:noProof/>
        </w:rPr>
        <w:t xml:space="preserve"> z zob</w:t>
      </w:r>
      <w:r w:rsidRPr="006A22D3">
        <w:rPr>
          <w:noProof/>
        </w:rPr>
        <w:t>owiązań określonych</w:t>
      </w:r>
      <w:r w:rsidR="006A22D3" w:rsidRPr="006A22D3">
        <w:rPr>
          <w:noProof/>
        </w:rPr>
        <w:t xml:space="preserve"> w art</w:t>
      </w:r>
      <w:r w:rsidRPr="006A22D3">
        <w:rPr>
          <w:noProof/>
        </w:rPr>
        <w:t>.</w:t>
      </w:r>
      <w:r w:rsidR="00192E90" w:rsidRPr="006A22D3">
        <w:rPr>
          <w:noProof/>
        </w:rPr>
        <w:t> </w:t>
      </w:r>
      <w:r w:rsidRPr="006A22D3">
        <w:rPr>
          <w:noProof/>
        </w:rPr>
        <w:t>7</w:t>
      </w:r>
      <w:r w:rsidR="006A22D3" w:rsidRPr="006A22D3">
        <w:rPr>
          <w:noProof/>
        </w:rPr>
        <w:t xml:space="preserve"> i 8</w:t>
      </w:r>
      <w:r w:rsidRPr="006A22D3">
        <w:rPr>
          <w:noProof/>
        </w:rPr>
        <w:t xml:space="preserve"> oraz </w:t>
      </w:r>
    </w:p>
    <w:p w:rsidR="00BC6E3D" w:rsidRPr="006A22D3" w:rsidRDefault="00BC6E3D" w:rsidP="00E31C2E">
      <w:pPr>
        <w:pStyle w:val="Point1"/>
        <w:rPr>
          <w:noProof/>
        </w:rPr>
      </w:pPr>
      <w:r w:rsidRPr="006A22D3">
        <w:rPr>
          <w:noProof/>
        </w:rPr>
        <w:t>b)</w:t>
      </w:r>
      <w:r w:rsidRPr="006A22D3">
        <w:rPr>
          <w:noProof/>
        </w:rPr>
        <w:tab/>
        <w:t>takie niewywiązanie się</w:t>
      </w:r>
      <w:r w:rsidR="006A22D3" w:rsidRPr="006A22D3">
        <w:rPr>
          <w:noProof/>
        </w:rPr>
        <w:t xml:space="preserve"> z zob</w:t>
      </w:r>
      <w:r w:rsidRPr="006A22D3">
        <w:rPr>
          <w:noProof/>
        </w:rPr>
        <w:t>owiązań miało niekorzystne skutki, które należało zidentyfikować, zapobiec im, złagodzić je, powstrzymać lub zminimalizować ich zasięg za pomocą odpowiednich środków określonych</w:t>
      </w:r>
      <w:r w:rsidR="006A22D3" w:rsidRPr="006A22D3">
        <w:rPr>
          <w:noProof/>
        </w:rPr>
        <w:t xml:space="preserve"> w art</w:t>
      </w:r>
      <w:r w:rsidRPr="006A22D3">
        <w:rPr>
          <w:noProof/>
        </w:rPr>
        <w:t>.</w:t>
      </w:r>
      <w:r w:rsidR="00192E90" w:rsidRPr="006A22D3">
        <w:rPr>
          <w:noProof/>
        </w:rPr>
        <w:t> </w:t>
      </w:r>
      <w:r w:rsidRPr="006A22D3">
        <w:rPr>
          <w:noProof/>
        </w:rPr>
        <w:t>7</w:t>
      </w:r>
      <w:r w:rsidR="006A22D3" w:rsidRPr="006A22D3">
        <w:rPr>
          <w:noProof/>
        </w:rPr>
        <w:t xml:space="preserve"> i 8</w:t>
      </w:r>
      <w:r w:rsidRPr="006A22D3">
        <w:rPr>
          <w:noProof/>
        </w:rPr>
        <w:t>,</w:t>
      </w:r>
      <w:r w:rsidR="006A22D3" w:rsidRPr="006A22D3">
        <w:rPr>
          <w:noProof/>
        </w:rPr>
        <w:t xml:space="preserve"> i któ</w:t>
      </w:r>
      <w:r w:rsidRPr="006A22D3">
        <w:rPr>
          <w:noProof/>
        </w:rPr>
        <w:t xml:space="preserve">re doprowadziły do powstania szkody. </w:t>
      </w:r>
    </w:p>
    <w:p w:rsidR="00BC6E3D" w:rsidRPr="006A22D3" w:rsidRDefault="00D91F29" w:rsidP="00D91F29">
      <w:pPr>
        <w:pStyle w:val="ManualNumPar1"/>
        <w:rPr>
          <w:noProof/>
        </w:rPr>
      </w:pPr>
      <w:r w:rsidRPr="00D91F29">
        <w:t>2.</w:t>
      </w:r>
      <w:r w:rsidRPr="00D91F29">
        <w:tab/>
      </w:r>
      <w:r w:rsidR="00BC6E3D" w:rsidRPr="006A22D3">
        <w:rPr>
          <w:noProof/>
        </w:rPr>
        <w:t>Niezależnie od ust.</w:t>
      </w:r>
      <w:r w:rsidR="00192E90" w:rsidRPr="006A22D3">
        <w:rPr>
          <w:noProof/>
        </w:rPr>
        <w:t> </w:t>
      </w:r>
      <w:r w:rsidR="00BC6E3D" w:rsidRPr="006A22D3">
        <w:rPr>
          <w:noProof/>
        </w:rPr>
        <w:t>1 państwa członkowskie zapewniają, aby</w:t>
      </w:r>
      <w:r w:rsidR="006A22D3" w:rsidRPr="006A22D3">
        <w:rPr>
          <w:noProof/>
        </w:rPr>
        <w:t xml:space="preserve"> w prz</w:t>
      </w:r>
      <w:r w:rsidR="00BC6E3D" w:rsidRPr="006A22D3">
        <w:rPr>
          <w:noProof/>
        </w:rPr>
        <w:t>ypadku, gdy przedsiębiorstwo podjęło działania,</w:t>
      </w:r>
      <w:r w:rsidR="006A22D3" w:rsidRPr="006A22D3">
        <w:rPr>
          <w:noProof/>
        </w:rPr>
        <w:t xml:space="preserve"> o któ</w:t>
      </w:r>
      <w:r w:rsidR="00BC6E3D" w:rsidRPr="006A22D3">
        <w:rPr>
          <w:noProof/>
        </w:rPr>
        <w:t>rych mowa</w:t>
      </w:r>
      <w:r w:rsidR="006A22D3" w:rsidRPr="006A22D3">
        <w:rPr>
          <w:noProof/>
        </w:rPr>
        <w:t xml:space="preserve"> w art</w:t>
      </w:r>
      <w:r w:rsidR="00BC6E3D" w:rsidRPr="006A22D3">
        <w:rPr>
          <w:noProof/>
        </w:rPr>
        <w:t>.</w:t>
      </w:r>
      <w:r w:rsidR="00192E90" w:rsidRPr="006A22D3">
        <w:rPr>
          <w:noProof/>
        </w:rPr>
        <w:t> </w:t>
      </w:r>
      <w:r w:rsidR="00BC6E3D" w:rsidRPr="006A22D3">
        <w:rPr>
          <w:noProof/>
        </w:rPr>
        <w:t>7 ust.</w:t>
      </w:r>
      <w:r w:rsidR="00192E90" w:rsidRPr="006A22D3">
        <w:rPr>
          <w:noProof/>
        </w:rPr>
        <w:t> </w:t>
      </w:r>
      <w:r w:rsidR="00BC6E3D" w:rsidRPr="006A22D3">
        <w:rPr>
          <w:noProof/>
        </w:rPr>
        <w:t>2 lit.</w:t>
      </w:r>
      <w:r w:rsidR="00192E90" w:rsidRPr="006A22D3">
        <w:rPr>
          <w:noProof/>
        </w:rPr>
        <w:t> </w:t>
      </w:r>
      <w:r w:rsidR="00BC6E3D" w:rsidRPr="006A22D3">
        <w:rPr>
          <w:noProof/>
        </w:rPr>
        <w:t>b)</w:t>
      </w:r>
      <w:r w:rsidR="006A22D3" w:rsidRPr="006A22D3">
        <w:rPr>
          <w:noProof/>
        </w:rPr>
        <w:t xml:space="preserve"> i art</w:t>
      </w:r>
      <w:r w:rsidR="00BC6E3D" w:rsidRPr="006A22D3">
        <w:rPr>
          <w:noProof/>
        </w:rPr>
        <w:t>.</w:t>
      </w:r>
      <w:r w:rsidR="00192E90" w:rsidRPr="006A22D3">
        <w:rPr>
          <w:noProof/>
        </w:rPr>
        <w:t> </w:t>
      </w:r>
      <w:r w:rsidR="00BC6E3D" w:rsidRPr="006A22D3">
        <w:rPr>
          <w:noProof/>
        </w:rPr>
        <w:t>7 ust.</w:t>
      </w:r>
      <w:r w:rsidR="00192E90" w:rsidRPr="006A22D3">
        <w:rPr>
          <w:noProof/>
        </w:rPr>
        <w:t> </w:t>
      </w:r>
      <w:r w:rsidR="00BC6E3D" w:rsidRPr="006A22D3">
        <w:rPr>
          <w:noProof/>
        </w:rPr>
        <w:t>4 lub art.</w:t>
      </w:r>
      <w:r w:rsidR="00192E90" w:rsidRPr="006A22D3">
        <w:rPr>
          <w:noProof/>
        </w:rPr>
        <w:t> </w:t>
      </w:r>
      <w:r w:rsidR="00BC6E3D" w:rsidRPr="006A22D3">
        <w:rPr>
          <w:noProof/>
        </w:rPr>
        <w:t>8 ust.</w:t>
      </w:r>
      <w:r w:rsidR="00192E90" w:rsidRPr="006A22D3">
        <w:rPr>
          <w:noProof/>
        </w:rPr>
        <w:t> </w:t>
      </w:r>
      <w:r w:rsidR="00BC6E3D" w:rsidRPr="006A22D3">
        <w:rPr>
          <w:noProof/>
        </w:rPr>
        <w:t>3 lit.</w:t>
      </w:r>
      <w:r w:rsidR="00192E90" w:rsidRPr="006A22D3">
        <w:rPr>
          <w:noProof/>
        </w:rPr>
        <w:t> </w:t>
      </w:r>
      <w:r w:rsidR="00BC6E3D" w:rsidRPr="006A22D3">
        <w:rPr>
          <w:noProof/>
        </w:rPr>
        <w:t>c)</w:t>
      </w:r>
      <w:r w:rsidR="006A22D3" w:rsidRPr="006A22D3">
        <w:rPr>
          <w:noProof/>
        </w:rPr>
        <w:t xml:space="preserve"> i art</w:t>
      </w:r>
      <w:r w:rsidR="00BC6E3D" w:rsidRPr="006A22D3">
        <w:rPr>
          <w:noProof/>
        </w:rPr>
        <w:t>.</w:t>
      </w:r>
      <w:r w:rsidR="00192E90" w:rsidRPr="006A22D3">
        <w:rPr>
          <w:noProof/>
        </w:rPr>
        <w:t> </w:t>
      </w:r>
      <w:r w:rsidR="00BC6E3D" w:rsidRPr="006A22D3">
        <w:rPr>
          <w:noProof/>
        </w:rPr>
        <w:t>8 ust.</w:t>
      </w:r>
      <w:r w:rsidR="00192E90" w:rsidRPr="006A22D3">
        <w:rPr>
          <w:noProof/>
        </w:rPr>
        <w:t> </w:t>
      </w:r>
      <w:r w:rsidR="00BC6E3D" w:rsidRPr="006A22D3">
        <w:rPr>
          <w:noProof/>
        </w:rPr>
        <w:t>5, nie ponosiło ono odpowiedzialności za szkody spowodowane niekorzystnymi skutkami wynikającymi</w:t>
      </w:r>
      <w:r w:rsidR="006A22D3" w:rsidRPr="006A22D3">
        <w:rPr>
          <w:noProof/>
        </w:rPr>
        <w:t xml:space="preserve"> z dzi</w:t>
      </w:r>
      <w:r w:rsidR="00BC6E3D" w:rsidRPr="006A22D3">
        <w:rPr>
          <w:noProof/>
        </w:rPr>
        <w:t>ałań partnera pośredniego,</w:t>
      </w:r>
      <w:r w:rsidR="006A22D3" w:rsidRPr="006A22D3">
        <w:rPr>
          <w:noProof/>
        </w:rPr>
        <w:t xml:space="preserve"> z któ</w:t>
      </w:r>
      <w:r w:rsidR="00BC6E3D" w:rsidRPr="006A22D3">
        <w:rPr>
          <w:noProof/>
        </w:rPr>
        <w:t>rym pozostaje</w:t>
      </w:r>
      <w:r w:rsidR="006A22D3" w:rsidRPr="006A22D3">
        <w:rPr>
          <w:noProof/>
        </w:rPr>
        <w:t xml:space="preserve"> w sta</w:t>
      </w:r>
      <w:r w:rsidR="00BC6E3D" w:rsidRPr="006A22D3">
        <w:rPr>
          <w:noProof/>
        </w:rPr>
        <w:t>łych relacjach biznesowych, chyba że ze względu na okoliczności sprawy nie można było racjonalnie oczekiwać, że faktycznie podjęte działania,</w:t>
      </w:r>
      <w:r w:rsidR="006A22D3" w:rsidRPr="006A22D3">
        <w:rPr>
          <w:noProof/>
        </w:rPr>
        <w:t xml:space="preserve"> w tym w zak</w:t>
      </w:r>
      <w:r w:rsidR="00BC6E3D" w:rsidRPr="006A22D3">
        <w:rPr>
          <w:noProof/>
        </w:rPr>
        <w:t>resie sprawdzania zgodności, będą odpowiednie do tego, aby zapobiec tym niekorzystnym skutkom, złagodzić je, powstrzymać lub zminimalizować.</w:t>
      </w:r>
    </w:p>
    <w:p w:rsidR="00BC6E3D" w:rsidRPr="006A22D3" w:rsidRDefault="00BC6E3D" w:rsidP="00BB7394">
      <w:pPr>
        <w:pStyle w:val="Text1"/>
        <w:rPr>
          <w:noProof/>
        </w:rPr>
      </w:pPr>
      <w:r w:rsidRPr="006A22D3">
        <w:rPr>
          <w:noProof/>
        </w:rPr>
        <w:t>W ocenie istnienia</w:t>
      </w:r>
      <w:r w:rsidR="006A22D3" w:rsidRPr="006A22D3">
        <w:rPr>
          <w:noProof/>
        </w:rPr>
        <w:t xml:space="preserve"> i zak</w:t>
      </w:r>
      <w:r w:rsidRPr="006A22D3">
        <w:rPr>
          <w:noProof/>
        </w:rPr>
        <w:t>resu odpowiedzialności zgodnie</w:t>
      </w:r>
      <w:r w:rsidR="006A22D3" w:rsidRPr="006A22D3">
        <w:rPr>
          <w:noProof/>
        </w:rPr>
        <w:t xml:space="preserve"> z nin</w:t>
      </w:r>
      <w:r w:rsidRPr="006A22D3">
        <w:rPr>
          <w:noProof/>
        </w:rPr>
        <w:t>iejszym ustępem należy należycie uwzględnić podjęte dotychczas starania przedsiębiorstwa –</w:t>
      </w:r>
      <w:r w:rsidR="006A22D3" w:rsidRPr="006A22D3">
        <w:rPr>
          <w:noProof/>
        </w:rPr>
        <w:t xml:space="preserve"> w zak</w:t>
      </w:r>
      <w:r w:rsidRPr="006A22D3">
        <w:rPr>
          <w:noProof/>
        </w:rPr>
        <w:t>resie,</w:t>
      </w:r>
      <w:r w:rsidR="006A22D3" w:rsidRPr="006A22D3">
        <w:rPr>
          <w:noProof/>
        </w:rPr>
        <w:t xml:space="preserve"> w jak</w:t>
      </w:r>
      <w:r w:rsidRPr="006A22D3">
        <w:rPr>
          <w:noProof/>
        </w:rPr>
        <w:t>im dotyczą bezpośrednio przedmiotowej szkody –</w:t>
      </w:r>
      <w:r w:rsidR="006A22D3" w:rsidRPr="006A22D3">
        <w:rPr>
          <w:noProof/>
        </w:rPr>
        <w:t xml:space="preserve"> w cel</w:t>
      </w:r>
      <w:r w:rsidRPr="006A22D3">
        <w:rPr>
          <w:noProof/>
        </w:rPr>
        <w:t>u podjęcia wszelkich działań zaradczych wymaganych od niego przez organ nadzorczy, wszelkie dokonane inwestycje</w:t>
      </w:r>
      <w:r w:rsidR="006A22D3" w:rsidRPr="006A22D3">
        <w:rPr>
          <w:noProof/>
        </w:rPr>
        <w:t xml:space="preserve"> i uki</w:t>
      </w:r>
      <w:r w:rsidRPr="006A22D3">
        <w:rPr>
          <w:noProof/>
        </w:rPr>
        <w:t>erunkowane wsparcie udzielone zgodnie</w:t>
      </w:r>
      <w:r w:rsidR="006A22D3" w:rsidRPr="006A22D3">
        <w:rPr>
          <w:noProof/>
        </w:rPr>
        <w:t xml:space="preserve"> z art</w:t>
      </w:r>
      <w:r w:rsidRPr="006A22D3">
        <w:rPr>
          <w:noProof/>
        </w:rPr>
        <w:t>.</w:t>
      </w:r>
      <w:r w:rsidR="00192E90" w:rsidRPr="006A22D3">
        <w:rPr>
          <w:noProof/>
        </w:rPr>
        <w:t> </w:t>
      </w:r>
      <w:r w:rsidRPr="006A22D3">
        <w:rPr>
          <w:noProof/>
        </w:rPr>
        <w:t>7</w:t>
      </w:r>
      <w:r w:rsidR="006A22D3" w:rsidRPr="006A22D3">
        <w:rPr>
          <w:noProof/>
        </w:rPr>
        <w:t xml:space="preserve"> i 8</w:t>
      </w:r>
      <w:r w:rsidRPr="006A22D3">
        <w:rPr>
          <w:noProof/>
        </w:rPr>
        <w:t>,</w:t>
      </w:r>
      <w:r w:rsidR="006A22D3" w:rsidRPr="006A22D3">
        <w:rPr>
          <w:noProof/>
        </w:rPr>
        <w:t xml:space="preserve"> a tak</w:t>
      </w:r>
      <w:r w:rsidRPr="006A22D3">
        <w:rPr>
          <w:noProof/>
        </w:rPr>
        <w:t>że współpracę</w:t>
      </w:r>
      <w:r w:rsidR="006A22D3" w:rsidRPr="006A22D3">
        <w:rPr>
          <w:noProof/>
        </w:rPr>
        <w:t xml:space="preserve"> z inn</w:t>
      </w:r>
      <w:r w:rsidRPr="006A22D3">
        <w:rPr>
          <w:noProof/>
        </w:rPr>
        <w:t>ymi podmiotami</w:t>
      </w:r>
      <w:r w:rsidR="006A22D3" w:rsidRPr="006A22D3">
        <w:rPr>
          <w:noProof/>
        </w:rPr>
        <w:t xml:space="preserve"> w cel</w:t>
      </w:r>
      <w:r w:rsidRPr="006A22D3">
        <w:rPr>
          <w:noProof/>
        </w:rPr>
        <w:t>u przeciwdziałania niekorzystnym skutkom</w:t>
      </w:r>
      <w:r w:rsidR="006A22D3" w:rsidRPr="006A22D3">
        <w:rPr>
          <w:noProof/>
        </w:rPr>
        <w:t xml:space="preserve"> w łań</w:t>
      </w:r>
      <w:r w:rsidRPr="006A22D3">
        <w:rPr>
          <w:noProof/>
        </w:rPr>
        <w:t>cuchach wartości.</w:t>
      </w:r>
    </w:p>
    <w:p w:rsidR="00BC6E3D" w:rsidRPr="006A22D3" w:rsidRDefault="00D91F29" w:rsidP="00D91F29">
      <w:pPr>
        <w:pStyle w:val="ManualNumPar1"/>
        <w:rPr>
          <w:noProof/>
        </w:rPr>
      </w:pPr>
      <w:r w:rsidRPr="00D91F29">
        <w:t>3.</w:t>
      </w:r>
      <w:r w:rsidRPr="00D91F29">
        <w:tab/>
      </w:r>
      <w:r w:rsidR="00BC6E3D" w:rsidRPr="006A22D3">
        <w:rPr>
          <w:noProof/>
        </w:rPr>
        <w:t>Odpowiedzialność cywilna przedsiębiorstwa za szkody powstałe na mocy niniejszego przepisu pozostaje bez uszczerbku dla odpowiedzialności cywilnej jego jednostek zależnych lub bezpośrednich</w:t>
      </w:r>
      <w:r w:rsidR="006A22D3" w:rsidRPr="006A22D3">
        <w:rPr>
          <w:noProof/>
        </w:rPr>
        <w:t xml:space="preserve"> i poś</w:t>
      </w:r>
      <w:r w:rsidR="00BC6E3D" w:rsidRPr="006A22D3">
        <w:rPr>
          <w:noProof/>
        </w:rPr>
        <w:t>rednich partnerów biznesowych</w:t>
      </w:r>
      <w:r w:rsidR="006A22D3" w:rsidRPr="006A22D3">
        <w:rPr>
          <w:noProof/>
        </w:rPr>
        <w:t xml:space="preserve"> w łań</w:t>
      </w:r>
      <w:r w:rsidR="00BC6E3D" w:rsidRPr="006A22D3">
        <w:rPr>
          <w:noProof/>
        </w:rPr>
        <w:t>cuchu wartości.</w:t>
      </w:r>
    </w:p>
    <w:p w:rsidR="00BC6E3D" w:rsidRPr="006A22D3" w:rsidRDefault="00D91F29" w:rsidP="00D91F29">
      <w:pPr>
        <w:pStyle w:val="ManualNumPar1"/>
        <w:rPr>
          <w:noProof/>
        </w:rPr>
      </w:pPr>
      <w:r w:rsidRPr="00D91F29">
        <w:t>4.</w:t>
      </w:r>
      <w:r w:rsidRPr="00D91F29">
        <w:tab/>
      </w:r>
      <w:r w:rsidR="00BC6E3D" w:rsidRPr="006A22D3">
        <w:rPr>
          <w:noProof/>
        </w:rPr>
        <w:t>Zasady odpowiedzialności cywilnej wynikające</w:t>
      </w:r>
      <w:r w:rsidR="006A22D3" w:rsidRPr="006A22D3">
        <w:rPr>
          <w:noProof/>
        </w:rPr>
        <w:t xml:space="preserve"> z nin</w:t>
      </w:r>
      <w:r w:rsidR="00BC6E3D" w:rsidRPr="006A22D3">
        <w:rPr>
          <w:noProof/>
        </w:rPr>
        <w:t>iejszej dyrektywy pozostają bez uszczerbku dla unijnych lub krajowych przepisów dotyczących odpowiedzialności cywilnej związanej</w:t>
      </w:r>
      <w:r w:rsidR="006A22D3" w:rsidRPr="006A22D3">
        <w:rPr>
          <w:noProof/>
        </w:rPr>
        <w:t xml:space="preserve"> z nie</w:t>
      </w:r>
      <w:r w:rsidR="00BC6E3D" w:rsidRPr="006A22D3">
        <w:rPr>
          <w:noProof/>
        </w:rPr>
        <w:t>korzystnymi skutkami dla praw człowieka lub niekorzystnymi skutkami dla środowiska, które przewidują odpowiedzialność</w:t>
      </w:r>
      <w:r w:rsidR="006A22D3" w:rsidRPr="006A22D3">
        <w:rPr>
          <w:noProof/>
        </w:rPr>
        <w:t xml:space="preserve"> w syt</w:t>
      </w:r>
      <w:r w:rsidR="00BC6E3D" w:rsidRPr="006A22D3">
        <w:rPr>
          <w:noProof/>
        </w:rPr>
        <w:t>uacjach nieobjętych niniejszą dyrektywą lub przewidujących odpowiedzialność surowszą niż niniejsza dyrektywa.</w:t>
      </w:r>
    </w:p>
    <w:p w:rsidR="000905C3" w:rsidRPr="006A22D3" w:rsidRDefault="00D91F29" w:rsidP="00D91F29">
      <w:pPr>
        <w:pStyle w:val="ManualNumPar1"/>
        <w:rPr>
          <w:noProof/>
        </w:rPr>
      </w:pPr>
      <w:r w:rsidRPr="00D91F29">
        <w:t>5.</w:t>
      </w:r>
      <w:r w:rsidRPr="00D91F29">
        <w:tab/>
      </w:r>
      <w:r w:rsidR="00D372D3" w:rsidRPr="006A22D3">
        <w:rPr>
          <w:noProof/>
        </w:rPr>
        <w:t>Państwa członkowskie zapewniają, aby odpowiedzialność przewidziana</w:t>
      </w:r>
      <w:r w:rsidR="006A22D3" w:rsidRPr="006A22D3">
        <w:rPr>
          <w:noProof/>
        </w:rPr>
        <w:t xml:space="preserve"> w prz</w:t>
      </w:r>
      <w:r w:rsidR="00D372D3" w:rsidRPr="006A22D3">
        <w:rPr>
          <w:noProof/>
        </w:rPr>
        <w:t>episach prawa krajowego transponujących niniejszy artykuł miała nadrzędne, bezwzględnie obowiązujące zastosowanie</w:t>
      </w:r>
      <w:r w:rsidR="006A22D3" w:rsidRPr="006A22D3">
        <w:rPr>
          <w:noProof/>
        </w:rPr>
        <w:t xml:space="preserve"> w prz</w:t>
      </w:r>
      <w:r w:rsidR="00D372D3" w:rsidRPr="006A22D3">
        <w:rPr>
          <w:noProof/>
        </w:rPr>
        <w:t>ypadkach, gdy prawo właściwe dla roszczeń</w:t>
      </w:r>
      <w:r w:rsidR="006A22D3" w:rsidRPr="006A22D3">
        <w:rPr>
          <w:noProof/>
        </w:rPr>
        <w:t xml:space="preserve"> w tym</w:t>
      </w:r>
      <w:r w:rsidR="00D372D3" w:rsidRPr="006A22D3">
        <w:rPr>
          <w:noProof/>
        </w:rPr>
        <w:t xml:space="preserve"> zakresie nie jest prawem państwa członkowskiego.</w:t>
      </w:r>
    </w:p>
    <w:p w:rsidR="00BC6E3D" w:rsidRPr="006A22D3" w:rsidRDefault="00BC6E3D" w:rsidP="00F452CF">
      <w:pPr>
        <w:pStyle w:val="Titrearticle"/>
        <w:rPr>
          <w:i w:val="0"/>
          <w:noProof/>
        </w:rPr>
      </w:pPr>
      <w:r w:rsidRPr="006A22D3">
        <w:rPr>
          <w:noProof/>
        </w:rPr>
        <w:t>Artykuł 23</w:t>
      </w:r>
    </w:p>
    <w:p w:rsidR="00BC6E3D" w:rsidRPr="006A22D3" w:rsidRDefault="00BC6E3D" w:rsidP="00F452CF">
      <w:pPr>
        <w:pStyle w:val="Articletitle"/>
        <w:rPr>
          <w:b w:val="0"/>
          <w:bCs w:val="0"/>
          <w:noProof/>
        </w:rPr>
      </w:pPr>
      <w:r w:rsidRPr="006A22D3">
        <w:rPr>
          <w:noProof/>
        </w:rPr>
        <w:t>Zgłaszanie naruszeń</w:t>
      </w:r>
      <w:r w:rsidR="006A22D3" w:rsidRPr="006A22D3">
        <w:rPr>
          <w:noProof/>
        </w:rPr>
        <w:t xml:space="preserve"> i och</w:t>
      </w:r>
      <w:r w:rsidRPr="006A22D3">
        <w:rPr>
          <w:noProof/>
        </w:rPr>
        <w:t>rona osób dokonujących zgłoszeń</w:t>
      </w:r>
    </w:p>
    <w:p w:rsidR="0051288A" w:rsidRPr="006A22D3" w:rsidRDefault="00BC6E3D" w:rsidP="00D507AE">
      <w:pPr>
        <w:rPr>
          <w:noProof/>
        </w:rPr>
      </w:pPr>
      <w:r w:rsidRPr="006A22D3">
        <w:rPr>
          <w:noProof/>
        </w:rPr>
        <w:t>W odniesieniu do przypadków zgłaszania wszystkich naruszeń niniejszej dyrektywy oraz</w:t>
      </w:r>
      <w:r w:rsidR="006A22D3" w:rsidRPr="006A22D3">
        <w:rPr>
          <w:noProof/>
        </w:rPr>
        <w:t xml:space="preserve"> w kwe</w:t>
      </w:r>
      <w:r w:rsidRPr="006A22D3">
        <w:rPr>
          <w:noProof/>
        </w:rPr>
        <w:t>stiach ochrony osób zgłaszających takie naruszenia zastosowanie mają przepisy dyrektywy (UE) 2019/1937.</w:t>
      </w:r>
    </w:p>
    <w:p w:rsidR="00BC6E3D" w:rsidRPr="006A22D3" w:rsidRDefault="00BC6E3D" w:rsidP="00F452CF">
      <w:pPr>
        <w:pStyle w:val="Titrearticle"/>
        <w:rPr>
          <w:i w:val="0"/>
          <w:noProof/>
        </w:rPr>
      </w:pPr>
      <w:r w:rsidRPr="006A22D3">
        <w:rPr>
          <w:noProof/>
        </w:rPr>
        <w:t>Artykuł 24</w:t>
      </w:r>
    </w:p>
    <w:p w:rsidR="00BC6E3D" w:rsidRPr="006A22D3" w:rsidRDefault="00BC6E3D" w:rsidP="00F452CF">
      <w:pPr>
        <w:pStyle w:val="Articletitle"/>
        <w:rPr>
          <w:b w:val="0"/>
          <w:bCs w:val="0"/>
          <w:i/>
          <w:noProof/>
        </w:rPr>
      </w:pPr>
      <w:r w:rsidRPr="006A22D3">
        <w:rPr>
          <w:noProof/>
        </w:rPr>
        <w:t>Wsparcie publiczne</w:t>
      </w:r>
    </w:p>
    <w:p w:rsidR="00BC6E3D" w:rsidRPr="006A22D3" w:rsidRDefault="00BC6E3D" w:rsidP="00BC6E3D">
      <w:pPr>
        <w:rPr>
          <w:noProof/>
        </w:rPr>
      </w:pPr>
      <w:r w:rsidRPr="006A22D3">
        <w:rPr>
          <w:noProof/>
        </w:rPr>
        <w:t>Państwa członkowskie zapewniają, aby przedsiębiorstwa składające wnioski</w:t>
      </w:r>
      <w:r w:rsidR="006A22D3" w:rsidRPr="006A22D3">
        <w:rPr>
          <w:noProof/>
        </w:rPr>
        <w:t xml:space="preserve"> o wsp</w:t>
      </w:r>
      <w:r w:rsidRPr="006A22D3">
        <w:rPr>
          <w:noProof/>
        </w:rPr>
        <w:t>arcie publiczne zaświadczyły, że nie zostały na nie nałożone żadne sankcje</w:t>
      </w:r>
      <w:r w:rsidR="006A22D3" w:rsidRPr="006A22D3">
        <w:rPr>
          <w:noProof/>
        </w:rPr>
        <w:t xml:space="preserve"> z tyt</w:t>
      </w:r>
      <w:r w:rsidRPr="006A22D3">
        <w:rPr>
          <w:noProof/>
        </w:rPr>
        <w:t>ułu niewywiązania się</w:t>
      </w:r>
      <w:r w:rsidR="006A22D3" w:rsidRPr="006A22D3">
        <w:rPr>
          <w:noProof/>
        </w:rPr>
        <w:t xml:space="preserve"> z zob</w:t>
      </w:r>
      <w:r w:rsidRPr="006A22D3">
        <w:rPr>
          <w:noProof/>
        </w:rPr>
        <w:t>owiązań wynikających</w:t>
      </w:r>
      <w:r w:rsidR="006A22D3" w:rsidRPr="006A22D3">
        <w:rPr>
          <w:noProof/>
        </w:rPr>
        <w:t xml:space="preserve"> z nin</w:t>
      </w:r>
      <w:r w:rsidRPr="006A22D3">
        <w:rPr>
          <w:noProof/>
        </w:rPr>
        <w:t xml:space="preserve">iejszej dyrektywy. </w:t>
      </w:r>
    </w:p>
    <w:p w:rsidR="00BC6E3D" w:rsidRPr="006A22D3" w:rsidRDefault="00BC6E3D" w:rsidP="00F452CF">
      <w:pPr>
        <w:pStyle w:val="Titrearticle"/>
        <w:rPr>
          <w:i w:val="0"/>
          <w:noProof/>
          <w:szCs w:val="24"/>
        </w:rPr>
      </w:pPr>
      <w:r w:rsidRPr="006A22D3">
        <w:rPr>
          <w:noProof/>
        </w:rPr>
        <w:t>Artykuł 25</w:t>
      </w:r>
    </w:p>
    <w:p w:rsidR="00BC6E3D" w:rsidRPr="006A22D3" w:rsidRDefault="00BC6E3D" w:rsidP="00F452CF">
      <w:pPr>
        <w:pStyle w:val="Articletitle"/>
        <w:rPr>
          <w:b w:val="0"/>
          <w:bCs w:val="0"/>
          <w:noProof/>
        </w:rPr>
      </w:pPr>
      <w:r w:rsidRPr="006A22D3">
        <w:rPr>
          <w:noProof/>
        </w:rPr>
        <w:t>Obowiązek dyrektorów</w:t>
      </w:r>
      <w:r w:rsidR="006A22D3" w:rsidRPr="006A22D3">
        <w:rPr>
          <w:noProof/>
        </w:rPr>
        <w:t xml:space="preserve"> w zak</w:t>
      </w:r>
      <w:r w:rsidRPr="006A22D3">
        <w:rPr>
          <w:noProof/>
        </w:rPr>
        <w:t xml:space="preserve">resie dbałości </w:t>
      </w:r>
    </w:p>
    <w:p w:rsidR="005E5B18" w:rsidRPr="006A22D3" w:rsidRDefault="00D91F29" w:rsidP="00D91F29">
      <w:pPr>
        <w:pStyle w:val="ManualNumPar1"/>
        <w:rPr>
          <w:noProof/>
          <w:szCs w:val="24"/>
        </w:rPr>
      </w:pPr>
      <w:r w:rsidRPr="00D91F29">
        <w:t>1.</w:t>
      </w:r>
      <w:r w:rsidRPr="00D91F29">
        <w:tab/>
      </w:r>
      <w:r w:rsidR="005B3488" w:rsidRPr="006A22D3">
        <w:rPr>
          <w:noProof/>
        </w:rPr>
        <w:t>Państwa członkowskie zapewniają, aby dyrektorzy przedsiębiorstw,</w:t>
      </w:r>
      <w:r w:rsidR="006A22D3" w:rsidRPr="006A22D3">
        <w:rPr>
          <w:noProof/>
        </w:rPr>
        <w:t xml:space="preserve"> o któ</w:t>
      </w:r>
      <w:r w:rsidR="005B3488" w:rsidRPr="006A22D3">
        <w:rPr>
          <w:noProof/>
        </w:rPr>
        <w:t>rych mowa</w:t>
      </w:r>
      <w:r w:rsidR="006A22D3" w:rsidRPr="006A22D3">
        <w:rPr>
          <w:noProof/>
        </w:rPr>
        <w:t xml:space="preserve"> w art</w:t>
      </w:r>
      <w:r w:rsidR="005B3488" w:rsidRPr="006A22D3">
        <w:rPr>
          <w:noProof/>
        </w:rPr>
        <w:t>.</w:t>
      </w:r>
      <w:r w:rsidR="00192E90" w:rsidRPr="006A22D3">
        <w:rPr>
          <w:noProof/>
        </w:rPr>
        <w:t> </w:t>
      </w:r>
      <w:r w:rsidR="005B3488" w:rsidRPr="006A22D3">
        <w:rPr>
          <w:noProof/>
        </w:rPr>
        <w:t>2 ust.</w:t>
      </w:r>
      <w:r w:rsidR="00192E90" w:rsidRPr="006A22D3">
        <w:rPr>
          <w:noProof/>
        </w:rPr>
        <w:t> </w:t>
      </w:r>
      <w:r w:rsidR="005B3488" w:rsidRPr="006A22D3">
        <w:rPr>
          <w:noProof/>
        </w:rPr>
        <w:t>1, wypełniając swój obowiązek działania</w:t>
      </w:r>
      <w:r w:rsidR="006A22D3" w:rsidRPr="006A22D3">
        <w:rPr>
          <w:noProof/>
        </w:rPr>
        <w:t xml:space="preserve"> w naj</w:t>
      </w:r>
      <w:r w:rsidR="005B3488" w:rsidRPr="006A22D3">
        <w:rPr>
          <w:noProof/>
        </w:rPr>
        <w:t>lepszym interesie przedsiębiorstwa, brali pod uwagę konsekwencje swoich decyzji dla kwestii zrównoważonego rozwoju,</w:t>
      </w:r>
      <w:r w:rsidR="006A22D3" w:rsidRPr="006A22D3">
        <w:rPr>
          <w:noProof/>
        </w:rPr>
        <w:t xml:space="preserve"> w tym</w:t>
      </w:r>
      <w:r w:rsidR="005B3488" w:rsidRPr="006A22D3">
        <w:rPr>
          <w:noProof/>
        </w:rPr>
        <w:t>,</w:t>
      </w:r>
      <w:r w:rsidR="006A22D3" w:rsidRPr="006A22D3">
        <w:rPr>
          <w:noProof/>
        </w:rPr>
        <w:t xml:space="preserve"> w sto</w:t>
      </w:r>
      <w:r w:rsidR="005B3488" w:rsidRPr="006A22D3">
        <w:rPr>
          <w:noProof/>
        </w:rPr>
        <w:t>sownych przypadkach, praw człowieka, zmiany klimatu</w:t>
      </w:r>
      <w:r w:rsidR="006A22D3" w:rsidRPr="006A22D3">
        <w:rPr>
          <w:noProof/>
        </w:rPr>
        <w:t xml:space="preserve"> i kon</w:t>
      </w:r>
      <w:r w:rsidR="005B3488" w:rsidRPr="006A22D3">
        <w:rPr>
          <w:noProof/>
        </w:rPr>
        <w:t>sekwencji dla środowiska,</w:t>
      </w:r>
      <w:r w:rsidR="006A22D3" w:rsidRPr="006A22D3">
        <w:rPr>
          <w:noProof/>
        </w:rPr>
        <w:t xml:space="preserve"> w tym w per</w:t>
      </w:r>
      <w:r w:rsidR="005B3488" w:rsidRPr="006A22D3">
        <w:rPr>
          <w:noProof/>
        </w:rPr>
        <w:t>spektywie krótko-, średnio-</w:t>
      </w:r>
      <w:r w:rsidR="006A22D3" w:rsidRPr="006A22D3">
        <w:rPr>
          <w:noProof/>
        </w:rPr>
        <w:t xml:space="preserve"> i dłu</w:t>
      </w:r>
      <w:r w:rsidR="005B3488" w:rsidRPr="006A22D3">
        <w:rPr>
          <w:noProof/>
        </w:rPr>
        <w:t>goterminowej.</w:t>
      </w:r>
    </w:p>
    <w:p w:rsidR="00BC6E3D" w:rsidRPr="006A22D3" w:rsidRDefault="00D91F29" w:rsidP="00D91F29">
      <w:pPr>
        <w:pStyle w:val="ManualNumPar1"/>
        <w:rPr>
          <w:noProof/>
          <w:szCs w:val="24"/>
        </w:rPr>
      </w:pPr>
      <w:r w:rsidRPr="00D91F29">
        <w:t>2.</w:t>
      </w:r>
      <w:r w:rsidRPr="00D91F29">
        <w:tab/>
      </w:r>
      <w:r w:rsidR="00BC6E3D" w:rsidRPr="006A22D3">
        <w:rPr>
          <w:noProof/>
        </w:rPr>
        <w:t>Państwa członkowskie zapewniają, aby ich przepisy ustawowe, wykonawcze</w:t>
      </w:r>
      <w:r w:rsidR="006A22D3" w:rsidRPr="006A22D3">
        <w:rPr>
          <w:noProof/>
        </w:rPr>
        <w:t xml:space="preserve"> i adm</w:t>
      </w:r>
      <w:r w:rsidR="00BC6E3D" w:rsidRPr="006A22D3">
        <w:rPr>
          <w:noProof/>
        </w:rPr>
        <w:t xml:space="preserve">inistracyjne przewidujące naruszenie obowiązków dyrektorów miały zastosowanie również do przepisów niniejszego artykułu. </w:t>
      </w:r>
    </w:p>
    <w:p w:rsidR="00BC6E3D" w:rsidRPr="006A22D3" w:rsidRDefault="00BC6E3D" w:rsidP="00F452CF">
      <w:pPr>
        <w:pStyle w:val="Titrearticle"/>
        <w:rPr>
          <w:i w:val="0"/>
          <w:noProof/>
          <w:szCs w:val="24"/>
        </w:rPr>
      </w:pPr>
      <w:r w:rsidRPr="006A22D3">
        <w:rPr>
          <w:noProof/>
        </w:rPr>
        <w:t>Artykuł 26</w:t>
      </w:r>
    </w:p>
    <w:p w:rsidR="00BC6E3D" w:rsidRPr="006A22D3" w:rsidRDefault="00BC6E3D" w:rsidP="00F452CF">
      <w:pPr>
        <w:pStyle w:val="Articletitle"/>
        <w:rPr>
          <w:b w:val="0"/>
          <w:bCs w:val="0"/>
          <w:noProof/>
          <w:szCs w:val="24"/>
        </w:rPr>
      </w:pPr>
      <w:r w:rsidRPr="006A22D3">
        <w:rPr>
          <w:noProof/>
        </w:rPr>
        <w:t>Ustanawianie mechanizmów należytej staranności</w:t>
      </w:r>
      <w:r w:rsidR="006A22D3" w:rsidRPr="006A22D3">
        <w:rPr>
          <w:noProof/>
        </w:rPr>
        <w:t xml:space="preserve"> i spr</w:t>
      </w:r>
      <w:r w:rsidRPr="006A22D3">
        <w:rPr>
          <w:noProof/>
        </w:rPr>
        <w:t xml:space="preserve">awowanie nad nimi nadzoru </w:t>
      </w:r>
    </w:p>
    <w:p w:rsidR="00BC6E3D" w:rsidRPr="006A22D3" w:rsidRDefault="00D91F29" w:rsidP="00D91F29">
      <w:pPr>
        <w:pStyle w:val="ManualNumPar1"/>
        <w:rPr>
          <w:noProof/>
          <w:szCs w:val="24"/>
        </w:rPr>
      </w:pPr>
      <w:r w:rsidRPr="00D91F29">
        <w:t>1.</w:t>
      </w:r>
      <w:r w:rsidRPr="00D91F29">
        <w:tab/>
      </w:r>
      <w:r w:rsidR="00BC6E3D" w:rsidRPr="006A22D3">
        <w:rPr>
          <w:noProof/>
        </w:rPr>
        <w:t>Państwa członkowskie zapewniają, aby dyrektorzy przedsiębiorstw,</w:t>
      </w:r>
      <w:r w:rsidR="006A22D3" w:rsidRPr="006A22D3">
        <w:rPr>
          <w:noProof/>
        </w:rPr>
        <w:t xml:space="preserve"> o któ</w:t>
      </w:r>
      <w:r w:rsidR="00BC6E3D" w:rsidRPr="006A22D3">
        <w:rPr>
          <w:noProof/>
        </w:rPr>
        <w:t>rych mowa</w:t>
      </w:r>
      <w:r w:rsidR="006A22D3" w:rsidRPr="006A22D3">
        <w:rPr>
          <w:noProof/>
        </w:rPr>
        <w:t xml:space="preserve"> w art</w:t>
      </w:r>
      <w:r w:rsidR="00BC6E3D" w:rsidRPr="006A22D3">
        <w:rPr>
          <w:noProof/>
        </w:rPr>
        <w:t>.</w:t>
      </w:r>
      <w:r w:rsidR="00192E90" w:rsidRPr="006A22D3">
        <w:rPr>
          <w:noProof/>
        </w:rPr>
        <w:t> </w:t>
      </w:r>
      <w:r w:rsidR="00BC6E3D" w:rsidRPr="006A22D3">
        <w:rPr>
          <w:noProof/>
        </w:rPr>
        <w:t>2 ust.</w:t>
      </w:r>
      <w:r w:rsidR="00192E90" w:rsidRPr="006A22D3">
        <w:rPr>
          <w:noProof/>
        </w:rPr>
        <w:t> </w:t>
      </w:r>
      <w:r w:rsidR="00BC6E3D" w:rsidRPr="006A22D3">
        <w:rPr>
          <w:noProof/>
        </w:rPr>
        <w:t>1, byli odpowiedzialni za wprowadzenie działań</w:t>
      </w:r>
      <w:r w:rsidR="006A22D3" w:rsidRPr="006A22D3">
        <w:rPr>
          <w:noProof/>
        </w:rPr>
        <w:t xml:space="preserve"> w zak</w:t>
      </w:r>
      <w:r w:rsidR="00BC6E3D" w:rsidRPr="006A22D3">
        <w:rPr>
          <w:noProof/>
        </w:rPr>
        <w:t>resie należytej staranności,</w:t>
      </w:r>
      <w:r w:rsidR="006A22D3" w:rsidRPr="006A22D3">
        <w:rPr>
          <w:noProof/>
        </w:rPr>
        <w:t xml:space="preserve"> o któ</w:t>
      </w:r>
      <w:r w:rsidR="00BC6E3D" w:rsidRPr="006A22D3">
        <w:rPr>
          <w:noProof/>
        </w:rPr>
        <w:t>rych mowa</w:t>
      </w:r>
      <w:r w:rsidR="006A22D3" w:rsidRPr="006A22D3">
        <w:rPr>
          <w:noProof/>
        </w:rPr>
        <w:t xml:space="preserve"> w art</w:t>
      </w:r>
      <w:r w:rsidR="00BC6E3D" w:rsidRPr="006A22D3">
        <w:rPr>
          <w:noProof/>
        </w:rPr>
        <w:t>.</w:t>
      </w:r>
      <w:r w:rsidR="00192E90" w:rsidRPr="006A22D3">
        <w:rPr>
          <w:noProof/>
        </w:rPr>
        <w:t> </w:t>
      </w:r>
      <w:r w:rsidR="00BC6E3D" w:rsidRPr="006A22D3">
        <w:rPr>
          <w:noProof/>
        </w:rPr>
        <w:t>4,</w:t>
      </w:r>
      <w:r w:rsidR="006A22D3" w:rsidRPr="006A22D3">
        <w:rPr>
          <w:noProof/>
        </w:rPr>
        <w:t xml:space="preserve"> i spr</w:t>
      </w:r>
      <w:r w:rsidR="00BC6E3D" w:rsidRPr="006A22D3">
        <w:rPr>
          <w:noProof/>
        </w:rPr>
        <w:t>awowanie nad nimi nadzoru,</w:t>
      </w:r>
      <w:r w:rsidR="006A22D3" w:rsidRPr="006A22D3">
        <w:rPr>
          <w:noProof/>
        </w:rPr>
        <w:t xml:space="preserve"> w szc</w:t>
      </w:r>
      <w:r w:rsidR="00BC6E3D" w:rsidRPr="006A22D3">
        <w:rPr>
          <w:noProof/>
        </w:rPr>
        <w:t>zególności polityki należytej staranności,</w:t>
      </w:r>
      <w:r w:rsidR="006A22D3" w:rsidRPr="006A22D3">
        <w:rPr>
          <w:noProof/>
        </w:rPr>
        <w:t xml:space="preserve"> o któ</w:t>
      </w:r>
      <w:r w:rsidR="00BC6E3D" w:rsidRPr="006A22D3">
        <w:rPr>
          <w:noProof/>
        </w:rPr>
        <w:t>rej mowa</w:t>
      </w:r>
      <w:r w:rsidR="006A22D3" w:rsidRPr="006A22D3">
        <w:rPr>
          <w:noProof/>
        </w:rPr>
        <w:t xml:space="preserve"> w art</w:t>
      </w:r>
      <w:r w:rsidR="00BC6E3D" w:rsidRPr="006A22D3">
        <w:rPr>
          <w:noProof/>
        </w:rPr>
        <w:t>.</w:t>
      </w:r>
      <w:r w:rsidR="00192E90" w:rsidRPr="006A22D3">
        <w:rPr>
          <w:noProof/>
        </w:rPr>
        <w:t> </w:t>
      </w:r>
      <w:r w:rsidR="00BC6E3D" w:rsidRPr="006A22D3">
        <w:rPr>
          <w:noProof/>
        </w:rPr>
        <w:t>5,</w:t>
      </w:r>
      <w:r w:rsidR="006A22D3" w:rsidRPr="006A22D3">
        <w:rPr>
          <w:noProof/>
        </w:rPr>
        <w:t xml:space="preserve"> z nal</w:t>
      </w:r>
      <w:r w:rsidR="00BC6E3D" w:rsidRPr="006A22D3">
        <w:rPr>
          <w:noProof/>
        </w:rPr>
        <w:t>eżytym uwzględnieniem odpowiedniego wkładu zainteresowanych stron</w:t>
      </w:r>
      <w:r w:rsidR="006A22D3" w:rsidRPr="006A22D3">
        <w:rPr>
          <w:noProof/>
        </w:rPr>
        <w:t xml:space="preserve"> i org</w:t>
      </w:r>
      <w:r w:rsidR="00BC6E3D" w:rsidRPr="006A22D3">
        <w:rPr>
          <w:noProof/>
        </w:rPr>
        <w:t>anizacji społeczeństwa obywatelskiego</w:t>
      </w:r>
      <w:r w:rsidR="006A22D3" w:rsidRPr="006A22D3">
        <w:rPr>
          <w:noProof/>
        </w:rPr>
        <w:t>. W tej</w:t>
      </w:r>
      <w:r w:rsidR="00BC6E3D" w:rsidRPr="006A22D3">
        <w:rPr>
          <w:noProof/>
        </w:rPr>
        <w:t xml:space="preserve"> kwestii dyrektorzy odpowiadają przed radą dyrektorów.</w:t>
      </w:r>
    </w:p>
    <w:p w:rsidR="00BC6E3D" w:rsidRPr="006A22D3" w:rsidRDefault="00D91F29" w:rsidP="00D91F29">
      <w:pPr>
        <w:pStyle w:val="ManualNumPar1"/>
        <w:rPr>
          <w:noProof/>
        </w:rPr>
      </w:pPr>
      <w:r w:rsidRPr="00D91F29">
        <w:t>2.</w:t>
      </w:r>
      <w:r w:rsidRPr="00D91F29">
        <w:tab/>
      </w:r>
      <w:r w:rsidR="00BC6E3D" w:rsidRPr="006A22D3">
        <w:rPr>
          <w:noProof/>
        </w:rPr>
        <w:t>Państwa członkowskie zapewniają podjęcie przez dyrektorów działań mających na celu dostosowanie strategii przedsiębiorstwa</w:t>
      </w:r>
      <w:r w:rsidR="006A22D3" w:rsidRPr="006A22D3">
        <w:rPr>
          <w:noProof/>
        </w:rPr>
        <w:t xml:space="preserve"> w tak</w:t>
      </w:r>
      <w:r w:rsidR="00BC6E3D" w:rsidRPr="006A22D3">
        <w:rPr>
          <w:noProof/>
        </w:rPr>
        <w:t>i sposób, aby uwzględniała rzeczywiste</w:t>
      </w:r>
      <w:r w:rsidR="006A22D3" w:rsidRPr="006A22D3">
        <w:rPr>
          <w:noProof/>
        </w:rPr>
        <w:t xml:space="preserve"> i pot</w:t>
      </w:r>
      <w:r w:rsidR="00BC6E3D" w:rsidRPr="006A22D3">
        <w:rPr>
          <w:noProof/>
        </w:rPr>
        <w:t>encjalne niekorzystne skutki określone zgodnie</w:t>
      </w:r>
      <w:r w:rsidR="006A22D3" w:rsidRPr="006A22D3">
        <w:rPr>
          <w:noProof/>
        </w:rPr>
        <w:t xml:space="preserve"> z art</w:t>
      </w:r>
      <w:r w:rsidR="00BC6E3D" w:rsidRPr="006A22D3">
        <w:rPr>
          <w:noProof/>
        </w:rPr>
        <w:t>.</w:t>
      </w:r>
      <w:r w:rsidR="00192E90" w:rsidRPr="006A22D3">
        <w:rPr>
          <w:noProof/>
        </w:rPr>
        <w:t> </w:t>
      </w:r>
      <w:r w:rsidR="00BC6E3D" w:rsidRPr="006A22D3">
        <w:rPr>
          <w:noProof/>
        </w:rPr>
        <w:t>6 oraz wszelkie środki podjęte zgodnie</w:t>
      </w:r>
      <w:r w:rsidR="006A22D3" w:rsidRPr="006A22D3">
        <w:rPr>
          <w:noProof/>
        </w:rPr>
        <w:t xml:space="preserve"> z art</w:t>
      </w:r>
      <w:r w:rsidR="00BC6E3D" w:rsidRPr="006A22D3">
        <w:rPr>
          <w:noProof/>
        </w:rPr>
        <w:t>.</w:t>
      </w:r>
      <w:r w:rsidR="00192E90" w:rsidRPr="006A22D3">
        <w:rPr>
          <w:noProof/>
        </w:rPr>
        <w:t> </w:t>
      </w:r>
      <w:r w:rsidR="00BC6E3D" w:rsidRPr="006A22D3">
        <w:rPr>
          <w:noProof/>
        </w:rPr>
        <w:t xml:space="preserve">7–9. </w:t>
      </w:r>
    </w:p>
    <w:p w:rsidR="00BC6E3D" w:rsidRPr="006A22D3" w:rsidRDefault="00BC6E3D" w:rsidP="00F452CF">
      <w:pPr>
        <w:pStyle w:val="Titrearticle"/>
        <w:rPr>
          <w:i w:val="0"/>
          <w:noProof/>
        </w:rPr>
      </w:pPr>
      <w:r w:rsidRPr="006A22D3">
        <w:rPr>
          <w:noProof/>
        </w:rPr>
        <w:t>Artykuł 27</w:t>
      </w:r>
    </w:p>
    <w:p w:rsidR="00BC6E3D" w:rsidRPr="006A22D3" w:rsidRDefault="00BC6E3D" w:rsidP="00F452CF">
      <w:pPr>
        <w:pStyle w:val="Articletitle"/>
        <w:rPr>
          <w:b w:val="0"/>
          <w:bCs w:val="0"/>
          <w:noProof/>
        </w:rPr>
      </w:pPr>
      <w:r w:rsidRPr="006A22D3">
        <w:rPr>
          <w:noProof/>
        </w:rPr>
        <w:t>Zmiana dyrektywy (UE) 2019/1937</w:t>
      </w:r>
    </w:p>
    <w:p w:rsidR="00BC6E3D" w:rsidRPr="006A22D3" w:rsidRDefault="00BC6E3D" w:rsidP="00BC6E3D">
      <w:pPr>
        <w:rPr>
          <w:noProof/>
        </w:rPr>
      </w:pPr>
      <w:r w:rsidRPr="006A22D3">
        <w:rPr>
          <w:noProof/>
        </w:rPr>
        <w:t>W pkt E.2 części I załącznika do dyrektywy (UE) 2019/1937 dodaje się ppkt</w:t>
      </w:r>
      <w:r w:rsidR="006A22D3" w:rsidRPr="006A22D3">
        <w:rPr>
          <w:noProof/>
        </w:rPr>
        <w:t xml:space="preserve"> w brz</w:t>
      </w:r>
      <w:r w:rsidRPr="006A22D3">
        <w:rPr>
          <w:noProof/>
        </w:rPr>
        <w:t xml:space="preserve">mieniu: </w:t>
      </w:r>
    </w:p>
    <w:p w:rsidR="00BC6E3D" w:rsidRPr="006A22D3" w:rsidRDefault="00BC6E3D" w:rsidP="00BC6E3D">
      <w:pPr>
        <w:rPr>
          <w:noProof/>
        </w:rPr>
      </w:pPr>
      <w:r w:rsidRPr="006A22D3">
        <w:rPr>
          <w:noProof/>
        </w:rPr>
        <w:t>„(vi) [dyrektywa Parlamentu Europejskiego</w:t>
      </w:r>
      <w:r w:rsidR="006A22D3" w:rsidRPr="006A22D3">
        <w:rPr>
          <w:noProof/>
        </w:rPr>
        <w:t xml:space="preserve"> i Rad</w:t>
      </w:r>
      <w:r w:rsidRPr="006A22D3">
        <w:rPr>
          <w:noProof/>
        </w:rPr>
        <w:t>y ...</w:t>
      </w:r>
      <w:r w:rsidR="006A22D3" w:rsidRPr="006A22D3">
        <w:rPr>
          <w:noProof/>
        </w:rPr>
        <w:t xml:space="preserve"> z dni</w:t>
      </w:r>
      <w:r w:rsidRPr="006A22D3">
        <w:rPr>
          <w:noProof/>
        </w:rPr>
        <w:t>a ...</w:t>
      </w:r>
      <w:r w:rsidR="006A22D3" w:rsidRPr="006A22D3">
        <w:rPr>
          <w:noProof/>
        </w:rPr>
        <w:t xml:space="preserve"> w spr</w:t>
      </w:r>
      <w:r w:rsidRPr="006A22D3">
        <w:rPr>
          <w:noProof/>
        </w:rPr>
        <w:t>awie należytej staranności przedsiębiorstw</w:t>
      </w:r>
      <w:r w:rsidR="006A22D3" w:rsidRPr="006A22D3">
        <w:rPr>
          <w:noProof/>
        </w:rPr>
        <w:t xml:space="preserve"> w zak</w:t>
      </w:r>
      <w:r w:rsidRPr="006A22D3">
        <w:rPr>
          <w:noProof/>
        </w:rPr>
        <w:t>resie zrównoważonego rozwoju oraz zmieniająca dyrektywę (UE) 2019/1937</w:t>
      </w:r>
      <w:r w:rsidRPr="006A22D3">
        <w:rPr>
          <w:noProof/>
          <w:vertAlign w:val="superscript"/>
        </w:rPr>
        <w:t>*</w:t>
      </w:r>
      <w:r w:rsidRPr="006A22D3">
        <w:rPr>
          <w:rStyle w:val="FootnoteReference"/>
          <w:noProof/>
        </w:rPr>
        <w:footnoteReference w:customMarkFollows="1" w:id="131"/>
        <w:t>+</w:t>
      </w:r>
      <w:r w:rsidRPr="006A22D3">
        <w:rPr>
          <w:noProof/>
        </w:rPr>
        <w:t>]”</w:t>
      </w:r>
    </w:p>
    <w:p w:rsidR="00BC6E3D" w:rsidRPr="006A22D3" w:rsidRDefault="00BC6E3D" w:rsidP="00F452CF">
      <w:pPr>
        <w:pStyle w:val="Titrearticle"/>
        <w:rPr>
          <w:i w:val="0"/>
          <w:noProof/>
        </w:rPr>
      </w:pPr>
      <w:r w:rsidRPr="006A22D3">
        <w:rPr>
          <w:noProof/>
        </w:rPr>
        <w:t>Artykuł 28</w:t>
      </w:r>
    </w:p>
    <w:p w:rsidR="00E30BED" w:rsidRPr="006A22D3" w:rsidRDefault="00E30BED" w:rsidP="00E30BED">
      <w:pPr>
        <w:pStyle w:val="Articletitle"/>
        <w:rPr>
          <w:noProof/>
        </w:rPr>
      </w:pPr>
      <w:r w:rsidRPr="006A22D3">
        <w:rPr>
          <w:noProof/>
        </w:rPr>
        <w:t>Wykonywanie przekazanych uprawnień</w:t>
      </w:r>
    </w:p>
    <w:p w:rsidR="00681648" w:rsidRPr="006A22D3" w:rsidRDefault="00D91F29" w:rsidP="00D91F29">
      <w:pPr>
        <w:pStyle w:val="ManualNumPar1"/>
        <w:rPr>
          <w:noProof/>
        </w:rPr>
      </w:pPr>
      <w:r w:rsidRPr="00D91F29">
        <w:t>1.</w:t>
      </w:r>
      <w:r w:rsidRPr="00D91F29">
        <w:tab/>
      </w:r>
      <w:r w:rsidR="00E30BED" w:rsidRPr="006A22D3">
        <w:rPr>
          <w:noProof/>
        </w:rPr>
        <w:t>Powierzenie Komisji uprawnień do przyjmowania aktów delegowanych podlega warunkom określonym</w:t>
      </w:r>
      <w:r w:rsidR="006A22D3" w:rsidRPr="006A22D3">
        <w:rPr>
          <w:noProof/>
        </w:rPr>
        <w:t xml:space="preserve"> w nin</w:t>
      </w:r>
      <w:r w:rsidR="00E30BED" w:rsidRPr="006A22D3">
        <w:rPr>
          <w:noProof/>
        </w:rPr>
        <w:t>iejszym artykule.</w:t>
      </w:r>
    </w:p>
    <w:p w:rsidR="00E30BED" w:rsidRPr="006A22D3" w:rsidRDefault="00D91F29" w:rsidP="00D91F29">
      <w:pPr>
        <w:pStyle w:val="ManualNumPar1"/>
        <w:rPr>
          <w:noProof/>
        </w:rPr>
      </w:pPr>
      <w:r w:rsidRPr="00D91F29">
        <w:t>2.</w:t>
      </w:r>
      <w:r w:rsidRPr="00D91F29">
        <w:tab/>
      </w:r>
      <w:r w:rsidR="00E30BED" w:rsidRPr="006A22D3">
        <w:rPr>
          <w:noProof/>
        </w:rPr>
        <w:t>Uprawnienia do przyjmowania aktów delegowanych,</w:t>
      </w:r>
      <w:r w:rsidR="006A22D3" w:rsidRPr="006A22D3">
        <w:rPr>
          <w:noProof/>
        </w:rPr>
        <w:t xml:space="preserve"> o któ</w:t>
      </w:r>
      <w:r w:rsidR="00E30BED" w:rsidRPr="006A22D3">
        <w:rPr>
          <w:noProof/>
        </w:rPr>
        <w:t>rych mowa</w:t>
      </w:r>
      <w:r w:rsidR="006A22D3" w:rsidRPr="006A22D3">
        <w:rPr>
          <w:noProof/>
        </w:rPr>
        <w:t xml:space="preserve"> w art</w:t>
      </w:r>
      <w:r w:rsidR="00E30BED" w:rsidRPr="006A22D3">
        <w:rPr>
          <w:noProof/>
        </w:rPr>
        <w:t>.</w:t>
      </w:r>
      <w:r w:rsidR="00192E90" w:rsidRPr="006A22D3">
        <w:rPr>
          <w:noProof/>
        </w:rPr>
        <w:t> </w:t>
      </w:r>
      <w:r w:rsidR="00E30BED" w:rsidRPr="006A22D3">
        <w:rPr>
          <w:noProof/>
        </w:rPr>
        <w:t>11, powierza się</w:t>
      </w:r>
      <w:r w:rsidR="00E30BED" w:rsidRPr="006A22D3">
        <w:rPr>
          <w:b/>
          <w:noProof/>
        </w:rPr>
        <w:t xml:space="preserve"> </w:t>
      </w:r>
      <w:r w:rsidR="00E30BED" w:rsidRPr="006A22D3">
        <w:rPr>
          <w:noProof/>
        </w:rPr>
        <w:t>Komisji na czas nieokreślony.</w:t>
      </w:r>
    </w:p>
    <w:p w:rsidR="00363796" w:rsidRPr="006A22D3" w:rsidRDefault="00D91F29" w:rsidP="00D91F29">
      <w:pPr>
        <w:pStyle w:val="ManualNumPar1"/>
        <w:rPr>
          <w:noProof/>
        </w:rPr>
      </w:pPr>
      <w:r w:rsidRPr="00D91F29">
        <w:t>3.</w:t>
      </w:r>
      <w:r w:rsidRPr="00D91F29">
        <w:tab/>
      </w:r>
      <w:r w:rsidR="00E30BED" w:rsidRPr="006A22D3">
        <w:rPr>
          <w:noProof/>
        </w:rPr>
        <w:t>Przekazanie uprawnień,</w:t>
      </w:r>
      <w:r w:rsidR="006A22D3" w:rsidRPr="006A22D3">
        <w:rPr>
          <w:noProof/>
        </w:rPr>
        <w:t xml:space="preserve"> o któ</w:t>
      </w:r>
      <w:r w:rsidR="00E30BED" w:rsidRPr="006A22D3">
        <w:rPr>
          <w:noProof/>
        </w:rPr>
        <w:t>rym mowa</w:t>
      </w:r>
      <w:r w:rsidR="006A22D3" w:rsidRPr="006A22D3">
        <w:rPr>
          <w:noProof/>
        </w:rPr>
        <w:t xml:space="preserve"> w art</w:t>
      </w:r>
      <w:r w:rsidR="00E30BED" w:rsidRPr="006A22D3">
        <w:rPr>
          <w:noProof/>
        </w:rPr>
        <w:t>.</w:t>
      </w:r>
      <w:r w:rsidR="00192E90" w:rsidRPr="006A22D3">
        <w:rPr>
          <w:noProof/>
        </w:rPr>
        <w:t> </w:t>
      </w:r>
      <w:r w:rsidR="00E30BED" w:rsidRPr="006A22D3">
        <w:rPr>
          <w:noProof/>
        </w:rPr>
        <w:t>11, może zostać</w:t>
      </w:r>
      <w:r w:rsidR="006A22D3" w:rsidRPr="006A22D3">
        <w:rPr>
          <w:noProof/>
        </w:rPr>
        <w:t xml:space="preserve"> w dow</w:t>
      </w:r>
      <w:r w:rsidR="00E30BED" w:rsidRPr="006A22D3">
        <w:rPr>
          <w:noProof/>
        </w:rPr>
        <w:t>olnym momencie odwołane przez Parlament Europejski lub przez Radę. Decyzja</w:t>
      </w:r>
      <w:r w:rsidR="006A22D3" w:rsidRPr="006A22D3">
        <w:rPr>
          <w:noProof/>
        </w:rPr>
        <w:t xml:space="preserve"> o odw</w:t>
      </w:r>
      <w:r w:rsidR="00E30BED" w:rsidRPr="006A22D3">
        <w:rPr>
          <w:noProof/>
        </w:rPr>
        <w:t>ołaniu kończy przekazanie określonych</w:t>
      </w:r>
      <w:r w:rsidR="006A22D3" w:rsidRPr="006A22D3">
        <w:rPr>
          <w:noProof/>
        </w:rPr>
        <w:t xml:space="preserve"> w nie</w:t>
      </w:r>
      <w:r w:rsidR="00E30BED" w:rsidRPr="006A22D3">
        <w:rPr>
          <w:noProof/>
        </w:rPr>
        <w:t>j uprawnień. Decyzja</w:t>
      </w:r>
      <w:r w:rsidR="006A22D3" w:rsidRPr="006A22D3">
        <w:rPr>
          <w:noProof/>
        </w:rPr>
        <w:t xml:space="preserve"> o odw</w:t>
      </w:r>
      <w:r w:rsidR="00E30BED" w:rsidRPr="006A22D3">
        <w:rPr>
          <w:noProof/>
        </w:rPr>
        <w:t>ołaniu staje się skuteczna następnego dnia po jej opublikowaniu</w:t>
      </w:r>
      <w:r w:rsidR="006A22D3" w:rsidRPr="006A22D3">
        <w:rPr>
          <w:noProof/>
        </w:rPr>
        <w:t xml:space="preserve"> w </w:t>
      </w:r>
      <w:r w:rsidR="006A22D3" w:rsidRPr="006A22D3">
        <w:rPr>
          <w:i/>
          <w:noProof/>
        </w:rPr>
        <w:t>Dzi</w:t>
      </w:r>
      <w:r w:rsidR="00E30BED" w:rsidRPr="006A22D3">
        <w:rPr>
          <w:i/>
          <w:noProof/>
        </w:rPr>
        <w:t>enniku Urzędowym</w:t>
      </w:r>
      <w:r w:rsidR="00E30BED" w:rsidRPr="006A22D3">
        <w:rPr>
          <w:noProof/>
        </w:rPr>
        <w:t xml:space="preserve"> </w:t>
      </w:r>
      <w:r w:rsidR="00E30BED" w:rsidRPr="006A22D3">
        <w:rPr>
          <w:i/>
          <w:noProof/>
        </w:rPr>
        <w:t xml:space="preserve">Unii Europejskiej </w:t>
      </w:r>
      <w:r w:rsidR="00E30BED" w:rsidRPr="006A22D3">
        <w:rPr>
          <w:noProof/>
        </w:rPr>
        <w:t>lub</w:t>
      </w:r>
      <w:r w:rsidR="006A22D3" w:rsidRPr="006A22D3">
        <w:rPr>
          <w:noProof/>
        </w:rPr>
        <w:t xml:space="preserve"> w póź</w:t>
      </w:r>
      <w:r w:rsidR="00E30BED" w:rsidRPr="006A22D3">
        <w:rPr>
          <w:noProof/>
        </w:rPr>
        <w:t>niejszym terminie określonym</w:t>
      </w:r>
      <w:r w:rsidR="006A22D3" w:rsidRPr="006A22D3">
        <w:rPr>
          <w:noProof/>
        </w:rPr>
        <w:t xml:space="preserve"> w tej</w:t>
      </w:r>
      <w:r w:rsidR="00E30BED" w:rsidRPr="006A22D3">
        <w:rPr>
          <w:noProof/>
        </w:rPr>
        <w:t xml:space="preserve"> decyzji. Nie wpływa ona na ważność już obowiązujących aktów delegowanych.</w:t>
      </w:r>
    </w:p>
    <w:p w:rsidR="00363796" w:rsidRPr="006A22D3" w:rsidRDefault="00D91F29" w:rsidP="00D91F29">
      <w:pPr>
        <w:pStyle w:val="ManualNumPar1"/>
        <w:rPr>
          <w:noProof/>
        </w:rPr>
      </w:pPr>
      <w:r w:rsidRPr="00D91F29">
        <w:t>4.</w:t>
      </w:r>
      <w:r w:rsidRPr="00D91F29">
        <w:tab/>
      </w:r>
      <w:r w:rsidR="00E30BED" w:rsidRPr="006A22D3">
        <w:rPr>
          <w:noProof/>
        </w:rPr>
        <w:t>Przed przyjęciem aktu delegowanego Komisja konsultuje się</w:t>
      </w:r>
      <w:r w:rsidR="006A22D3" w:rsidRPr="006A22D3">
        <w:rPr>
          <w:noProof/>
        </w:rPr>
        <w:t xml:space="preserve"> z eks</w:t>
      </w:r>
      <w:r w:rsidR="00E30BED" w:rsidRPr="006A22D3">
        <w:rPr>
          <w:noProof/>
        </w:rPr>
        <w:t>pertami wyznaczonymi przez każde państwo członkowskie zgodnie</w:t>
      </w:r>
      <w:r w:rsidR="006A22D3" w:rsidRPr="006A22D3">
        <w:rPr>
          <w:noProof/>
        </w:rPr>
        <w:t xml:space="preserve"> z zas</w:t>
      </w:r>
      <w:r w:rsidR="00E30BED" w:rsidRPr="006A22D3">
        <w:rPr>
          <w:noProof/>
        </w:rPr>
        <w:t>adami określonymi</w:t>
      </w:r>
      <w:r w:rsidR="006A22D3" w:rsidRPr="006A22D3">
        <w:rPr>
          <w:noProof/>
        </w:rPr>
        <w:t xml:space="preserve"> w Por</w:t>
      </w:r>
      <w:r w:rsidR="00E30BED" w:rsidRPr="006A22D3">
        <w:rPr>
          <w:noProof/>
        </w:rPr>
        <w:t>ozumieniu międzyinstytucjonalnym</w:t>
      </w:r>
      <w:r w:rsidR="006A22D3" w:rsidRPr="006A22D3">
        <w:rPr>
          <w:noProof/>
        </w:rPr>
        <w:t xml:space="preserve"> z dni</w:t>
      </w:r>
      <w:r w:rsidR="00E30BED" w:rsidRPr="006A22D3">
        <w:rPr>
          <w:noProof/>
        </w:rPr>
        <w:t>a 13 kwietnia 2016</w:t>
      </w:r>
      <w:r w:rsidR="00192E90" w:rsidRPr="006A22D3">
        <w:rPr>
          <w:noProof/>
        </w:rPr>
        <w:t> </w:t>
      </w:r>
      <w:r w:rsidR="00E30BED" w:rsidRPr="006A22D3">
        <w:rPr>
          <w:noProof/>
        </w:rPr>
        <w:t>r.</w:t>
      </w:r>
      <w:r w:rsidR="006A22D3" w:rsidRPr="006A22D3">
        <w:rPr>
          <w:noProof/>
        </w:rPr>
        <w:t xml:space="preserve"> w spr</w:t>
      </w:r>
      <w:r w:rsidR="00E30BED" w:rsidRPr="006A22D3">
        <w:rPr>
          <w:noProof/>
        </w:rPr>
        <w:t>awie lepszego stanowienia prawa.</w:t>
      </w:r>
    </w:p>
    <w:p w:rsidR="00E30BED" w:rsidRPr="006A22D3" w:rsidRDefault="00D91F29" w:rsidP="00D91F29">
      <w:pPr>
        <w:pStyle w:val="ManualNumPar1"/>
        <w:rPr>
          <w:noProof/>
        </w:rPr>
      </w:pPr>
      <w:r w:rsidRPr="00D91F29">
        <w:t>5.</w:t>
      </w:r>
      <w:r w:rsidRPr="00D91F29">
        <w:tab/>
      </w:r>
      <w:r w:rsidR="00E30BED" w:rsidRPr="006A22D3">
        <w:rPr>
          <w:noProof/>
        </w:rPr>
        <w:t>Niezwłocznie po przyjęciu aktu delegowanego Komisja przekazuje go równocześnie Parlamentowi Europejskiemu</w:t>
      </w:r>
      <w:r w:rsidR="006A22D3" w:rsidRPr="006A22D3">
        <w:rPr>
          <w:noProof/>
        </w:rPr>
        <w:t xml:space="preserve"> i Rad</w:t>
      </w:r>
      <w:r w:rsidR="00E30BED" w:rsidRPr="006A22D3">
        <w:rPr>
          <w:noProof/>
        </w:rPr>
        <w:t>zie.</w:t>
      </w:r>
    </w:p>
    <w:p w:rsidR="00E30BED" w:rsidRPr="006A22D3" w:rsidRDefault="00D91F29" w:rsidP="00D91F29">
      <w:pPr>
        <w:pStyle w:val="ManualNumPar1"/>
        <w:rPr>
          <w:noProof/>
        </w:rPr>
      </w:pPr>
      <w:r w:rsidRPr="00D91F29">
        <w:t>6.</w:t>
      </w:r>
      <w:r w:rsidRPr="00D91F29">
        <w:tab/>
      </w:r>
      <w:r w:rsidR="00E30BED" w:rsidRPr="006A22D3">
        <w:rPr>
          <w:noProof/>
        </w:rPr>
        <w:t>Akt delegowany przyjęty na podstawie art.</w:t>
      </w:r>
      <w:r w:rsidR="00192E90" w:rsidRPr="006A22D3">
        <w:rPr>
          <w:noProof/>
        </w:rPr>
        <w:t> </w:t>
      </w:r>
      <w:r w:rsidR="00E30BED" w:rsidRPr="006A22D3">
        <w:rPr>
          <w:noProof/>
        </w:rPr>
        <w:t>11 wchodzi</w:t>
      </w:r>
      <w:r w:rsidR="006A22D3" w:rsidRPr="006A22D3">
        <w:rPr>
          <w:noProof/>
        </w:rPr>
        <w:t xml:space="preserve"> w życ</w:t>
      </w:r>
      <w:r w:rsidR="00E30BED" w:rsidRPr="006A22D3">
        <w:rPr>
          <w:noProof/>
        </w:rPr>
        <w:t>ie tylko wówczas, gdy ani Parlament Europejski, ani Rada nie wyraziły sprzeciwu</w:t>
      </w:r>
      <w:r w:rsidR="006A22D3" w:rsidRPr="006A22D3">
        <w:rPr>
          <w:noProof/>
        </w:rPr>
        <w:t xml:space="preserve"> w ter</w:t>
      </w:r>
      <w:r w:rsidR="00E30BED" w:rsidRPr="006A22D3">
        <w:rPr>
          <w:noProof/>
        </w:rPr>
        <w:t>minie dwóch miesięcy od przekazania tego aktu Parlamentowi Europejskiemu</w:t>
      </w:r>
      <w:r w:rsidR="006A22D3" w:rsidRPr="006A22D3">
        <w:rPr>
          <w:noProof/>
        </w:rPr>
        <w:t xml:space="preserve"> i Rad</w:t>
      </w:r>
      <w:r w:rsidR="00E30BED" w:rsidRPr="006A22D3">
        <w:rPr>
          <w:noProof/>
        </w:rPr>
        <w:t>zie, lub gdy przed upływem tego terminu zarówno Parlament Europejski, jak</w:t>
      </w:r>
      <w:r w:rsidR="006A22D3" w:rsidRPr="006A22D3">
        <w:rPr>
          <w:noProof/>
        </w:rPr>
        <w:t xml:space="preserve"> i Rad</w:t>
      </w:r>
      <w:r w:rsidR="00E30BED" w:rsidRPr="006A22D3">
        <w:rPr>
          <w:noProof/>
        </w:rPr>
        <w:t>a poinformowały Komisję, że nie wniosą sprzeciwu.</w:t>
      </w:r>
      <w:r w:rsidR="00E30BED" w:rsidRPr="006A22D3">
        <w:rPr>
          <w:i/>
          <w:noProof/>
        </w:rPr>
        <w:t xml:space="preserve"> </w:t>
      </w:r>
      <w:r w:rsidR="00E30BED" w:rsidRPr="006A22D3">
        <w:rPr>
          <w:noProof/>
        </w:rPr>
        <w:t>Termin ten przedłuża się</w:t>
      </w:r>
      <w:r w:rsidR="006A22D3" w:rsidRPr="006A22D3">
        <w:rPr>
          <w:noProof/>
        </w:rPr>
        <w:t xml:space="preserve"> o dwa</w:t>
      </w:r>
      <w:r w:rsidR="00E30BED" w:rsidRPr="006A22D3">
        <w:rPr>
          <w:noProof/>
        </w:rPr>
        <w:t xml:space="preserve"> miesiące</w:t>
      </w:r>
      <w:r w:rsidR="006A22D3" w:rsidRPr="006A22D3">
        <w:rPr>
          <w:noProof/>
        </w:rPr>
        <w:t xml:space="preserve"> z ini</w:t>
      </w:r>
      <w:r w:rsidR="00E30BED" w:rsidRPr="006A22D3">
        <w:rPr>
          <w:noProof/>
        </w:rPr>
        <w:t>cjatywy Parlamentu Europejskiego lub Rady.</w:t>
      </w:r>
    </w:p>
    <w:p w:rsidR="00BC6E3D" w:rsidRPr="006A22D3" w:rsidRDefault="00BC6E3D" w:rsidP="00F452CF">
      <w:pPr>
        <w:pStyle w:val="Titrearticle"/>
        <w:rPr>
          <w:i w:val="0"/>
          <w:noProof/>
        </w:rPr>
      </w:pPr>
      <w:r w:rsidRPr="006A22D3">
        <w:rPr>
          <w:noProof/>
        </w:rPr>
        <w:t>Artykuł 29</w:t>
      </w:r>
    </w:p>
    <w:p w:rsidR="00BC6E3D" w:rsidRPr="006A22D3" w:rsidRDefault="00BC6E3D" w:rsidP="00F452CF">
      <w:pPr>
        <w:pStyle w:val="Articletitle"/>
        <w:rPr>
          <w:b w:val="0"/>
          <w:bCs w:val="0"/>
          <w:noProof/>
        </w:rPr>
      </w:pPr>
      <w:r w:rsidRPr="006A22D3">
        <w:rPr>
          <w:noProof/>
        </w:rPr>
        <w:t>Przegląd</w:t>
      </w:r>
    </w:p>
    <w:p w:rsidR="00BC6E3D" w:rsidRPr="006A22D3" w:rsidRDefault="00BC6E3D" w:rsidP="00BC6E3D">
      <w:pPr>
        <w:rPr>
          <w:noProof/>
        </w:rPr>
      </w:pPr>
      <w:r w:rsidRPr="006A22D3">
        <w:rPr>
          <w:noProof/>
        </w:rPr>
        <w:t>Nie później niż do dnia [</w:t>
      </w:r>
      <w:r w:rsidRPr="006A22D3">
        <w:rPr>
          <w:i/>
          <w:iCs/>
          <w:noProof/>
        </w:rPr>
        <w:t>Urząd Publikacji – proszę wstawić datę = 7 lat po dacie wejścia</w:t>
      </w:r>
      <w:r w:rsidR="006A22D3" w:rsidRPr="006A22D3">
        <w:rPr>
          <w:i/>
          <w:iCs/>
          <w:noProof/>
        </w:rPr>
        <w:t xml:space="preserve"> w życ</w:t>
      </w:r>
      <w:r w:rsidRPr="006A22D3">
        <w:rPr>
          <w:i/>
          <w:iCs/>
          <w:noProof/>
        </w:rPr>
        <w:t>ie niniejszej dyrektywy]</w:t>
      </w:r>
      <w:r w:rsidRPr="006A22D3">
        <w:rPr>
          <w:noProof/>
        </w:rPr>
        <w:t xml:space="preserve"> Komisja przedkłada Parlamentowi Europejskiemu</w:t>
      </w:r>
      <w:r w:rsidR="006A22D3" w:rsidRPr="006A22D3">
        <w:rPr>
          <w:noProof/>
        </w:rPr>
        <w:t xml:space="preserve"> i Rad</w:t>
      </w:r>
      <w:r w:rsidRPr="006A22D3">
        <w:rPr>
          <w:noProof/>
        </w:rPr>
        <w:t>zie sprawozdanie</w:t>
      </w:r>
      <w:r w:rsidR="006A22D3" w:rsidRPr="006A22D3">
        <w:rPr>
          <w:noProof/>
        </w:rPr>
        <w:t xml:space="preserve"> z wyk</w:t>
      </w:r>
      <w:r w:rsidRPr="006A22D3">
        <w:rPr>
          <w:noProof/>
        </w:rPr>
        <w:t>onania niniejszej dyrektywy. Sprawozdanie obejmuje ocenę skuteczności niniejszej dyrektywy</w:t>
      </w:r>
      <w:r w:rsidR="006A22D3" w:rsidRPr="006A22D3">
        <w:rPr>
          <w:noProof/>
        </w:rPr>
        <w:t xml:space="preserve"> w rea</w:t>
      </w:r>
      <w:r w:rsidRPr="006A22D3">
        <w:rPr>
          <w:noProof/>
        </w:rPr>
        <w:t xml:space="preserve">lizacji jej celów oraz ocenę następujących kwestii: </w:t>
      </w:r>
    </w:p>
    <w:p w:rsidR="00BC6E3D" w:rsidRPr="006A22D3" w:rsidRDefault="00BC6E3D" w:rsidP="00A660F3">
      <w:pPr>
        <w:pStyle w:val="Point0"/>
        <w:rPr>
          <w:noProof/>
        </w:rPr>
      </w:pPr>
      <w:r w:rsidRPr="006A22D3">
        <w:rPr>
          <w:noProof/>
        </w:rPr>
        <w:t>a)</w:t>
      </w:r>
      <w:r w:rsidRPr="006A22D3">
        <w:rPr>
          <w:noProof/>
        </w:rPr>
        <w:tab/>
        <w:t>czy konieczne jest obniżenie progów dotyczących liczby pracowników</w:t>
      </w:r>
      <w:r w:rsidR="006A22D3" w:rsidRPr="006A22D3">
        <w:rPr>
          <w:noProof/>
        </w:rPr>
        <w:t xml:space="preserve"> i prz</w:t>
      </w:r>
      <w:r w:rsidRPr="006A22D3">
        <w:rPr>
          <w:noProof/>
        </w:rPr>
        <w:t>ychodów netto ze sprzedaży określonych</w:t>
      </w:r>
      <w:r w:rsidR="006A22D3" w:rsidRPr="006A22D3">
        <w:rPr>
          <w:noProof/>
        </w:rPr>
        <w:t xml:space="preserve"> w art</w:t>
      </w:r>
      <w:r w:rsidRPr="006A22D3">
        <w:rPr>
          <w:noProof/>
        </w:rPr>
        <w:t>.</w:t>
      </w:r>
      <w:r w:rsidR="00192E90" w:rsidRPr="006A22D3">
        <w:rPr>
          <w:noProof/>
        </w:rPr>
        <w:t> </w:t>
      </w:r>
      <w:r w:rsidRPr="006A22D3">
        <w:rPr>
          <w:noProof/>
        </w:rPr>
        <w:t>2 ust.</w:t>
      </w:r>
      <w:r w:rsidR="00192E90" w:rsidRPr="006A22D3">
        <w:rPr>
          <w:noProof/>
        </w:rPr>
        <w:t> </w:t>
      </w:r>
      <w:r w:rsidRPr="006A22D3">
        <w:rPr>
          <w:noProof/>
        </w:rPr>
        <w:t>1;</w:t>
      </w:r>
    </w:p>
    <w:p w:rsidR="00065DDC" w:rsidRPr="006A22D3" w:rsidRDefault="00BC6E3D" w:rsidP="00A660F3">
      <w:pPr>
        <w:pStyle w:val="Point0"/>
        <w:rPr>
          <w:noProof/>
        </w:rPr>
      </w:pPr>
      <w:r w:rsidRPr="006A22D3">
        <w:rPr>
          <w:noProof/>
        </w:rPr>
        <w:t>b)</w:t>
      </w:r>
      <w:r w:rsidRPr="006A22D3">
        <w:rPr>
          <w:noProof/>
        </w:rPr>
        <w:tab/>
        <w:t>czy wykaz sektorów</w:t>
      </w:r>
      <w:r w:rsidR="006A22D3" w:rsidRPr="006A22D3">
        <w:rPr>
          <w:noProof/>
        </w:rPr>
        <w:t xml:space="preserve"> w art</w:t>
      </w:r>
      <w:r w:rsidRPr="006A22D3">
        <w:rPr>
          <w:noProof/>
        </w:rPr>
        <w:t>.</w:t>
      </w:r>
      <w:r w:rsidR="00192E90" w:rsidRPr="006A22D3">
        <w:rPr>
          <w:noProof/>
        </w:rPr>
        <w:t> </w:t>
      </w:r>
      <w:r w:rsidRPr="006A22D3">
        <w:rPr>
          <w:noProof/>
        </w:rPr>
        <w:t>2 ust.</w:t>
      </w:r>
      <w:r w:rsidR="00192E90" w:rsidRPr="006A22D3">
        <w:rPr>
          <w:noProof/>
        </w:rPr>
        <w:t> </w:t>
      </w:r>
      <w:r w:rsidRPr="006A22D3">
        <w:rPr>
          <w:noProof/>
        </w:rPr>
        <w:t>1 lit.</w:t>
      </w:r>
      <w:r w:rsidR="00192E90" w:rsidRPr="006A22D3">
        <w:rPr>
          <w:noProof/>
        </w:rPr>
        <w:t> </w:t>
      </w:r>
      <w:r w:rsidRPr="006A22D3">
        <w:rPr>
          <w:noProof/>
        </w:rPr>
        <w:t>b) wymaga zmiany, między innymi</w:t>
      </w:r>
      <w:r w:rsidR="006A22D3" w:rsidRPr="006A22D3">
        <w:rPr>
          <w:noProof/>
        </w:rPr>
        <w:t xml:space="preserve"> w cel</w:t>
      </w:r>
      <w:r w:rsidRPr="006A22D3">
        <w:rPr>
          <w:noProof/>
        </w:rPr>
        <w:t>u dostosowania go do wytycznych Organizacji Współpracy Gospodarczej</w:t>
      </w:r>
      <w:r w:rsidR="006A22D3" w:rsidRPr="006A22D3">
        <w:rPr>
          <w:noProof/>
        </w:rPr>
        <w:t xml:space="preserve"> i Roz</w:t>
      </w:r>
      <w:r w:rsidRPr="006A22D3">
        <w:rPr>
          <w:noProof/>
        </w:rPr>
        <w:t>woju;</w:t>
      </w:r>
    </w:p>
    <w:p w:rsidR="00353700" w:rsidRPr="006A22D3" w:rsidRDefault="00E47D4D" w:rsidP="00A660F3">
      <w:pPr>
        <w:pStyle w:val="Point0"/>
        <w:rPr>
          <w:noProof/>
        </w:rPr>
      </w:pPr>
      <w:r w:rsidRPr="006A22D3">
        <w:rPr>
          <w:noProof/>
        </w:rPr>
        <w:t>c)</w:t>
      </w:r>
      <w:r w:rsidRPr="006A22D3">
        <w:rPr>
          <w:noProof/>
        </w:rPr>
        <w:tab/>
        <w:t>czy załącznik wymaga zmiany, między innymi</w:t>
      </w:r>
      <w:r w:rsidR="006A22D3" w:rsidRPr="006A22D3">
        <w:rPr>
          <w:noProof/>
        </w:rPr>
        <w:t xml:space="preserve"> w świ</w:t>
      </w:r>
      <w:r w:rsidRPr="006A22D3">
        <w:rPr>
          <w:noProof/>
        </w:rPr>
        <w:t>etle sytuacji międzynarodowej;</w:t>
      </w:r>
    </w:p>
    <w:p w:rsidR="00BC6E3D" w:rsidRPr="006A22D3" w:rsidRDefault="00353700" w:rsidP="00A660F3">
      <w:pPr>
        <w:pStyle w:val="Point0"/>
        <w:rPr>
          <w:noProof/>
        </w:rPr>
      </w:pPr>
      <w:r w:rsidRPr="006A22D3">
        <w:rPr>
          <w:noProof/>
        </w:rPr>
        <w:t>d)</w:t>
      </w:r>
      <w:r w:rsidRPr="006A22D3">
        <w:rPr>
          <w:noProof/>
        </w:rPr>
        <w:tab/>
        <w:t>czy należy rozszerzyć art.</w:t>
      </w:r>
      <w:r w:rsidR="00192E90" w:rsidRPr="006A22D3">
        <w:rPr>
          <w:noProof/>
        </w:rPr>
        <w:t> </w:t>
      </w:r>
      <w:r w:rsidRPr="006A22D3">
        <w:rPr>
          <w:noProof/>
        </w:rPr>
        <w:t>4–14</w:t>
      </w:r>
      <w:r w:rsidR="006A22D3" w:rsidRPr="006A22D3">
        <w:rPr>
          <w:noProof/>
        </w:rPr>
        <w:t xml:space="preserve"> o neg</w:t>
      </w:r>
      <w:r w:rsidRPr="006A22D3">
        <w:rPr>
          <w:noProof/>
        </w:rPr>
        <w:t>atywny wpływ na klimat.</w:t>
      </w:r>
    </w:p>
    <w:p w:rsidR="00BC6E3D" w:rsidRPr="006A22D3" w:rsidRDefault="00BC6E3D" w:rsidP="00F452CF">
      <w:pPr>
        <w:pStyle w:val="Titrearticle"/>
        <w:rPr>
          <w:i w:val="0"/>
          <w:noProof/>
        </w:rPr>
      </w:pPr>
      <w:r w:rsidRPr="006A22D3">
        <w:rPr>
          <w:noProof/>
        </w:rPr>
        <w:t>Artykuł 30</w:t>
      </w:r>
    </w:p>
    <w:p w:rsidR="00BC6E3D" w:rsidRPr="006A22D3" w:rsidRDefault="00BC6E3D" w:rsidP="00F452CF">
      <w:pPr>
        <w:pStyle w:val="Articletitle"/>
        <w:rPr>
          <w:b w:val="0"/>
          <w:bCs w:val="0"/>
          <w:noProof/>
        </w:rPr>
      </w:pPr>
      <w:r w:rsidRPr="006A22D3">
        <w:rPr>
          <w:noProof/>
        </w:rPr>
        <w:t>Transpozycja</w:t>
      </w:r>
    </w:p>
    <w:p w:rsidR="00BC6E3D" w:rsidRPr="006A22D3" w:rsidRDefault="00D91F29" w:rsidP="00D91F29">
      <w:pPr>
        <w:pStyle w:val="ManualNumPar1"/>
        <w:rPr>
          <w:noProof/>
        </w:rPr>
      </w:pPr>
      <w:r w:rsidRPr="00D91F29">
        <w:t>1.</w:t>
      </w:r>
      <w:r w:rsidRPr="00D91F29">
        <w:tab/>
      </w:r>
      <w:r w:rsidR="00BC6E3D" w:rsidRPr="006A22D3">
        <w:rPr>
          <w:noProof/>
        </w:rPr>
        <w:t>Państwa członkowskie przyjmują</w:t>
      </w:r>
      <w:r w:rsidR="006A22D3" w:rsidRPr="006A22D3">
        <w:rPr>
          <w:noProof/>
        </w:rPr>
        <w:t xml:space="preserve"> i pub</w:t>
      </w:r>
      <w:r w:rsidR="00BC6E3D" w:rsidRPr="006A22D3">
        <w:rPr>
          <w:noProof/>
        </w:rPr>
        <w:t>likują, najpóźniej do dnia [</w:t>
      </w:r>
      <w:r w:rsidR="00BC6E3D" w:rsidRPr="006A22D3">
        <w:rPr>
          <w:i/>
          <w:noProof/>
        </w:rPr>
        <w:t>do wstawienia przez Urząd Publikacji: 2 lata od dnia wejścia</w:t>
      </w:r>
      <w:r w:rsidR="006A22D3" w:rsidRPr="006A22D3">
        <w:rPr>
          <w:i/>
          <w:noProof/>
        </w:rPr>
        <w:t xml:space="preserve"> w życ</w:t>
      </w:r>
      <w:r w:rsidR="00BC6E3D" w:rsidRPr="006A22D3">
        <w:rPr>
          <w:i/>
          <w:noProof/>
        </w:rPr>
        <w:t>ie niniejszej dyrektywy]</w:t>
      </w:r>
      <w:r w:rsidR="00BC6E3D" w:rsidRPr="006A22D3">
        <w:rPr>
          <w:noProof/>
        </w:rPr>
        <w:t>, przepisy wykonawcze</w:t>
      </w:r>
      <w:r w:rsidR="006A22D3" w:rsidRPr="006A22D3">
        <w:rPr>
          <w:noProof/>
        </w:rPr>
        <w:t xml:space="preserve"> i adm</w:t>
      </w:r>
      <w:r w:rsidR="00BC6E3D" w:rsidRPr="006A22D3">
        <w:rPr>
          <w:noProof/>
        </w:rPr>
        <w:t xml:space="preserve">inistracyjne niezbędne do wykonania niniejszej dyrektywy. Niezwłocznie przekazują Komisji tekst tych przepisów. </w:t>
      </w:r>
    </w:p>
    <w:p w:rsidR="00437AA2" w:rsidRPr="006A22D3" w:rsidRDefault="00BC6E3D" w:rsidP="00F452CF">
      <w:pPr>
        <w:pStyle w:val="Text1"/>
        <w:rPr>
          <w:noProof/>
        </w:rPr>
      </w:pPr>
      <w:r w:rsidRPr="006A22D3">
        <w:rPr>
          <w:noProof/>
        </w:rPr>
        <w:t>Państwa członkowskie stosują te przepisy</w:t>
      </w:r>
      <w:r w:rsidR="006A22D3" w:rsidRPr="006A22D3">
        <w:rPr>
          <w:noProof/>
        </w:rPr>
        <w:t xml:space="preserve"> w nas</w:t>
      </w:r>
      <w:r w:rsidRPr="006A22D3">
        <w:rPr>
          <w:noProof/>
        </w:rPr>
        <w:t xml:space="preserve">tępujący sposób: </w:t>
      </w:r>
    </w:p>
    <w:p w:rsidR="00BC6E3D" w:rsidRPr="006A22D3" w:rsidRDefault="00130BF7" w:rsidP="00130BF7">
      <w:pPr>
        <w:pStyle w:val="Text1"/>
        <w:ind w:left="1418" w:hanging="568"/>
        <w:rPr>
          <w:noProof/>
        </w:rPr>
      </w:pPr>
      <w:r w:rsidRPr="006A22D3">
        <w:rPr>
          <w:noProof/>
        </w:rPr>
        <w:t>a)</w:t>
      </w:r>
      <w:r w:rsidRPr="006A22D3">
        <w:rPr>
          <w:noProof/>
        </w:rPr>
        <w:tab/>
        <w:t>od dnia [do wstawienia przez Urząd Publikacji: 2 lata od dnia wejścia</w:t>
      </w:r>
      <w:r w:rsidR="006A22D3" w:rsidRPr="006A22D3">
        <w:rPr>
          <w:noProof/>
        </w:rPr>
        <w:t xml:space="preserve"> w życ</w:t>
      </w:r>
      <w:r w:rsidRPr="006A22D3">
        <w:rPr>
          <w:noProof/>
        </w:rPr>
        <w:t>ie niniejszej dyrektywy]</w:t>
      </w:r>
      <w:r w:rsidR="006A22D3" w:rsidRPr="006A22D3">
        <w:rPr>
          <w:noProof/>
        </w:rPr>
        <w:t xml:space="preserve"> w odn</w:t>
      </w:r>
      <w:r w:rsidRPr="006A22D3">
        <w:rPr>
          <w:noProof/>
        </w:rPr>
        <w:t>iesieniu do przedsiębiorstw,</w:t>
      </w:r>
      <w:r w:rsidR="006A22D3" w:rsidRPr="006A22D3">
        <w:rPr>
          <w:noProof/>
        </w:rPr>
        <w:t xml:space="preserve"> o któ</w:t>
      </w:r>
      <w:r w:rsidRPr="006A22D3">
        <w:rPr>
          <w:noProof/>
        </w:rPr>
        <w:t>rych mowa</w:t>
      </w:r>
      <w:r w:rsidR="006A22D3" w:rsidRPr="006A22D3">
        <w:rPr>
          <w:noProof/>
        </w:rPr>
        <w:t xml:space="preserve"> w art</w:t>
      </w:r>
      <w:r w:rsidRPr="006A22D3">
        <w:rPr>
          <w:noProof/>
        </w:rPr>
        <w:t>.</w:t>
      </w:r>
      <w:r w:rsidR="00192E90" w:rsidRPr="006A22D3">
        <w:rPr>
          <w:noProof/>
        </w:rPr>
        <w:t> </w:t>
      </w:r>
      <w:r w:rsidRPr="006A22D3">
        <w:rPr>
          <w:noProof/>
        </w:rPr>
        <w:t>2 ust.</w:t>
      </w:r>
      <w:r w:rsidR="00192E90" w:rsidRPr="006A22D3">
        <w:rPr>
          <w:noProof/>
        </w:rPr>
        <w:t> </w:t>
      </w:r>
      <w:r w:rsidRPr="006A22D3">
        <w:rPr>
          <w:noProof/>
        </w:rPr>
        <w:t>1 lit.</w:t>
      </w:r>
      <w:r w:rsidR="00192E90" w:rsidRPr="006A22D3">
        <w:rPr>
          <w:noProof/>
        </w:rPr>
        <w:t> </w:t>
      </w:r>
      <w:r w:rsidRPr="006A22D3">
        <w:rPr>
          <w:noProof/>
        </w:rPr>
        <w:t>a) oraz art.</w:t>
      </w:r>
      <w:r w:rsidR="00192E90" w:rsidRPr="006A22D3">
        <w:rPr>
          <w:noProof/>
        </w:rPr>
        <w:t> </w:t>
      </w:r>
      <w:r w:rsidRPr="006A22D3">
        <w:rPr>
          <w:noProof/>
        </w:rPr>
        <w:t>2 ust.</w:t>
      </w:r>
      <w:r w:rsidR="00192E90" w:rsidRPr="006A22D3">
        <w:rPr>
          <w:noProof/>
        </w:rPr>
        <w:t> </w:t>
      </w:r>
      <w:r w:rsidRPr="006A22D3">
        <w:rPr>
          <w:noProof/>
        </w:rPr>
        <w:t>2 lit.</w:t>
      </w:r>
      <w:r w:rsidR="00192E90" w:rsidRPr="006A22D3">
        <w:rPr>
          <w:noProof/>
        </w:rPr>
        <w:t> </w:t>
      </w:r>
      <w:r w:rsidRPr="006A22D3">
        <w:rPr>
          <w:noProof/>
        </w:rPr>
        <w:t>a);</w:t>
      </w:r>
    </w:p>
    <w:p w:rsidR="00437AA2" w:rsidRPr="006A22D3" w:rsidRDefault="00130BF7" w:rsidP="00130BF7">
      <w:pPr>
        <w:pStyle w:val="Text1"/>
        <w:ind w:left="1418" w:hanging="568"/>
        <w:rPr>
          <w:noProof/>
        </w:rPr>
      </w:pPr>
      <w:r w:rsidRPr="006A22D3">
        <w:rPr>
          <w:noProof/>
        </w:rPr>
        <w:t>b)</w:t>
      </w:r>
      <w:r w:rsidRPr="006A22D3">
        <w:rPr>
          <w:noProof/>
        </w:rPr>
        <w:tab/>
        <w:t>od dnia [do wstawienia przez Urząd Publikacji: 4 lata od dnia wejścia</w:t>
      </w:r>
      <w:r w:rsidR="006A22D3" w:rsidRPr="006A22D3">
        <w:rPr>
          <w:noProof/>
        </w:rPr>
        <w:t xml:space="preserve"> w życ</w:t>
      </w:r>
      <w:r w:rsidRPr="006A22D3">
        <w:rPr>
          <w:noProof/>
        </w:rPr>
        <w:t>ie niniejszej dyrektywy]</w:t>
      </w:r>
      <w:r w:rsidR="006A22D3" w:rsidRPr="006A22D3">
        <w:rPr>
          <w:noProof/>
        </w:rPr>
        <w:t xml:space="preserve"> w odn</w:t>
      </w:r>
      <w:r w:rsidRPr="006A22D3">
        <w:rPr>
          <w:noProof/>
        </w:rPr>
        <w:t>iesieniu do przedsiębiorstw,</w:t>
      </w:r>
      <w:r w:rsidR="006A22D3" w:rsidRPr="006A22D3">
        <w:rPr>
          <w:noProof/>
        </w:rPr>
        <w:t xml:space="preserve"> o któ</w:t>
      </w:r>
      <w:r w:rsidRPr="006A22D3">
        <w:rPr>
          <w:noProof/>
        </w:rPr>
        <w:t>rych mowa</w:t>
      </w:r>
      <w:r w:rsidR="006A22D3" w:rsidRPr="006A22D3">
        <w:rPr>
          <w:noProof/>
        </w:rPr>
        <w:t xml:space="preserve"> w art</w:t>
      </w:r>
      <w:r w:rsidRPr="006A22D3">
        <w:rPr>
          <w:noProof/>
        </w:rPr>
        <w:t>.</w:t>
      </w:r>
      <w:r w:rsidR="00192E90" w:rsidRPr="006A22D3">
        <w:rPr>
          <w:noProof/>
        </w:rPr>
        <w:t> </w:t>
      </w:r>
      <w:r w:rsidRPr="006A22D3">
        <w:rPr>
          <w:noProof/>
        </w:rPr>
        <w:t>2 ust.</w:t>
      </w:r>
      <w:r w:rsidR="00192E90" w:rsidRPr="006A22D3">
        <w:rPr>
          <w:noProof/>
        </w:rPr>
        <w:t> </w:t>
      </w:r>
      <w:r w:rsidRPr="006A22D3">
        <w:rPr>
          <w:noProof/>
        </w:rPr>
        <w:t>1 lit.</w:t>
      </w:r>
      <w:r w:rsidR="00192E90" w:rsidRPr="006A22D3">
        <w:rPr>
          <w:noProof/>
        </w:rPr>
        <w:t> </w:t>
      </w:r>
      <w:r w:rsidRPr="006A22D3">
        <w:rPr>
          <w:noProof/>
        </w:rPr>
        <w:t>b) oraz art.</w:t>
      </w:r>
      <w:r w:rsidR="00192E90" w:rsidRPr="006A22D3">
        <w:rPr>
          <w:noProof/>
        </w:rPr>
        <w:t> </w:t>
      </w:r>
      <w:r w:rsidRPr="006A22D3">
        <w:rPr>
          <w:noProof/>
        </w:rPr>
        <w:t>2 ust.</w:t>
      </w:r>
      <w:r w:rsidR="00192E90" w:rsidRPr="006A22D3">
        <w:rPr>
          <w:noProof/>
        </w:rPr>
        <w:t> </w:t>
      </w:r>
      <w:r w:rsidRPr="006A22D3">
        <w:rPr>
          <w:noProof/>
        </w:rPr>
        <w:t>2 lit.</w:t>
      </w:r>
      <w:r w:rsidR="00192E90" w:rsidRPr="006A22D3">
        <w:rPr>
          <w:noProof/>
        </w:rPr>
        <w:t> </w:t>
      </w:r>
      <w:r w:rsidRPr="006A22D3">
        <w:rPr>
          <w:noProof/>
        </w:rPr>
        <w:t>b);</w:t>
      </w:r>
    </w:p>
    <w:p w:rsidR="00BC6E3D" w:rsidRPr="006A22D3" w:rsidRDefault="00BC6E3D" w:rsidP="00F452CF">
      <w:pPr>
        <w:pStyle w:val="Text1"/>
        <w:rPr>
          <w:noProof/>
        </w:rPr>
      </w:pPr>
      <w:r w:rsidRPr="006A22D3">
        <w:rPr>
          <w:noProof/>
        </w:rPr>
        <w:t>Przepisy przyjęte przez państwa członkowskie zawierają odniesienie do niniejszej dyrektywy lub odniesienie takie towarzyszy ich urzędowej publikacji. Metody dokonywania takiego odniesienia określane są przez państwa członkowskie.</w:t>
      </w:r>
    </w:p>
    <w:p w:rsidR="00BC6E3D" w:rsidRPr="006A22D3" w:rsidRDefault="00D91F29" w:rsidP="00D91F29">
      <w:pPr>
        <w:pStyle w:val="ManualNumPar1"/>
        <w:rPr>
          <w:noProof/>
        </w:rPr>
      </w:pPr>
      <w:r w:rsidRPr="00D91F29">
        <w:t>2.</w:t>
      </w:r>
      <w:r w:rsidRPr="00D91F29">
        <w:tab/>
      </w:r>
      <w:r w:rsidR="00BC6E3D" w:rsidRPr="006A22D3">
        <w:rPr>
          <w:noProof/>
        </w:rPr>
        <w:t>Państwa członkowskie przekazują Komisji tekst podstawowych przepisów prawa krajowego przyjętych</w:t>
      </w:r>
      <w:r w:rsidR="006A22D3" w:rsidRPr="006A22D3">
        <w:rPr>
          <w:noProof/>
        </w:rPr>
        <w:t xml:space="preserve"> w dzi</w:t>
      </w:r>
      <w:r w:rsidR="00BC6E3D" w:rsidRPr="006A22D3">
        <w:rPr>
          <w:noProof/>
        </w:rPr>
        <w:t>edzinie objętej niniejszą dyrektywą.</w:t>
      </w:r>
    </w:p>
    <w:p w:rsidR="0080592F" w:rsidRPr="006A22D3" w:rsidRDefault="00B70AD0" w:rsidP="007A50EE">
      <w:pPr>
        <w:pStyle w:val="Titrearticle"/>
        <w:rPr>
          <w:noProof/>
        </w:rPr>
      </w:pPr>
      <w:r w:rsidRPr="006A22D3">
        <w:rPr>
          <w:noProof/>
        </w:rPr>
        <w:t>Artykuł 31</w:t>
      </w:r>
    </w:p>
    <w:p w:rsidR="00241878" w:rsidRPr="006A22D3" w:rsidRDefault="00241878" w:rsidP="008A767D">
      <w:pPr>
        <w:pStyle w:val="Articletitle"/>
        <w:rPr>
          <w:noProof/>
        </w:rPr>
      </w:pPr>
      <w:r w:rsidRPr="006A22D3">
        <w:rPr>
          <w:noProof/>
        </w:rPr>
        <w:t>Wejście</w:t>
      </w:r>
      <w:r w:rsidR="006A22D3" w:rsidRPr="006A22D3">
        <w:rPr>
          <w:noProof/>
        </w:rPr>
        <w:t xml:space="preserve"> w życ</w:t>
      </w:r>
      <w:r w:rsidRPr="006A22D3">
        <w:rPr>
          <w:noProof/>
        </w:rPr>
        <w:t>ie</w:t>
      </w:r>
    </w:p>
    <w:p w:rsidR="0080592F" w:rsidRPr="006A22D3" w:rsidRDefault="0080592F" w:rsidP="00370814">
      <w:pPr>
        <w:rPr>
          <w:noProof/>
        </w:rPr>
      </w:pPr>
      <w:r w:rsidRPr="006A22D3">
        <w:rPr>
          <w:noProof/>
        </w:rPr>
        <w:t>Niniejsza dyrektywa wchodzi</w:t>
      </w:r>
      <w:r w:rsidR="006A22D3" w:rsidRPr="006A22D3">
        <w:rPr>
          <w:noProof/>
        </w:rPr>
        <w:t xml:space="preserve"> w życ</w:t>
      </w:r>
      <w:r w:rsidRPr="006A22D3">
        <w:rPr>
          <w:noProof/>
        </w:rPr>
        <w:t>ie dwudziestego dnia po jej opublikowaniu</w:t>
      </w:r>
      <w:r w:rsidR="006A22D3" w:rsidRPr="006A22D3">
        <w:rPr>
          <w:noProof/>
        </w:rPr>
        <w:t xml:space="preserve"> w </w:t>
      </w:r>
      <w:r w:rsidR="006A22D3" w:rsidRPr="006A22D3">
        <w:rPr>
          <w:i/>
          <w:iCs/>
          <w:noProof/>
        </w:rPr>
        <w:t>Dzi</w:t>
      </w:r>
      <w:r w:rsidRPr="006A22D3">
        <w:rPr>
          <w:i/>
          <w:iCs/>
          <w:noProof/>
        </w:rPr>
        <w:t>enniku Urzędowym Unii Europejskiej</w:t>
      </w:r>
      <w:r w:rsidRPr="006A22D3">
        <w:rPr>
          <w:noProof/>
        </w:rPr>
        <w:t>.</w:t>
      </w:r>
    </w:p>
    <w:p w:rsidR="0080592F" w:rsidRPr="006A22D3" w:rsidRDefault="00B70AD0" w:rsidP="007A50EE">
      <w:pPr>
        <w:pStyle w:val="Titrearticle"/>
        <w:rPr>
          <w:noProof/>
        </w:rPr>
      </w:pPr>
      <w:r w:rsidRPr="006A22D3">
        <w:rPr>
          <w:noProof/>
        </w:rPr>
        <w:t>Artykuł 32</w:t>
      </w:r>
    </w:p>
    <w:p w:rsidR="006E4927" w:rsidRPr="006A22D3" w:rsidRDefault="006E4927" w:rsidP="008A767D">
      <w:pPr>
        <w:pStyle w:val="Articletitle"/>
        <w:rPr>
          <w:noProof/>
        </w:rPr>
      </w:pPr>
      <w:r w:rsidRPr="006A22D3">
        <w:rPr>
          <w:noProof/>
        </w:rPr>
        <w:t>Adresaci</w:t>
      </w:r>
    </w:p>
    <w:p w:rsidR="0080592F" w:rsidRPr="006A22D3" w:rsidRDefault="0080592F" w:rsidP="00BA3125">
      <w:pPr>
        <w:keepNext/>
        <w:keepLines/>
        <w:rPr>
          <w:noProof/>
        </w:rPr>
      </w:pPr>
      <w:r w:rsidRPr="006A22D3">
        <w:rPr>
          <w:noProof/>
        </w:rPr>
        <w:t>Niniejsza dyrektywa skierowana jest do państw członkowskich.</w:t>
      </w:r>
    </w:p>
    <w:p w:rsidR="0080592F" w:rsidRPr="006A22D3" w:rsidRDefault="00D0599A" w:rsidP="001C6B22">
      <w:pPr>
        <w:pStyle w:val="Fait"/>
        <w:rPr>
          <w:noProof/>
        </w:rPr>
      </w:pPr>
      <w:r w:rsidRPr="00D0599A">
        <w:t xml:space="preserve">Sporządzono w Brukseli dnia </w:t>
      </w:r>
      <w:r w:rsidRPr="00D0599A">
        <w:rPr>
          <w:rStyle w:val="Marker"/>
        </w:rPr>
        <w:t>[…]</w:t>
      </w:r>
      <w:r w:rsidRPr="00D0599A">
        <w:t xml:space="preserve"> r.</w:t>
      </w:r>
    </w:p>
    <w:p w:rsidR="0080592F" w:rsidRPr="006A22D3" w:rsidRDefault="0080592F" w:rsidP="001C6B22">
      <w:pPr>
        <w:pStyle w:val="Institutionquisigne"/>
        <w:rPr>
          <w:noProof/>
        </w:rPr>
      </w:pPr>
      <w:r w:rsidRPr="006A22D3">
        <w:rPr>
          <w:noProof/>
        </w:rPr>
        <w:t>W imieniu Parlamentu Europejskiego</w:t>
      </w:r>
      <w:r w:rsidRPr="006A22D3">
        <w:rPr>
          <w:noProof/>
        </w:rPr>
        <w:tab/>
        <w:t>W imieniu Rady</w:t>
      </w:r>
    </w:p>
    <w:p w:rsidR="00693E58" w:rsidRPr="006A22D3" w:rsidRDefault="0080592F" w:rsidP="007A50EE">
      <w:pPr>
        <w:pStyle w:val="Personnequisigne"/>
        <w:rPr>
          <w:noProof/>
        </w:rPr>
      </w:pPr>
      <w:r w:rsidRPr="006A22D3">
        <w:rPr>
          <w:noProof/>
        </w:rPr>
        <w:t>Przewodnicząca</w:t>
      </w:r>
      <w:r w:rsidRPr="006A22D3">
        <w:rPr>
          <w:noProof/>
        </w:rPr>
        <w:tab/>
        <w:t>Przewodniczący</w:t>
      </w:r>
    </w:p>
    <w:sectPr w:rsidR="00693E58" w:rsidRPr="006A22D3" w:rsidSect="002F79ED">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C67" w:rsidRPr="006A22D3" w:rsidRDefault="00036C67" w:rsidP="0080592F">
      <w:pPr>
        <w:spacing w:before="0" w:after="0"/>
      </w:pPr>
      <w:r w:rsidRPr="006A22D3">
        <w:separator/>
      </w:r>
    </w:p>
    <w:p w:rsidR="00036C67" w:rsidRPr="006A22D3" w:rsidRDefault="00036C67"/>
    <w:p w:rsidR="00036C67" w:rsidRPr="006A22D3" w:rsidRDefault="00036C67"/>
    <w:p w:rsidR="00036C67" w:rsidRPr="006A22D3" w:rsidRDefault="00036C67"/>
    <w:p w:rsidR="00036C67" w:rsidRPr="006A22D3" w:rsidRDefault="00036C67"/>
  </w:endnote>
  <w:endnote w:type="continuationSeparator" w:id="0">
    <w:p w:rsidR="00036C67" w:rsidRPr="006A22D3" w:rsidRDefault="00036C67" w:rsidP="0080592F">
      <w:pPr>
        <w:spacing w:before="0" w:after="0"/>
      </w:pPr>
      <w:r w:rsidRPr="006A22D3">
        <w:continuationSeparator/>
      </w:r>
    </w:p>
    <w:p w:rsidR="00036C67" w:rsidRPr="006A22D3" w:rsidRDefault="00036C67"/>
    <w:p w:rsidR="00036C67" w:rsidRPr="006A22D3" w:rsidRDefault="00036C67"/>
    <w:p w:rsidR="00036C67" w:rsidRPr="006A22D3" w:rsidRDefault="00036C67"/>
    <w:p w:rsidR="00036C67" w:rsidRPr="006A22D3" w:rsidRDefault="00036C67"/>
  </w:endnote>
  <w:endnote w:type="continuationNotice" w:id="1">
    <w:p w:rsidR="00036C67" w:rsidRPr="006A22D3" w:rsidRDefault="00036C67">
      <w:pPr>
        <w:spacing w:before="0" w:after="0"/>
      </w:pPr>
    </w:p>
    <w:p w:rsidR="00036C67" w:rsidRPr="006A22D3" w:rsidRDefault="00036C67"/>
    <w:p w:rsidR="00036C67" w:rsidRPr="006A22D3" w:rsidRDefault="00036C67"/>
    <w:p w:rsidR="00036C67" w:rsidRPr="006A22D3" w:rsidRDefault="00036C67"/>
    <w:p w:rsidR="00036C67" w:rsidRPr="006A22D3" w:rsidRDefault="00036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C67" w:rsidRPr="002F79ED" w:rsidRDefault="002F79ED" w:rsidP="002F79ED">
    <w:pPr>
      <w:pStyle w:val="Footer"/>
      <w:rPr>
        <w:rFonts w:ascii="Arial" w:hAnsi="Arial" w:cs="Arial"/>
        <w:b/>
        <w:sz w:val="48"/>
      </w:rPr>
    </w:pPr>
    <w:r w:rsidRPr="002F79ED">
      <w:rPr>
        <w:rFonts w:ascii="Arial" w:hAnsi="Arial" w:cs="Arial"/>
        <w:b/>
        <w:sz w:val="48"/>
      </w:rPr>
      <w:t>PL</w:t>
    </w:r>
    <w:r w:rsidRPr="002F79ED">
      <w:rPr>
        <w:rFonts w:ascii="Arial" w:hAnsi="Arial" w:cs="Arial"/>
        <w:b/>
        <w:sz w:val="48"/>
      </w:rPr>
      <w:tab/>
    </w:r>
    <w:r w:rsidRPr="002F79ED">
      <w:rPr>
        <w:rFonts w:ascii="Arial" w:hAnsi="Arial" w:cs="Arial"/>
        <w:b/>
        <w:sz w:val="48"/>
      </w:rPr>
      <w:tab/>
    </w:r>
    <w:r w:rsidRPr="002F79ED">
      <w:tab/>
    </w:r>
    <w:r w:rsidRPr="002F79ED">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ED" w:rsidRPr="002F79ED" w:rsidRDefault="002F79ED" w:rsidP="002F79ED">
    <w:pPr>
      <w:pStyle w:val="Footer"/>
      <w:rPr>
        <w:rFonts w:ascii="Arial" w:hAnsi="Arial" w:cs="Arial"/>
        <w:b/>
        <w:sz w:val="48"/>
      </w:rPr>
    </w:pPr>
    <w:r w:rsidRPr="002F79ED">
      <w:rPr>
        <w:rFonts w:ascii="Arial" w:hAnsi="Arial" w:cs="Arial"/>
        <w:b/>
        <w:sz w:val="48"/>
      </w:rPr>
      <w:t>PL</w:t>
    </w:r>
    <w:r w:rsidRPr="002F79ED">
      <w:rPr>
        <w:rFonts w:ascii="Arial" w:hAnsi="Arial" w:cs="Arial"/>
        <w:b/>
        <w:sz w:val="48"/>
      </w:rPr>
      <w:tab/>
    </w:r>
    <w:r>
      <w:fldChar w:fldCharType="begin"/>
    </w:r>
    <w:r>
      <w:instrText xml:space="preserve"> PAGE  \* MERGEFORMAT </w:instrText>
    </w:r>
    <w:r>
      <w:fldChar w:fldCharType="separate"/>
    </w:r>
    <w:r w:rsidR="001C6B22">
      <w:rPr>
        <w:noProof/>
      </w:rPr>
      <w:t>81</w:t>
    </w:r>
    <w:r>
      <w:fldChar w:fldCharType="end"/>
    </w:r>
    <w:r>
      <w:tab/>
    </w:r>
    <w:r w:rsidRPr="002F79ED">
      <w:tab/>
    </w:r>
    <w:r w:rsidRPr="002F79ED">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ED" w:rsidRPr="002F79ED" w:rsidRDefault="002F79ED" w:rsidP="002F7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C67" w:rsidRPr="006A22D3" w:rsidRDefault="00036C67">
      <w:r w:rsidRPr="006A22D3">
        <w:separator/>
      </w:r>
    </w:p>
    <w:p w:rsidR="00036C67" w:rsidRPr="006A22D3" w:rsidRDefault="00036C67"/>
  </w:footnote>
  <w:footnote w:type="continuationSeparator" w:id="0">
    <w:p w:rsidR="00036C67" w:rsidRPr="006A22D3" w:rsidRDefault="00036C67">
      <w:r w:rsidRPr="006A22D3">
        <w:continuationSeparator/>
      </w:r>
    </w:p>
    <w:p w:rsidR="00036C67" w:rsidRPr="006A22D3" w:rsidRDefault="00036C67"/>
  </w:footnote>
  <w:footnote w:type="continuationNotice" w:id="1">
    <w:p w:rsidR="00036C67" w:rsidRPr="006A22D3" w:rsidRDefault="00036C67"/>
    <w:p w:rsidR="00036C67" w:rsidRPr="006A22D3" w:rsidRDefault="00036C67"/>
  </w:footnote>
  <w:footnote w:id="2">
    <w:p w:rsidR="00036C67" w:rsidRPr="006A22D3" w:rsidRDefault="00036C67" w:rsidP="001859C1">
      <w:pPr>
        <w:pStyle w:val="FootnoteText"/>
      </w:pPr>
      <w:r w:rsidRPr="006A22D3">
        <w:rPr>
          <w:rStyle w:val="FootnoteReference"/>
        </w:rPr>
        <w:footnoteRef/>
      </w:r>
      <w:r w:rsidRPr="006A22D3">
        <w:tab/>
        <w:t>Rozporządzenie Parlamentu Europejskiego</w:t>
      </w:r>
      <w:r w:rsidR="006A22D3" w:rsidRPr="006A22D3">
        <w:t xml:space="preserve"> i Rad</w:t>
      </w:r>
      <w:r w:rsidRPr="006A22D3">
        <w:t>y (UE) 2021/1119</w:t>
      </w:r>
      <w:r w:rsidR="006A22D3" w:rsidRPr="006A22D3">
        <w:t xml:space="preserve"> z dni</w:t>
      </w:r>
      <w:r w:rsidRPr="006A22D3">
        <w:t>a 30 czerwca 2021 r.</w:t>
      </w:r>
      <w:r w:rsidR="006A22D3" w:rsidRPr="006A22D3">
        <w:t xml:space="preserve"> w spr</w:t>
      </w:r>
      <w:r w:rsidRPr="006A22D3">
        <w:t>awie ustanowienia ram na potrzeby osiągnięcia neutralności klimatycznej</w:t>
      </w:r>
      <w:r w:rsidR="006A22D3" w:rsidRPr="006A22D3">
        <w:t xml:space="preserve"> i zmi</w:t>
      </w:r>
      <w:r w:rsidRPr="006A22D3">
        <w:t>any rozporządzeń (WE) nr 401/2009 i (UE) 2018/1999 (Europejskie prawo</w:t>
      </w:r>
      <w:r w:rsidR="006A22D3" w:rsidRPr="006A22D3">
        <w:t xml:space="preserve"> o kli</w:t>
      </w:r>
      <w:r w:rsidRPr="006A22D3">
        <w:t>macie),</w:t>
      </w:r>
      <w:r w:rsidR="006A22D3" w:rsidRPr="006A22D3">
        <w:t xml:space="preserve"> w któ</w:t>
      </w:r>
      <w:r w:rsidRPr="006A22D3">
        <w:t>rym wyznaczono również wiążący cel zakładający ograniczenie emisji netto gazów cieplarnianych o co najmniej 55 %</w:t>
      </w:r>
      <w:r w:rsidR="006A22D3" w:rsidRPr="006A22D3">
        <w:t xml:space="preserve"> w por</w:t>
      </w:r>
      <w:r w:rsidRPr="006A22D3">
        <w:t>ównaniu</w:t>
      </w:r>
      <w:r w:rsidR="006A22D3" w:rsidRPr="006A22D3">
        <w:t xml:space="preserve"> z poz</w:t>
      </w:r>
      <w:r w:rsidRPr="006A22D3">
        <w:t>iomami</w:t>
      </w:r>
      <w:r w:rsidR="006A22D3" w:rsidRPr="006A22D3">
        <w:t xml:space="preserve"> z 1</w:t>
      </w:r>
      <w:r w:rsidRPr="006A22D3">
        <w:t>990 r. do 2030 r.</w:t>
      </w:r>
    </w:p>
  </w:footnote>
  <w:footnote w:id="3">
    <w:p w:rsidR="00036C67" w:rsidRPr="006A22D3" w:rsidRDefault="00036C67" w:rsidP="006746C9">
      <w:pPr>
        <w:pStyle w:val="FootnoteText"/>
      </w:pPr>
      <w:r w:rsidRPr="006A22D3">
        <w:rPr>
          <w:rStyle w:val="FootnoteReference"/>
        </w:rPr>
        <w:footnoteRef/>
      </w:r>
      <w:r w:rsidRPr="006A22D3">
        <w:tab/>
        <w:t>Komunikat Komisji „Europejski Zielony Ład”, COM(2019) 640 final.</w:t>
      </w:r>
    </w:p>
  </w:footnote>
  <w:footnote w:id="4">
    <w:p w:rsidR="00036C67" w:rsidRPr="006A22D3" w:rsidRDefault="00036C67">
      <w:pPr>
        <w:pStyle w:val="FootnoteText"/>
      </w:pPr>
      <w:r w:rsidRPr="006A22D3">
        <w:rPr>
          <w:rStyle w:val="FootnoteReference"/>
        </w:rPr>
        <w:footnoteRef/>
      </w:r>
      <w:r w:rsidRPr="006A22D3">
        <w:tab/>
        <w:t>Jak dotąd przepisy horyzontalne</w:t>
      </w:r>
      <w:r w:rsidR="006A22D3" w:rsidRPr="006A22D3">
        <w:t xml:space="preserve"> w zak</w:t>
      </w:r>
      <w:r w:rsidRPr="006A22D3">
        <w:t>resie należytej staranności wprowadzono we Francji (</w:t>
      </w:r>
      <w:r w:rsidRPr="006A22D3">
        <w:rPr>
          <w:i/>
        </w:rPr>
        <w:t>Loi relative au devoir de vigilance</w:t>
      </w:r>
      <w:r w:rsidRPr="006A22D3">
        <w:t>, 2017 r.)</w:t>
      </w:r>
      <w:r w:rsidR="006A22D3" w:rsidRPr="006A22D3">
        <w:t xml:space="preserve"> i w Nie</w:t>
      </w:r>
      <w:r w:rsidRPr="006A22D3">
        <w:t>mczech (</w:t>
      </w:r>
      <w:r w:rsidRPr="006A22D3">
        <w:rPr>
          <w:i/>
        </w:rPr>
        <w:t>Sorgfaltspflichtengesetz</w:t>
      </w:r>
      <w:r w:rsidRPr="006A22D3">
        <w:t>, 2021 r.) – inne państwa członkowskie (Belgia, Niderlandy, Luksemburg</w:t>
      </w:r>
      <w:r w:rsidR="006A22D3" w:rsidRPr="006A22D3">
        <w:t xml:space="preserve"> i Szw</w:t>
      </w:r>
      <w:r w:rsidRPr="006A22D3">
        <w:t>ecja) planują zrobić to</w:t>
      </w:r>
      <w:r w:rsidR="006A22D3" w:rsidRPr="006A22D3">
        <w:t xml:space="preserve"> w nie</w:t>
      </w:r>
      <w:r w:rsidRPr="006A22D3">
        <w:t>dalekiej przyszłości, przy czym Niderlandy przyjęły bardziej szczegółową ustawę</w:t>
      </w:r>
      <w:r w:rsidR="006A22D3" w:rsidRPr="006A22D3">
        <w:t xml:space="preserve"> o pra</w:t>
      </w:r>
      <w:r w:rsidRPr="006A22D3">
        <w:t>cy dzieci (</w:t>
      </w:r>
      <w:r w:rsidRPr="006A22D3">
        <w:rPr>
          <w:i/>
        </w:rPr>
        <w:t>Wet zorgplicht kinderarbeidm</w:t>
      </w:r>
      <w:r w:rsidRPr="006A22D3">
        <w:t>, 2019 r.).</w:t>
      </w:r>
    </w:p>
  </w:footnote>
  <w:footnote w:id="5">
    <w:p w:rsidR="00036C67" w:rsidRPr="006A22D3" w:rsidRDefault="00036C67" w:rsidP="005F6A53">
      <w:pPr>
        <w:pStyle w:val="FootnoteText"/>
      </w:pPr>
      <w:r w:rsidRPr="006A22D3">
        <w:rPr>
          <w:rStyle w:val="FootnoteReference"/>
        </w:rPr>
        <w:footnoteRef/>
      </w:r>
      <w:r w:rsidRPr="006A22D3">
        <w:tab/>
        <w:t>Rezolucja Parlamentu Europejskiego</w:t>
      </w:r>
      <w:r w:rsidR="006A22D3" w:rsidRPr="006A22D3">
        <w:t xml:space="preserve"> z dni</w:t>
      </w:r>
      <w:r w:rsidRPr="006A22D3">
        <w:t>a 10 marca 2021 r. zawierająca zalecenia dla Komisji dotyczące należytej staranności</w:t>
      </w:r>
      <w:r w:rsidR="006A22D3" w:rsidRPr="006A22D3">
        <w:t xml:space="preserve"> i odp</w:t>
      </w:r>
      <w:r w:rsidRPr="006A22D3">
        <w:t>owiedzialności przedsiębiorstw (</w:t>
      </w:r>
      <w:hyperlink r:id="rId1" w:history="1">
        <w:r w:rsidRPr="006A22D3">
          <w:t>2020/2129(INL)</w:t>
        </w:r>
      </w:hyperlink>
      <w:r w:rsidRPr="006A22D3">
        <w:t>); konkluzje Rady</w:t>
      </w:r>
      <w:r w:rsidR="006A22D3" w:rsidRPr="006A22D3">
        <w:t xml:space="preserve"> z dni</w:t>
      </w:r>
      <w:r w:rsidRPr="006A22D3">
        <w:t>a 1 grudnia 2020 r.</w:t>
      </w:r>
      <w:r w:rsidR="006A22D3" w:rsidRPr="006A22D3">
        <w:t xml:space="preserve"> w spr</w:t>
      </w:r>
      <w:r w:rsidRPr="006A22D3">
        <w:t>awie praw człowieka</w:t>
      </w:r>
      <w:r w:rsidR="006A22D3" w:rsidRPr="006A22D3">
        <w:t xml:space="preserve"> i god</w:t>
      </w:r>
      <w:r w:rsidRPr="006A22D3">
        <w:t>nej pracy</w:t>
      </w:r>
      <w:r w:rsidR="006A22D3" w:rsidRPr="006A22D3">
        <w:t xml:space="preserve"> w glo</w:t>
      </w:r>
      <w:r w:rsidRPr="006A22D3">
        <w:t>balnych łańcuchach dostaw (13512/20).</w:t>
      </w:r>
    </w:p>
  </w:footnote>
  <w:footnote w:id="6">
    <w:p w:rsidR="00036C67" w:rsidRPr="006A22D3" w:rsidRDefault="00036C67" w:rsidP="0078470C">
      <w:pPr>
        <w:pStyle w:val="FootnoteText"/>
      </w:pPr>
      <w:r w:rsidRPr="006A22D3">
        <w:rPr>
          <w:rStyle w:val="FootnoteReference"/>
        </w:rPr>
        <w:footnoteRef/>
      </w:r>
      <w:r w:rsidRPr="006A22D3">
        <w:tab/>
        <w:t>Wspólna deklaracja Parlamentu Europejskiego, Rady Unii Europejskiej</w:t>
      </w:r>
      <w:r w:rsidR="006A22D3" w:rsidRPr="006A22D3">
        <w:t xml:space="preserve"> i Kom</w:t>
      </w:r>
      <w:r w:rsidRPr="006A22D3">
        <w:t>isji Europejskiej – Priorytety legislacyjne UE na 2022 r. (Dz.U. C 514I</w:t>
      </w:r>
      <w:r w:rsidR="006A22D3" w:rsidRPr="006A22D3">
        <w:t xml:space="preserve"> z 2</w:t>
      </w:r>
      <w:r w:rsidRPr="006A22D3">
        <w:t xml:space="preserve">1.12.2021, s. 1). </w:t>
      </w:r>
    </w:p>
  </w:footnote>
  <w:footnote w:id="7">
    <w:p w:rsidR="00036C67" w:rsidRPr="006A22D3" w:rsidRDefault="00036C67" w:rsidP="001859C1">
      <w:pPr>
        <w:pStyle w:val="FootnoteText"/>
      </w:pPr>
      <w:r w:rsidRPr="006A22D3">
        <w:rPr>
          <w:rStyle w:val="FootnoteReference"/>
        </w:rPr>
        <w:footnoteRef/>
      </w:r>
      <w:r w:rsidRPr="006A22D3">
        <w:tab/>
        <w:t>Organizacja Narodów Zjednoczonych, „Wytyczne dotyczące biznesu</w:t>
      </w:r>
      <w:r w:rsidR="006A22D3" w:rsidRPr="006A22D3">
        <w:t xml:space="preserve"> i pra</w:t>
      </w:r>
      <w:r w:rsidRPr="006A22D3">
        <w:t>w człowieka: Wdrażanie dokumentu ramowego ONZ »Chronić, szanować</w:t>
      </w:r>
      <w:r w:rsidR="006A22D3" w:rsidRPr="006A22D3">
        <w:t xml:space="preserve"> i nap</w:t>
      </w:r>
      <w:r w:rsidRPr="006A22D3">
        <w:t xml:space="preserve">rawiać«” (2011 r.), dokument dostępny pod adresem </w:t>
      </w:r>
      <w:hyperlink r:id="rId2" w:history="1">
        <w:r w:rsidRPr="006A22D3">
          <w:rPr>
            <w:rStyle w:val="Hyperlink"/>
          </w:rPr>
          <w:t>https://www.ohchr.org/Documents/Publications/GuidingPrinciplesBusinessHR_EN.pdf</w:t>
        </w:r>
      </w:hyperlink>
      <w:r w:rsidRPr="006A22D3">
        <w:t>.</w:t>
      </w:r>
    </w:p>
    <w:p w:rsidR="00036C67" w:rsidRPr="006A22D3" w:rsidRDefault="00036C67" w:rsidP="00021ADA">
      <w:pPr>
        <w:pStyle w:val="FootnoteText"/>
        <w:ind w:hanging="717"/>
      </w:pPr>
      <w:r w:rsidRPr="006A22D3">
        <w:tab/>
        <w:t>Wytyczne OECD dla przedsiębiorstw wielonarodowych (aktualizacja</w:t>
      </w:r>
      <w:r w:rsidR="006A22D3" w:rsidRPr="006A22D3">
        <w:t xml:space="preserve"> z 2</w:t>
      </w:r>
      <w:r w:rsidRPr="006A22D3">
        <w:t xml:space="preserve">011 r.), dokument dostępny pod adresem: </w:t>
      </w:r>
      <w:hyperlink r:id="rId3" w:history="1">
        <w:r w:rsidRPr="006A22D3">
          <w:rPr>
            <w:rStyle w:val="Hyperlink"/>
          </w:rPr>
          <w:t>https://www.oecd.org/investment/mne/38111315.pdf</w:t>
        </w:r>
      </w:hyperlink>
      <w:r w:rsidRPr="006A22D3">
        <w:t>,</w:t>
      </w:r>
      <w:r w:rsidR="006A22D3" w:rsidRPr="006A22D3">
        <w:t xml:space="preserve"> w któ</w:t>
      </w:r>
      <w:r w:rsidRPr="006A22D3">
        <w:t>rych zawarto zbiór zaleceń dotyczących odpowiedzialnego prowadzenia działalności gospodarczej,</w:t>
      </w:r>
      <w:r w:rsidR="006A22D3" w:rsidRPr="006A22D3">
        <w:t xml:space="preserve"> a tak</w:t>
      </w:r>
      <w:r w:rsidRPr="006A22D3">
        <w:t>że specjalne wytyczne OECD dotyczące należytej staranności</w:t>
      </w:r>
      <w:r w:rsidR="006A22D3" w:rsidRPr="006A22D3">
        <w:t xml:space="preserve"> w obs</w:t>
      </w:r>
      <w:r w:rsidRPr="006A22D3">
        <w:t xml:space="preserve">zarze odpowiedzialnego prowadzenia działalności gospodarczej (2018 r.) oraz wytyczne sektorowe OECD dostępne pod adresem: </w:t>
      </w:r>
      <w:hyperlink r:id="rId4" w:history="1">
        <w:r w:rsidRPr="006A22D3">
          <w:rPr>
            <w:rStyle w:val="Hyperlink"/>
          </w:rPr>
          <w:t>https://mneguidelines.oecd.org/mneguidelines/</w:t>
        </w:r>
      </w:hyperlink>
      <w:r w:rsidRPr="006A22D3">
        <w:t>.</w:t>
      </w:r>
    </w:p>
  </w:footnote>
  <w:footnote w:id="8">
    <w:p w:rsidR="00036C67" w:rsidRPr="006A22D3" w:rsidRDefault="00036C67" w:rsidP="001859C1">
      <w:pPr>
        <w:pStyle w:val="FootnoteText"/>
      </w:pPr>
      <w:r w:rsidRPr="006A22D3">
        <w:rPr>
          <w:rStyle w:val="FootnoteReference"/>
        </w:rPr>
        <w:footnoteRef/>
      </w:r>
      <w:r w:rsidRPr="006A22D3">
        <w:tab/>
        <w:t>Zob. ocena skutków towarzysząca niniejszemu wnioskowi, s. 15</w:t>
      </w:r>
      <w:r w:rsidR="006A22D3" w:rsidRPr="006A22D3">
        <w:t xml:space="preserve"> i 2</w:t>
      </w:r>
      <w:r w:rsidRPr="006A22D3">
        <w:t>3.</w:t>
      </w:r>
    </w:p>
  </w:footnote>
  <w:footnote w:id="9">
    <w:p w:rsidR="00036C67" w:rsidRPr="006A22D3" w:rsidRDefault="00036C67" w:rsidP="001859C1">
      <w:pPr>
        <w:pStyle w:val="FootnoteText"/>
      </w:pPr>
      <w:r w:rsidRPr="006A22D3">
        <w:rPr>
          <w:rStyle w:val="FootnoteReference"/>
        </w:rPr>
        <w:footnoteRef/>
      </w:r>
      <w:r w:rsidRPr="006A22D3">
        <w:tab/>
        <w:t>Badanie dotyczące należytej staranności, Komisja Europejska, Dyrekcja Generalna ds. Sprawiedliwości</w:t>
      </w:r>
      <w:r w:rsidR="006A22D3" w:rsidRPr="006A22D3">
        <w:t xml:space="preserve"> i Kon</w:t>
      </w:r>
      <w:r w:rsidRPr="006A22D3">
        <w:t>sumentów, Smit, L., Bright, C. i in., Study on due diligence requirements through the supply chain: final report [„Badanie dotyczące wymogów</w:t>
      </w:r>
      <w:r w:rsidR="006A22D3" w:rsidRPr="006A22D3">
        <w:t xml:space="preserve"> w zak</w:t>
      </w:r>
      <w:r w:rsidRPr="006A22D3">
        <w:t>resie należytej staranności</w:t>
      </w:r>
      <w:r w:rsidR="006A22D3" w:rsidRPr="006A22D3">
        <w:t xml:space="preserve"> w cał</w:t>
      </w:r>
      <w:r w:rsidRPr="006A22D3">
        <w:t xml:space="preserve">ym łańcuchu dostaw: sprawozdanie końcowe”], Urząd Publikacji, 2020 r., </w:t>
      </w:r>
      <w:hyperlink r:id="rId5" w:history="1">
        <w:r w:rsidRPr="006A22D3">
          <w:rPr>
            <w:rStyle w:val="Hyperlink"/>
          </w:rPr>
          <w:t>https://data.europa.eu/doi/10.2838/39830</w:t>
        </w:r>
      </w:hyperlink>
      <w:r w:rsidRPr="006A22D3">
        <w:t>, s. 221;</w:t>
      </w:r>
      <w:r w:rsidR="006A22D3" w:rsidRPr="006A22D3">
        <w:t xml:space="preserve"> w bad</w:t>
      </w:r>
      <w:r w:rsidRPr="006A22D3">
        <w:t>aniu tym wskazano, że procedury oceny ryzyka korporacyjnego</w:t>
      </w:r>
      <w:r w:rsidR="006A22D3" w:rsidRPr="006A22D3">
        <w:t xml:space="preserve"> w dal</w:t>
      </w:r>
      <w:r w:rsidRPr="006A22D3">
        <w:t>szym ciągu koncentrują się na istotności ryzyka dla przedsiębiorstwa, niezależnie od treści wytycznych publikowanych na szczeblu międzynarodowym (wytyczne ONZ dotyczące biznesu</w:t>
      </w:r>
      <w:r w:rsidR="006A22D3" w:rsidRPr="006A22D3">
        <w:t xml:space="preserve"> i pra</w:t>
      </w:r>
      <w:r w:rsidRPr="006A22D3">
        <w:t>w człowieka, wytyczne OECD),</w:t>
      </w:r>
      <w:r w:rsidR="006A22D3" w:rsidRPr="006A22D3">
        <w:t xml:space="preserve"> w któ</w:t>
      </w:r>
      <w:r w:rsidRPr="006A22D3">
        <w:t>rych podkreśla się, że wszelkie potencjalne czynniki ryzyka analizowane</w:t>
      </w:r>
      <w:r w:rsidR="006A22D3" w:rsidRPr="006A22D3">
        <w:t xml:space="preserve"> w ram</w:t>
      </w:r>
      <w:r w:rsidRPr="006A22D3">
        <w:t>ach działań</w:t>
      </w:r>
      <w:r w:rsidR="006A22D3" w:rsidRPr="006A22D3">
        <w:t xml:space="preserve"> w zak</w:t>
      </w:r>
      <w:r w:rsidRPr="006A22D3">
        <w:t>resie należytej staranności muszą wykraczać poza ryzyko dla przedsiębiorstwa</w:t>
      </w:r>
      <w:r w:rsidR="006A22D3" w:rsidRPr="006A22D3">
        <w:t xml:space="preserve"> i mus</w:t>
      </w:r>
      <w:r w:rsidRPr="006A22D3">
        <w:t>zą obejmować osoby, na które ryzyko to wywiera wpływ (posiadaczy praw). Negatywne skutki działalności przedsiębiorstw stanowiące konsekwencję globalizacji</w:t>
      </w:r>
      <w:r w:rsidR="006A22D3" w:rsidRPr="006A22D3">
        <w:t xml:space="preserve"> i nie</w:t>
      </w:r>
      <w:r w:rsidRPr="006A22D3">
        <w:t xml:space="preserve">dochowywania należytej staranności, począwszy od katastrof ekologicznych (zob. </w:t>
      </w:r>
      <w:hyperlink r:id="rId6" w:history="1">
        <w:r w:rsidRPr="006A22D3">
          <w:rPr>
            <w:rStyle w:val="Hyperlink"/>
          </w:rPr>
          <w:t>https://www.business-humanrights.org/en/blog/brumadinho-dam-collapse-lessons-in-corporate-due-diligence-and-remedy-for-harm-done/</w:t>
        </w:r>
      </w:hyperlink>
      <w:r w:rsidRPr="006A22D3">
        <w:t>), przez masowy wykup</w:t>
      </w:r>
      <w:r w:rsidR="006A22D3" w:rsidRPr="006A22D3">
        <w:t xml:space="preserve"> i dzi</w:t>
      </w:r>
      <w:r w:rsidRPr="006A22D3">
        <w:t xml:space="preserve">erżawę ziemi (zob. </w:t>
      </w:r>
      <w:hyperlink r:id="rId7" w:history="1">
        <w:r w:rsidRPr="006A22D3">
          <w:rPr>
            <w:rStyle w:val="Hyperlink"/>
          </w:rPr>
          <w:t>https://www.europarl.europa.eu/RegData/etudes/STUD/2016/578007/EXPO_STU(2016)578007_EN.pdf</w:t>
        </w:r>
      </w:hyperlink>
      <w:r w:rsidRPr="006A22D3">
        <w:t>),</w:t>
      </w:r>
      <w:r w:rsidR="006A22D3" w:rsidRPr="006A22D3">
        <w:t xml:space="preserve"> a sko</w:t>
      </w:r>
      <w:r w:rsidRPr="006A22D3">
        <w:t>ńczywszy na poważnych naruszeniach prawa pracy</w:t>
      </w:r>
      <w:r w:rsidR="006A22D3" w:rsidRPr="006A22D3">
        <w:t xml:space="preserve"> i pra</w:t>
      </w:r>
      <w:r w:rsidRPr="006A22D3">
        <w:t xml:space="preserve">w człowieka (zob. </w:t>
      </w:r>
      <w:hyperlink r:id="rId8" w:history="1">
        <w:r w:rsidRPr="006A22D3">
          <w:rPr>
            <w:rStyle w:val="Hyperlink"/>
          </w:rPr>
          <w:t>https://www.europarl.europa.eu/RegData/etudes/BRIE/2014/538222/EPRS_BRI(2014)538222_REV1_EN.pdf</w:t>
        </w:r>
      </w:hyperlink>
      <w:r w:rsidRPr="006A22D3">
        <w:t xml:space="preserve">), są dobrze udokumentowane. </w:t>
      </w:r>
    </w:p>
  </w:footnote>
  <w:footnote w:id="10">
    <w:p w:rsidR="00036C67" w:rsidRPr="006A22D3" w:rsidRDefault="00036C67" w:rsidP="001859C1">
      <w:pPr>
        <w:pStyle w:val="FootnoteText"/>
        <w:ind w:left="709" w:hanging="707"/>
      </w:pPr>
      <w:r w:rsidRPr="006A22D3">
        <w:rPr>
          <w:rStyle w:val="FootnoteReference"/>
        </w:rPr>
        <w:footnoteRef/>
      </w:r>
      <w:r w:rsidRPr="006A22D3">
        <w:tab/>
        <w:t xml:space="preserve">Zob. przypis </w:t>
      </w:r>
      <w:r w:rsidRPr="006A22D3">
        <w:fldChar w:fldCharType="begin"/>
      </w:r>
      <w:r w:rsidRPr="006A22D3">
        <w:instrText xml:space="preserve"> NOTEREF _Ref96003663 \h </w:instrText>
      </w:r>
      <w:r w:rsidRPr="006A22D3">
        <w:fldChar w:fldCharType="separate"/>
      </w:r>
      <w:r w:rsidRPr="006A22D3">
        <w:t>3</w:t>
      </w:r>
      <w:r w:rsidRPr="006A22D3">
        <w:fldChar w:fldCharType="end"/>
      </w:r>
      <w:r w:rsidRPr="006A22D3">
        <w:t>.</w:t>
      </w:r>
    </w:p>
  </w:footnote>
  <w:footnote w:id="11">
    <w:p w:rsidR="00036C67" w:rsidRPr="006A22D3" w:rsidRDefault="00036C67">
      <w:pPr>
        <w:pStyle w:val="FootnoteText"/>
      </w:pPr>
      <w:r w:rsidRPr="006A22D3">
        <w:rPr>
          <w:rStyle w:val="FootnoteReference"/>
        </w:rPr>
        <w:footnoteRef/>
      </w:r>
      <w:r w:rsidRPr="006A22D3">
        <w:tab/>
        <w:t>Dyrektywa 2014/95/UE zmieniająca dyrektywę 2013/34/UE</w:t>
      </w:r>
      <w:r w:rsidR="006A22D3" w:rsidRPr="006A22D3">
        <w:t xml:space="preserve"> w odn</w:t>
      </w:r>
      <w:r w:rsidRPr="006A22D3">
        <w:t>iesieniu do ujawniania informacji niefinansowych</w:t>
      </w:r>
      <w:r w:rsidR="006A22D3" w:rsidRPr="006A22D3">
        <w:t xml:space="preserve"> i inf</w:t>
      </w:r>
      <w:r w:rsidRPr="006A22D3">
        <w:t>ormacji dotyczących różnorodności przez niektóre duże jednostki oraz grupy (Dz.U. L 330</w:t>
      </w:r>
      <w:r w:rsidR="006A22D3" w:rsidRPr="006A22D3">
        <w:t xml:space="preserve"> z 1</w:t>
      </w:r>
      <w:r w:rsidRPr="006A22D3">
        <w:t>5.11.2014, s. 1). Dyrektywa</w:t>
      </w:r>
      <w:r w:rsidR="006A22D3" w:rsidRPr="006A22D3">
        <w:t xml:space="preserve"> w spr</w:t>
      </w:r>
      <w:r w:rsidRPr="006A22D3">
        <w:t>awie informacji niefinansowych wprowadziła zatem zmiany</w:t>
      </w:r>
      <w:r w:rsidR="006A22D3" w:rsidRPr="006A22D3">
        <w:t xml:space="preserve"> w dyr</w:t>
      </w:r>
      <w:r w:rsidRPr="006A22D3">
        <w:t>ektywie</w:t>
      </w:r>
      <w:r w:rsidR="006A22D3" w:rsidRPr="006A22D3">
        <w:t xml:space="preserve"> o rac</w:t>
      </w:r>
      <w:r w:rsidRPr="006A22D3">
        <w:t>hunkowości, tj.</w:t>
      </w:r>
      <w:r w:rsidR="006A22D3" w:rsidRPr="006A22D3">
        <w:t xml:space="preserve"> w dyr</w:t>
      </w:r>
      <w:r w:rsidRPr="006A22D3">
        <w:t>ektywie 2013/34/UE</w:t>
      </w:r>
      <w:r w:rsidR="006A22D3" w:rsidRPr="006A22D3">
        <w:t xml:space="preserve"> w spr</w:t>
      </w:r>
      <w:r w:rsidRPr="006A22D3">
        <w:t>awie rocznych sprawozdań finansowych, skonsolidowanych sprawozdań finansowych</w:t>
      </w:r>
      <w:r w:rsidR="006A22D3" w:rsidRPr="006A22D3">
        <w:t xml:space="preserve"> i pow</w:t>
      </w:r>
      <w:r w:rsidRPr="006A22D3">
        <w:t>iązanych sprawozdań niektórych rodzajów jednostek, zmieniającej dyrektywę 2006/43/WE oraz uchylającej dyrektywy Rady 78/660/EWG</w:t>
      </w:r>
      <w:r w:rsidR="006A22D3" w:rsidRPr="006A22D3">
        <w:t xml:space="preserve"> i 8</w:t>
      </w:r>
      <w:r w:rsidRPr="006A22D3">
        <w:t>3/349/EWG (Dz.U. L 182</w:t>
      </w:r>
      <w:r w:rsidR="006A22D3" w:rsidRPr="006A22D3">
        <w:t xml:space="preserve"> z 2</w:t>
      </w:r>
      <w:r w:rsidRPr="006A22D3">
        <w:t>9.6.2013).</w:t>
      </w:r>
    </w:p>
  </w:footnote>
  <w:footnote w:id="12">
    <w:p w:rsidR="00036C67" w:rsidRPr="006A22D3" w:rsidRDefault="00036C67" w:rsidP="001859C1">
      <w:pPr>
        <w:pStyle w:val="FootnoteText"/>
      </w:pPr>
      <w:r w:rsidRPr="006A22D3">
        <w:rPr>
          <w:rStyle w:val="FootnoteReference"/>
        </w:rPr>
        <w:footnoteRef/>
      </w:r>
      <w:r w:rsidRPr="006A22D3">
        <w:tab/>
        <w:t>Duże jednostki interesu publicznego zatrudniające ponad 500 pracowników (których suma bilansowa lub przychody netto ze sprzedaży przekraczają wyznaczony</w:t>
      </w:r>
      <w:r w:rsidR="006A22D3" w:rsidRPr="006A22D3">
        <w:t xml:space="preserve"> w dyr</w:t>
      </w:r>
      <w:r w:rsidRPr="006A22D3">
        <w:t>ektywie</w:t>
      </w:r>
      <w:r w:rsidR="006A22D3" w:rsidRPr="006A22D3">
        <w:t xml:space="preserve"> o rac</w:t>
      </w:r>
      <w:r w:rsidRPr="006A22D3">
        <w:t>hunkowości próg dla dużych przedsiębiorstw),</w:t>
      </w:r>
      <w:r w:rsidR="006A22D3" w:rsidRPr="006A22D3">
        <w:t xml:space="preserve"> w tym</w:t>
      </w:r>
      <w:r w:rsidRPr="006A22D3">
        <w:t xml:space="preserve"> spółki giełdowe, banki</w:t>
      </w:r>
      <w:r w:rsidR="006A22D3" w:rsidRPr="006A22D3">
        <w:t xml:space="preserve"> i zak</w:t>
      </w:r>
      <w:r w:rsidRPr="006A22D3">
        <w:t>łady ubezpieczeń. Zob. badanie dotyczące dyrektywy</w:t>
      </w:r>
      <w:r w:rsidR="006A22D3" w:rsidRPr="006A22D3">
        <w:t xml:space="preserve"> w spr</w:t>
      </w:r>
      <w:r w:rsidRPr="006A22D3">
        <w:t>awie informacji niefinansowych przeprowadzone przez Centrum Studiów nad Polityką Europejską</w:t>
      </w:r>
      <w:r w:rsidR="006A22D3" w:rsidRPr="006A22D3">
        <w:t xml:space="preserve"> w lis</w:t>
      </w:r>
      <w:r w:rsidRPr="006A22D3">
        <w:t>topadzie 2020 r. na zlecenie Komisji Europejskiej na potrzeby przeglądu dyrektywy</w:t>
      </w:r>
      <w:r w:rsidR="006A22D3" w:rsidRPr="006A22D3">
        <w:t xml:space="preserve"> w spr</w:t>
      </w:r>
      <w:r w:rsidRPr="006A22D3">
        <w:t>awie informacji niefinansowych, dostępne pod adresem: https://op.europa.eu/en/publication-detail/-/publication/1ef8fe0e-98e1-11eb-b85c-01aa75ed71a1/language-en.</w:t>
      </w:r>
    </w:p>
  </w:footnote>
  <w:footnote w:id="13">
    <w:p w:rsidR="00036C67" w:rsidRPr="006A22D3" w:rsidRDefault="00036C67" w:rsidP="001859C1">
      <w:pPr>
        <w:pStyle w:val="FootnoteText"/>
      </w:pPr>
      <w:r w:rsidRPr="006A22D3">
        <w:rPr>
          <w:rStyle w:val="FootnoteReference"/>
        </w:rPr>
        <w:footnoteRef/>
      </w:r>
      <w:r w:rsidRPr="006A22D3">
        <w:tab/>
        <w:t>Zob. również niektóre przepisy SRD II, tj. dyrektywy (UE) 2017/828 zmieniającej dyrektywę 2007/36/WE</w:t>
      </w:r>
      <w:r w:rsidR="006A22D3" w:rsidRPr="006A22D3">
        <w:t xml:space="preserve"> w zak</w:t>
      </w:r>
      <w:r w:rsidRPr="006A22D3">
        <w:t>resie zachęcania akcjonariuszy do długoterminowego zaangażowania (Dz.U. L 132</w:t>
      </w:r>
      <w:r w:rsidR="006A22D3" w:rsidRPr="006A22D3">
        <w:t xml:space="preserve"> z 2</w:t>
      </w:r>
      <w:r w:rsidRPr="006A22D3">
        <w:t>0.5.2017, s. 1).</w:t>
      </w:r>
    </w:p>
  </w:footnote>
  <w:footnote w:id="14">
    <w:p w:rsidR="00036C67" w:rsidRPr="006A22D3" w:rsidRDefault="00036C67" w:rsidP="00144DC4">
      <w:pPr>
        <w:pStyle w:val="FootnoteText"/>
      </w:pPr>
      <w:r w:rsidRPr="006A22D3">
        <w:rPr>
          <w:rStyle w:val="FootnoteReference"/>
        </w:rPr>
        <w:footnoteRef/>
      </w:r>
      <w:r w:rsidRPr="006A22D3">
        <w:tab/>
        <w:t>W ocenie skutków towarzyszącej wnioskowi Komisji dotyczącemu dyrektywy</w:t>
      </w:r>
      <w:r w:rsidR="006A22D3" w:rsidRPr="006A22D3">
        <w:t xml:space="preserve"> w spr</w:t>
      </w:r>
      <w:r w:rsidRPr="006A22D3">
        <w:t>awie sprawozdawczości przedsiębiorstw</w:t>
      </w:r>
      <w:r w:rsidR="006A22D3" w:rsidRPr="006A22D3">
        <w:t xml:space="preserve"> w zak</w:t>
      </w:r>
      <w:r w:rsidRPr="006A22D3">
        <w:t>resie zrównoważonego rozwoju (SWD(2021) 150 final)</w:t>
      </w:r>
      <w:r w:rsidR="006A22D3" w:rsidRPr="006A22D3">
        <w:t xml:space="preserve"> i w bad</w:t>
      </w:r>
      <w:r w:rsidRPr="006A22D3">
        <w:t>aniu Centrum Studiów nad Polityką Europejską dotyczącym dyrektywy</w:t>
      </w:r>
      <w:r w:rsidR="006A22D3" w:rsidRPr="006A22D3">
        <w:t xml:space="preserve"> w spr</w:t>
      </w:r>
      <w:r w:rsidRPr="006A22D3">
        <w:t>awie informacji niefinansowych (sekcja 2) stwierdzono, że przyjęcie dyrektywy</w:t>
      </w:r>
      <w:r w:rsidR="006A22D3" w:rsidRPr="006A22D3">
        <w:t xml:space="preserve"> w spr</w:t>
      </w:r>
      <w:r w:rsidRPr="006A22D3">
        <w:t>awie informacji niefinansowych wywarło ograniczony wpływ na politykę przedsiębiorstw, co było zgodne</w:t>
      </w:r>
      <w:r w:rsidR="006A22D3" w:rsidRPr="006A22D3">
        <w:t xml:space="preserve"> z odc</w:t>
      </w:r>
      <w:r w:rsidRPr="006A22D3">
        <w:t>zuciami głównych zainteresowanych stron, które nie były</w:t>
      </w:r>
      <w:r w:rsidR="006A22D3" w:rsidRPr="006A22D3">
        <w:t xml:space="preserve"> w sta</w:t>
      </w:r>
      <w:r w:rsidRPr="006A22D3">
        <w:t>nie wskazać wyraźnego schematu zmiany</w:t>
      </w:r>
      <w:r w:rsidR="006A22D3" w:rsidRPr="006A22D3">
        <w:t xml:space="preserve"> w fil</w:t>
      </w:r>
      <w:r w:rsidRPr="006A22D3">
        <w:t>ozofii zarządzania przedsiębiorstwem wskutek przyjęcia wspomnianych przepisów</w:t>
      </w:r>
      <w:r w:rsidR="006A22D3" w:rsidRPr="006A22D3">
        <w:t xml:space="preserve"> w zak</w:t>
      </w:r>
      <w:r w:rsidRPr="006A22D3">
        <w:t xml:space="preserve">resie sprawozdawczości. </w:t>
      </w:r>
    </w:p>
  </w:footnote>
  <w:footnote w:id="15">
    <w:p w:rsidR="00036C67" w:rsidRPr="006A22D3" w:rsidRDefault="00036C67">
      <w:pPr>
        <w:pStyle w:val="FootnoteText"/>
      </w:pPr>
      <w:r w:rsidRPr="006A22D3">
        <w:rPr>
          <w:rStyle w:val="FootnoteReference"/>
        </w:rPr>
        <w:footnoteRef/>
      </w:r>
      <w:r w:rsidRPr="006A22D3">
        <w:tab/>
        <w:t>Wniosek dotyczący dyrektywy Parlamentu Europejskiego</w:t>
      </w:r>
      <w:r w:rsidR="006A22D3" w:rsidRPr="006A22D3">
        <w:t xml:space="preserve"> i Rad</w:t>
      </w:r>
      <w:r w:rsidRPr="006A22D3">
        <w:t>y zmieniającej dyrektywę 2013/34/UE, dyrektywę 2004/109/WE, dyrektywę 2006/43/WE oraz rozporządzenie (UE) nr 537/2014</w:t>
      </w:r>
      <w:r w:rsidR="006A22D3" w:rsidRPr="006A22D3">
        <w:t xml:space="preserve"> w odn</w:t>
      </w:r>
      <w:r w:rsidRPr="006A22D3">
        <w:t>iesieniu do sprawozdawczości przedsiębiorstw</w:t>
      </w:r>
      <w:r w:rsidR="006A22D3" w:rsidRPr="006A22D3">
        <w:t xml:space="preserve"> w zak</w:t>
      </w:r>
      <w:r w:rsidRPr="006A22D3">
        <w:t>resie zrównoważonego rozwoju (COM(2021) 189 final).</w:t>
      </w:r>
    </w:p>
  </w:footnote>
  <w:footnote w:id="16">
    <w:p w:rsidR="00036C67" w:rsidRPr="006A22D3" w:rsidRDefault="00036C67" w:rsidP="001859C1">
      <w:pPr>
        <w:pStyle w:val="FootnoteText"/>
      </w:pPr>
      <w:r w:rsidRPr="006A22D3">
        <w:rPr>
          <w:rStyle w:val="FootnoteReference"/>
        </w:rPr>
        <w:footnoteRef/>
      </w:r>
      <w:r w:rsidRPr="006A22D3">
        <w:tab/>
        <w:t>Obowiązek sprawozdawczości</w:t>
      </w:r>
      <w:r w:rsidR="006A22D3" w:rsidRPr="006A22D3">
        <w:t xml:space="preserve"> w zak</w:t>
      </w:r>
      <w:r w:rsidRPr="006A22D3">
        <w:t>resie zrównoważonego rozwoju miałby zastosowanie do wszystkich dużych przedsiębiorstw zgodnie</w:t>
      </w:r>
      <w:r w:rsidR="006A22D3" w:rsidRPr="006A22D3">
        <w:t xml:space="preserve"> z def</w:t>
      </w:r>
      <w:r w:rsidRPr="006A22D3">
        <w:t>inicją ustanowioną</w:t>
      </w:r>
      <w:r w:rsidR="006A22D3" w:rsidRPr="006A22D3">
        <w:t xml:space="preserve"> w dyr</w:t>
      </w:r>
      <w:r w:rsidRPr="006A22D3">
        <w:t>ektywie</w:t>
      </w:r>
      <w:r w:rsidR="006A22D3" w:rsidRPr="006A22D3">
        <w:t xml:space="preserve"> o rac</w:t>
      </w:r>
      <w:r w:rsidRPr="006A22D3">
        <w:t>hunkowości (która zostałaby zmieniona CSRD) oraz – począwszy od 2026 r. – do przedsiębiorstw (uwzględniając przedsiębiorstwa spoza UE, ale</w:t>
      </w:r>
      <w:r w:rsidR="006A22D3" w:rsidRPr="006A22D3">
        <w:t xml:space="preserve"> z wył</w:t>
      </w:r>
      <w:r w:rsidRPr="006A22D3">
        <w:t>ączeniem wszystkich mikroprzedsiębiorstw) notowanych na rynkach regulowanych Unii.</w:t>
      </w:r>
    </w:p>
  </w:footnote>
  <w:footnote w:id="17">
    <w:p w:rsidR="00036C67" w:rsidRPr="006A22D3" w:rsidRDefault="00036C67" w:rsidP="00386920">
      <w:pPr>
        <w:pStyle w:val="FootnoteText"/>
      </w:pPr>
      <w:r w:rsidRPr="006A22D3">
        <w:rPr>
          <w:rStyle w:val="FootnoteReference"/>
        </w:rPr>
        <w:footnoteRef/>
      </w:r>
      <w:r w:rsidRPr="006A22D3">
        <w:tab/>
        <w:t>Proces opracowywania projektu standardów dotyczących sprawozdawczości</w:t>
      </w:r>
      <w:r w:rsidR="006A22D3" w:rsidRPr="006A22D3">
        <w:t xml:space="preserve"> w zak</w:t>
      </w:r>
      <w:r w:rsidRPr="006A22D3">
        <w:t>resie zrównoważonego rozwoju rozpoczął się równolegle</w:t>
      </w:r>
      <w:r w:rsidR="006A22D3" w:rsidRPr="006A22D3">
        <w:t xml:space="preserve"> z pro</w:t>
      </w:r>
      <w:r w:rsidRPr="006A22D3">
        <w:t>cesem legislacyjnym</w:t>
      </w:r>
      <w:r w:rsidR="006A22D3" w:rsidRPr="006A22D3">
        <w:t xml:space="preserve"> w ram</w:t>
      </w:r>
      <w:r w:rsidRPr="006A22D3">
        <w:t xml:space="preserve">ach projektowej grupy zadaniowej powołanej przez Europejską Grupę Doradczą ds. Sprawozdawczości Finansowej (EFRAG) na wniosek Komisji. </w:t>
      </w:r>
    </w:p>
  </w:footnote>
  <w:footnote w:id="18">
    <w:p w:rsidR="00036C67" w:rsidRPr="006A22D3" w:rsidRDefault="00036C67" w:rsidP="00443987">
      <w:pPr>
        <w:pStyle w:val="FootnoteText"/>
      </w:pPr>
      <w:r w:rsidRPr="006A22D3">
        <w:rPr>
          <w:rStyle w:val="FootnoteReference"/>
        </w:rPr>
        <w:footnoteRef/>
      </w:r>
      <w:r w:rsidRPr="006A22D3">
        <w:tab/>
        <w:t>Rozporządzenie Parlamentu Europejskiego</w:t>
      </w:r>
      <w:r w:rsidR="006A22D3" w:rsidRPr="006A22D3">
        <w:t xml:space="preserve"> i Rad</w:t>
      </w:r>
      <w:r w:rsidRPr="006A22D3">
        <w:t>y (UE) 2019/2088</w:t>
      </w:r>
      <w:r w:rsidR="006A22D3" w:rsidRPr="006A22D3">
        <w:t xml:space="preserve"> z dni</w:t>
      </w:r>
      <w:r w:rsidRPr="006A22D3">
        <w:t>a 27 listopada 2019 r.</w:t>
      </w:r>
      <w:r w:rsidR="006A22D3" w:rsidRPr="006A22D3">
        <w:t xml:space="preserve"> w spr</w:t>
      </w:r>
      <w:r w:rsidRPr="006A22D3">
        <w:t>awie ujawniania informacji związanych ze zrównoważonym rozwojem</w:t>
      </w:r>
      <w:r w:rsidR="006A22D3" w:rsidRPr="006A22D3">
        <w:t xml:space="preserve"> w sek</w:t>
      </w:r>
      <w:r w:rsidRPr="006A22D3">
        <w:t>torze usług finansowych (Dz.U. L 317</w:t>
      </w:r>
      <w:r w:rsidR="006A22D3" w:rsidRPr="006A22D3">
        <w:t xml:space="preserve"> z 9</w:t>
      </w:r>
      <w:r w:rsidRPr="006A22D3">
        <w:t>.12.2019, s. 1).</w:t>
      </w:r>
    </w:p>
  </w:footnote>
  <w:footnote w:id="19">
    <w:p w:rsidR="00036C67" w:rsidRPr="006A22D3" w:rsidRDefault="00036C67" w:rsidP="00443987">
      <w:pPr>
        <w:pStyle w:val="FootnoteText"/>
      </w:pPr>
      <w:r w:rsidRPr="006A22D3">
        <w:rPr>
          <w:rStyle w:val="FootnoteReference"/>
        </w:rPr>
        <w:footnoteRef/>
      </w:r>
      <w:r w:rsidRPr="006A22D3">
        <w:tab/>
        <w:t xml:space="preserve">4 lutego 2021 r. trzy Europejskie Urzędy Nadzoru opublikowały swoje sprawozdanie końcowe (dostępne pod adresem </w:t>
      </w:r>
      <w:hyperlink r:id="rId9" w:history="1">
        <w:r w:rsidRPr="006A22D3">
          <w:rPr>
            <w:rStyle w:val="Hyperlink"/>
          </w:rPr>
          <w:t>https://www.esma.europa.eu/press-news/esma-news/three-european-supervisory-authorities-publish-final-report-and-draft-rts</w:t>
        </w:r>
      </w:hyperlink>
      <w:r w:rsidRPr="006A22D3">
        <w:t>) adresowane do Komisji, które obejmowało również projekty regulacyjnych standardów technicznych dotyczących ujawniania informacji</w:t>
      </w:r>
      <w:r w:rsidR="006A22D3" w:rsidRPr="006A22D3">
        <w:t xml:space="preserve"> w ram</w:t>
      </w:r>
      <w:r w:rsidRPr="006A22D3">
        <w:t>ach rozporządzenia</w:t>
      </w:r>
      <w:r w:rsidR="006A22D3" w:rsidRPr="006A22D3">
        <w:t xml:space="preserve"> w spr</w:t>
      </w:r>
      <w:r w:rsidRPr="006A22D3">
        <w:t>awie ujawniania informacji związanych ze zrównoważonym rozwojem</w:t>
      </w:r>
      <w:r w:rsidR="006A22D3" w:rsidRPr="006A22D3">
        <w:t xml:space="preserve"> w sek</w:t>
      </w:r>
      <w:r w:rsidRPr="006A22D3">
        <w:t>torze usług finansowych.</w:t>
      </w:r>
    </w:p>
  </w:footnote>
  <w:footnote w:id="20">
    <w:p w:rsidR="00036C67" w:rsidRPr="006A22D3" w:rsidRDefault="00036C67">
      <w:pPr>
        <w:pStyle w:val="FootnoteText"/>
      </w:pPr>
      <w:r w:rsidRPr="006A22D3">
        <w:rPr>
          <w:rStyle w:val="FootnoteReference"/>
        </w:rPr>
        <w:footnoteRef/>
      </w:r>
      <w:r w:rsidRPr="006A22D3">
        <w:tab/>
        <w:t>Rozporządzenie Parlamentu Europejskiego</w:t>
      </w:r>
      <w:r w:rsidR="006A22D3" w:rsidRPr="006A22D3">
        <w:t xml:space="preserve"> i Rad</w:t>
      </w:r>
      <w:r w:rsidRPr="006A22D3">
        <w:t>y (UE) 2020/852</w:t>
      </w:r>
      <w:r w:rsidR="006A22D3" w:rsidRPr="006A22D3">
        <w:t xml:space="preserve"> z dni</w:t>
      </w:r>
      <w:r w:rsidRPr="006A22D3">
        <w:t>a 18 czerwca 2020 r.</w:t>
      </w:r>
      <w:r w:rsidR="006A22D3" w:rsidRPr="006A22D3">
        <w:t xml:space="preserve"> w spr</w:t>
      </w:r>
      <w:r w:rsidRPr="006A22D3">
        <w:t>awie ustanowienia ram ułatwiających zrównoważone inwestycje, zmieniające rozporządzenie (UE) 2019/2088 (Dz.U. L 198</w:t>
      </w:r>
      <w:r w:rsidR="006A22D3" w:rsidRPr="006A22D3">
        <w:t xml:space="preserve"> z 2</w:t>
      </w:r>
      <w:r w:rsidRPr="006A22D3">
        <w:t>2.6.2020, s. 13).</w:t>
      </w:r>
    </w:p>
  </w:footnote>
  <w:footnote w:id="21">
    <w:p w:rsidR="00036C67" w:rsidRPr="006A22D3" w:rsidRDefault="00036C67" w:rsidP="001859C1">
      <w:pPr>
        <w:pStyle w:val="FootnoteText"/>
      </w:pPr>
      <w:r w:rsidRPr="006A22D3">
        <w:rPr>
          <w:rStyle w:val="FootnoteReference"/>
        </w:rPr>
        <w:footnoteRef/>
      </w:r>
      <w:r w:rsidRPr="006A22D3">
        <w:tab/>
        <w:t>Systematyka będzie rozwijana stopniowo. Minimalne gwarancje socjalne mają zastosowanie do wszystkich inwestycji kwalifikujących się do systematyki.</w:t>
      </w:r>
    </w:p>
  </w:footnote>
  <w:footnote w:id="22">
    <w:p w:rsidR="00036C67" w:rsidRPr="006A22D3" w:rsidRDefault="00036C67" w:rsidP="004B7B2F">
      <w:pPr>
        <w:pStyle w:val="FootnoteText"/>
      </w:pPr>
      <w:r w:rsidRPr="006A22D3">
        <w:rPr>
          <w:rStyle w:val="FootnoteReference"/>
        </w:rPr>
        <w:footnoteRef/>
      </w:r>
      <w:r w:rsidRPr="006A22D3">
        <w:tab/>
        <w:t>Dyrektywa Parlamentu Europejskiego</w:t>
      </w:r>
      <w:r w:rsidR="006A22D3" w:rsidRPr="006A22D3">
        <w:t xml:space="preserve"> i Rad</w:t>
      </w:r>
      <w:r w:rsidRPr="006A22D3">
        <w:t>y 2011/36/UE</w:t>
      </w:r>
      <w:r w:rsidR="006A22D3" w:rsidRPr="006A22D3">
        <w:t xml:space="preserve"> z dni</w:t>
      </w:r>
      <w:r w:rsidRPr="006A22D3">
        <w:t>a 5 kwietnia 2011 r.</w:t>
      </w:r>
      <w:r w:rsidR="006A22D3" w:rsidRPr="006A22D3">
        <w:t xml:space="preserve"> w spr</w:t>
      </w:r>
      <w:r w:rsidRPr="006A22D3">
        <w:t>awie zapobiegania handlowi ludźmi</w:t>
      </w:r>
      <w:r w:rsidR="006A22D3" w:rsidRPr="006A22D3">
        <w:t xml:space="preserve"> i zwa</w:t>
      </w:r>
      <w:r w:rsidRPr="006A22D3">
        <w:t>lczania tego procederu oraz ochrony ofiar, zastępująca decyzję ramową Rady 2002/629/WSiSW (Dz.U. L 101</w:t>
      </w:r>
      <w:r w:rsidR="006A22D3" w:rsidRPr="006A22D3">
        <w:t xml:space="preserve"> z 1</w:t>
      </w:r>
      <w:r w:rsidRPr="006A22D3">
        <w:t>5.4.2011, s. 1).</w:t>
      </w:r>
    </w:p>
  </w:footnote>
  <w:footnote w:id="23">
    <w:p w:rsidR="00036C67" w:rsidRPr="006A22D3" w:rsidRDefault="00036C67" w:rsidP="004B7B2F">
      <w:pPr>
        <w:pStyle w:val="FootnoteText"/>
      </w:pPr>
      <w:r w:rsidRPr="006A22D3">
        <w:rPr>
          <w:rStyle w:val="FootnoteReference"/>
        </w:rPr>
        <w:footnoteRef/>
      </w:r>
      <w:r w:rsidRPr="006A22D3">
        <w:tab/>
        <w:t>Dyrektywa Parlamentu Europejskiego</w:t>
      </w:r>
      <w:r w:rsidR="006A22D3" w:rsidRPr="006A22D3">
        <w:t xml:space="preserve"> i Rad</w:t>
      </w:r>
      <w:r w:rsidRPr="006A22D3">
        <w:t>y 2009/52/WE</w:t>
      </w:r>
      <w:r w:rsidR="006A22D3" w:rsidRPr="006A22D3">
        <w:t xml:space="preserve"> z dni</w:t>
      </w:r>
      <w:r w:rsidRPr="006A22D3">
        <w:t>a 18 czerwca 2009 r. przewidująca minimalne normy</w:t>
      </w:r>
      <w:r w:rsidR="006A22D3" w:rsidRPr="006A22D3">
        <w:t xml:space="preserve"> w odn</w:t>
      </w:r>
      <w:r w:rsidRPr="006A22D3">
        <w:t>iesieniu do kar</w:t>
      </w:r>
      <w:r w:rsidR="006A22D3" w:rsidRPr="006A22D3">
        <w:t xml:space="preserve"> i śro</w:t>
      </w:r>
      <w:r w:rsidRPr="006A22D3">
        <w:t>dków stosowanych wobec pracodawców zatrudniających nielegalnie przebywających obywateli państw trzecich (Dz.U. L 168</w:t>
      </w:r>
      <w:r w:rsidR="006A22D3" w:rsidRPr="006A22D3">
        <w:t xml:space="preserve"> z 3</w:t>
      </w:r>
      <w:r w:rsidRPr="006A22D3">
        <w:t>0. 6.2009).</w:t>
      </w:r>
    </w:p>
  </w:footnote>
  <w:footnote w:id="24">
    <w:p w:rsidR="00036C67" w:rsidRPr="006A22D3" w:rsidRDefault="00036C67" w:rsidP="001859C1">
      <w:pPr>
        <w:pStyle w:val="FootnoteText"/>
      </w:pPr>
      <w:r w:rsidRPr="006A22D3">
        <w:rPr>
          <w:rStyle w:val="FootnoteReference"/>
        </w:rPr>
        <w:footnoteRef/>
      </w:r>
      <w:r w:rsidRPr="006A22D3">
        <w:tab/>
        <w:t>Rozporządzenie Parlamentu Europejskiego</w:t>
      </w:r>
      <w:r w:rsidR="006A22D3" w:rsidRPr="006A22D3">
        <w:t xml:space="preserve"> i Rad</w:t>
      </w:r>
      <w:r w:rsidRPr="006A22D3">
        <w:t>y (UE) 2017/821</w:t>
      </w:r>
      <w:r w:rsidR="006A22D3" w:rsidRPr="006A22D3">
        <w:t xml:space="preserve"> z dni</w:t>
      </w:r>
      <w:r w:rsidRPr="006A22D3">
        <w:t>a 17 maja 2017 r. ustanawiające obowiązki</w:t>
      </w:r>
      <w:r w:rsidR="006A22D3" w:rsidRPr="006A22D3">
        <w:t xml:space="preserve"> w zak</w:t>
      </w:r>
      <w:r w:rsidRPr="006A22D3">
        <w:t>resie należytej staranności</w:t>
      </w:r>
      <w:r w:rsidR="006A22D3" w:rsidRPr="006A22D3">
        <w:t xml:space="preserve"> w łań</w:t>
      </w:r>
      <w:r w:rsidRPr="006A22D3">
        <w:t>cuch dostaw unijnych importerów cyny, tantalu</w:t>
      </w:r>
      <w:r w:rsidR="006A22D3" w:rsidRPr="006A22D3">
        <w:t xml:space="preserve"> i wol</w:t>
      </w:r>
      <w:r w:rsidRPr="006A22D3">
        <w:t>framu, ich rud oraz złota pochodzących</w:t>
      </w:r>
      <w:r w:rsidR="006A22D3" w:rsidRPr="006A22D3">
        <w:t xml:space="preserve"> z obs</w:t>
      </w:r>
      <w:r w:rsidRPr="006A22D3">
        <w:t>zarów dotkniętych konfliktami</w:t>
      </w:r>
      <w:r w:rsidR="006A22D3" w:rsidRPr="006A22D3">
        <w:t xml:space="preserve"> i obs</w:t>
      </w:r>
      <w:r w:rsidRPr="006A22D3">
        <w:t>zarów wysokiego ryzyka (Dz.U. L 130</w:t>
      </w:r>
      <w:r w:rsidR="006A22D3" w:rsidRPr="006A22D3">
        <w:t xml:space="preserve"> z 1</w:t>
      </w:r>
      <w:r w:rsidRPr="006A22D3">
        <w:t>9.5.2017, s. 1).</w:t>
      </w:r>
    </w:p>
  </w:footnote>
  <w:footnote w:id="25">
    <w:p w:rsidR="00036C67" w:rsidRPr="006A22D3" w:rsidRDefault="00036C67" w:rsidP="001859C1">
      <w:pPr>
        <w:pStyle w:val="FootnoteText"/>
      </w:pPr>
      <w:r w:rsidRPr="006A22D3">
        <w:rPr>
          <w:rStyle w:val="FootnoteReference"/>
        </w:rPr>
        <w:footnoteRef/>
      </w:r>
      <w:r w:rsidRPr="006A22D3">
        <w:tab/>
        <w:t>Wniosek dotyczący rozporządzenia Parlamentu Europejskiego</w:t>
      </w:r>
      <w:r w:rsidR="006A22D3" w:rsidRPr="006A22D3">
        <w:t xml:space="preserve"> i Rad</w:t>
      </w:r>
      <w:r w:rsidRPr="006A22D3">
        <w:t>y</w:t>
      </w:r>
      <w:r w:rsidR="006A22D3" w:rsidRPr="006A22D3">
        <w:t xml:space="preserve"> w spr</w:t>
      </w:r>
      <w:r w:rsidRPr="006A22D3">
        <w:t>awie udostępniania na rynku unijnym</w:t>
      </w:r>
      <w:r w:rsidR="006A22D3" w:rsidRPr="006A22D3">
        <w:t xml:space="preserve"> i wyw</w:t>
      </w:r>
      <w:r w:rsidRPr="006A22D3">
        <w:t>ozu</w:t>
      </w:r>
      <w:r w:rsidR="006A22D3" w:rsidRPr="006A22D3">
        <w:t xml:space="preserve"> z Uni</w:t>
      </w:r>
      <w:r w:rsidRPr="006A22D3">
        <w:t>i niektórych towarów</w:t>
      </w:r>
      <w:r w:rsidR="006A22D3" w:rsidRPr="006A22D3">
        <w:t xml:space="preserve"> i pro</w:t>
      </w:r>
      <w:r w:rsidRPr="006A22D3">
        <w:t>duktów związanych</w:t>
      </w:r>
      <w:r w:rsidR="006A22D3" w:rsidRPr="006A22D3">
        <w:t xml:space="preserve"> z wyl</w:t>
      </w:r>
      <w:r w:rsidRPr="006A22D3">
        <w:t>esianiem</w:t>
      </w:r>
      <w:r w:rsidR="006A22D3" w:rsidRPr="006A22D3">
        <w:t xml:space="preserve"> i deg</w:t>
      </w:r>
      <w:r w:rsidRPr="006A22D3">
        <w:t>radacją lasów oraz uchylenia rozporządzenia (UE) nr 995/2010 (COM(2021) 706 final).</w:t>
      </w:r>
    </w:p>
  </w:footnote>
  <w:footnote w:id="26">
    <w:p w:rsidR="00036C67" w:rsidRPr="006A22D3" w:rsidRDefault="00036C67" w:rsidP="009D63D0">
      <w:pPr>
        <w:pStyle w:val="FootnoteText"/>
      </w:pPr>
      <w:r w:rsidRPr="006A22D3">
        <w:rPr>
          <w:rStyle w:val="FootnoteReference"/>
        </w:rPr>
        <w:footnoteRef/>
      </w:r>
      <w:r w:rsidRPr="006A22D3">
        <w:tab/>
        <w:t>Wniosek dotyczący rozporządzenia Parlamentu Europejskiego</w:t>
      </w:r>
      <w:r w:rsidR="006A22D3" w:rsidRPr="006A22D3">
        <w:t xml:space="preserve"> i Rad</w:t>
      </w:r>
      <w:r w:rsidRPr="006A22D3">
        <w:t>y</w:t>
      </w:r>
      <w:r w:rsidR="006A22D3" w:rsidRPr="006A22D3">
        <w:t xml:space="preserve"> w spr</w:t>
      </w:r>
      <w:r w:rsidRPr="006A22D3">
        <w:t>awie baterii</w:t>
      </w:r>
      <w:r w:rsidR="006A22D3" w:rsidRPr="006A22D3">
        <w:t xml:space="preserve"> i zuż</w:t>
      </w:r>
      <w:r w:rsidRPr="006A22D3">
        <w:t>ytych baterii, uchylającego dyrektywę 2006/66/WE</w:t>
      </w:r>
      <w:r w:rsidR="006A22D3" w:rsidRPr="006A22D3">
        <w:t xml:space="preserve"> i zmi</w:t>
      </w:r>
      <w:r w:rsidRPr="006A22D3">
        <w:t xml:space="preserve">eniającego rozporządzenie (UE) 2019/1020 (COM(2020) 798 final). </w:t>
      </w:r>
    </w:p>
  </w:footnote>
  <w:footnote w:id="27">
    <w:p w:rsidR="00036C67" w:rsidRPr="006A22D3" w:rsidRDefault="00036C67" w:rsidP="001859C1">
      <w:pPr>
        <w:pStyle w:val="FootnoteText"/>
      </w:pPr>
      <w:r w:rsidRPr="006A22D3">
        <w:rPr>
          <w:rStyle w:val="FootnoteReference"/>
        </w:rPr>
        <w:footnoteRef/>
      </w:r>
      <w:r w:rsidRPr="006A22D3">
        <w:tab/>
        <w:t>Dyrektywa Parlamentu Europejskiego</w:t>
      </w:r>
      <w:r w:rsidR="006A22D3" w:rsidRPr="006A22D3">
        <w:t xml:space="preserve"> i Rad</w:t>
      </w:r>
      <w:r w:rsidRPr="006A22D3">
        <w:t>y 2009/125/WE</w:t>
      </w:r>
      <w:r w:rsidR="006A22D3" w:rsidRPr="006A22D3">
        <w:t xml:space="preserve"> z dni</w:t>
      </w:r>
      <w:r w:rsidRPr="006A22D3">
        <w:t>a 21 października 2009 r. ustanawiająca ogólne zasady ustalania wymogów dotyczących ekoprojektu dla produktów związanych</w:t>
      </w:r>
      <w:r w:rsidR="006A22D3" w:rsidRPr="006A22D3">
        <w:t xml:space="preserve"> z ene</w:t>
      </w:r>
      <w:r w:rsidRPr="006A22D3">
        <w:t>rgią (Dz.U. L 285</w:t>
      </w:r>
      <w:r w:rsidR="006A22D3" w:rsidRPr="006A22D3">
        <w:t xml:space="preserve"> z 3</w:t>
      </w:r>
      <w:r w:rsidRPr="006A22D3">
        <w:t>1.10.2009, s. 10).</w:t>
      </w:r>
    </w:p>
  </w:footnote>
  <w:footnote w:id="28">
    <w:p w:rsidR="00036C67" w:rsidRPr="006A22D3" w:rsidRDefault="00036C67">
      <w:pPr>
        <w:pStyle w:val="FootnoteText"/>
      </w:pPr>
      <w:r w:rsidRPr="006A22D3">
        <w:rPr>
          <w:rStyle w:val="FootnoteReference"/>
        </w:rPr>
        <w:footnoteRef/>
      </w:r>
      <w:r w:rsidRPr="006A22D3">
        <w:tab/>
        <w:t>Komunikat Komisji do Parlamentu Europejskiego, Rady</w:t>
      </w:r>
      <w:r w:rsidR="006A22D3" w:rsidRPr="006A22D3">
        <w:t xml:space="preserve"> i Eur</w:t>
      </w:r>
      <w:r w:rsidRPr="006A22D3">
        <w:t>opejskiego Komitetu Ekonomiczno-Społecznego</w:t>
      </w:r>
      <w:r w:rsidR="006A22D3" w:rsidRPr="006A22D3">
        <w:t xml:space="preserve"> w spr</w:t>
      </w:r>
      <w:r w:rsidRPr="006A22D3">
        <w:t>awie godnej pracy na całym świecie na rzecz globalnej sprawiedliwej transformacji</w:t>
      </w:r>
      <w:r w:rsidR="006A22D3" w:rsidRPr="006A22D3">
        <w:t xml:space="preserve"> i trw</w:t>
      </w:r>
      <w:r w:rsidRPr="006A22D3">
        <w:t>ałej odbudowy, COM(2022) 66 final.</w:t>
      </w:r>
    </w:p>
  </w:footnote>
  <w:footnote w:id="29">
    <w:p w:rsidR="00036C67" w:rsidRPr="006A22D3" w:rsidRDefault="00036C67" w:rsidP="001859C1">
      <w:pPr>
        <w:pStyle w:val="FootnoteText"/>
      </w:pPr>
      <w:r w:rsidRPr="006A22D3">
        <w:rPr>
          <w:rStyle w:val="FootnoteReference"/>
        </w:rPr>
        <w:footnoteRef/>
      </w:r>
      <w:r w:rsidRPr="006A22D3">
        <w:tab/>
        <w:t>W unijnym prawie ochrony środowiska wprowadzono na przykład ograniczenia dotyczące uwalniania do środowiska określonych substancji zanieczyszczających, wyznaczono cele dla UE (na przykład</w:t>
      </w:r>
      <w:r w:rsidR="006A22D3" w:rsidRPr="006A22D3">
        <w:t xml:space="preserve"> w kon</w:t>
      </w:r>
      <w:r w:rsidRPr="006A22D3">
        <w:t>tekście Europejskiego prawa</w:t>
      </w:r>
      <w:r w:rsidR="006A22D3" w:rsidRPr="006A22D3">
        <w:t xml:space="preserve"> o kli</w:t>
      </w:r>
      <w:r w:rsidRPr="006A22D3">
        <w:t>macie) lub cele dla państw członkowskich (takie jak cele</w:t>
      </w:r>
      <w:r w:rsidR="006A22D3" w:rsidRPr="006A22D3">
        <w:t xml:space="preserve"> w zak</w:t>
      </w:r>
      <w:r w:rsidRPr="006A22D3">
        <w:t>resie efektywności energetycznej), nałożono określone obowiązki na państwa członkowskie (np. obowiązek ochrony siedlisk przyrodniczych), wprowadzono wymogi dotyczące minimalnej zawartości</w:t>
      </w:r>
      <w:r w:rsidR="006A22D3" w:rsidRPr="006A22D3">
        <w:t xml:space="preserve"> w pro</w:t>
      </w:r>
      <w:r w:rsidRPr="006A22D3">
        <w:t>cedurach udzielania zezwoleń na prowadzenie określonego rodzaju działalności gospodarczej (np. ocena oddziaływania na środowisko) itp.</w:t>
      </w:r>
    </w:p>
  </w:footnote>
  <w:footnote w:id="30">
    <w:p w:rsidR="00036C67" w:rsidRPr="006A22D3" w:rsidRDefault="00036C67">
      <w:pPr>
        <w:pStyle w:val="FootnoteText"/>
      </w:pPr>
      <w:r w:rsidRPr="006A22D3">
        <w:rPr>
          <w:rStyle w:val="FootnoteReference"/>
        </w:rPr>
        <w:footnoteRef/>
      </w:r>
      <w:r w:rsidRPr="006A22D3">
        <w:tab/>
        <w:t>Zob. np. Jungmichel, N., Schampel, C.</w:t>
      </w:r>
      <w:r w:rsidR="006A22D3" w:rsidRPr="006A22D3">
        <w:t xml:space="preserve"> i Wei</w:t>
      </w:r>
      <w:r w:rsidRPr="006A22D3">
        <w:t>ss, D. (2017): Atlas on Environmental Impacts – Supply Chains – Environmental Impacts and Hot Spots in the Supply Chain [„Atlas wpływu na środowisko – Łańcuchy dostaw – Wpływ na środowisko</w:t>
      </w:r>
      <w:r w:rsidR="006A22D3" w:rsidRPr="006A22D3">
        <w:t xml:space="preserve"> i pun</w:t>
      </w:r>
      <w:r w:rsidRPr="006A22D3">
        <w:t>kty zapalne</w:t>
      </w:r>
      <w:r w:rsidR="006A22D3" w:rsidRPr="006A22D3">
        <w:t xml:space="preserve"> w ram</w:t>
      </w:r>
      <w:r w:rsidRPr="006A22D3">
        <w:t xml:space="preserve">ach łańcucha dostaw”], Adelphi/Systain, dokument dostępny pod adresem </w:t>
      </w:r>
      <w:hyperlink r:id="rId10" w:history="1">
        <w:r w:rsidRPr="006A22D3">
          <w:rPr>
            <w:rStyle w:val="Hyperlink"/>
          </w:rPr>
          <w:t>https://www.adelphi.de/en/system/files/mediathek/bilder/Umweltatlas%20Lieferkette%20-%20adelphi-Systain-englisch.pdf</w:t>
        </w:r>
      </w:hyperlink>
    </w:p>
  </w:footnote>
  <w:footnote w:id="31">
    <w:p w:rsidR="00036C67" w:rsidRPr="006A22D3" w:rsidRDefault="00036C67">
      <w:pPr>
        <w:pStyle w:val="FootnoteText"/>
      </w:pPr>
      <w:r w:rsidRPr="006A22D3">
        <w:rPr>
          <w:rStyle w:val="FootnoteReference"/>
        </w:rPr>
        <w:footnoteRef/>
      </w:r>
      <w:r w:rsidRPr="006A22D3">
        <w:tab/>
        <w:t>Dyrektywa 2004/35/WE Parlamentu Europejskiego</w:t>
      </w:r>
      <w:r w:rsidR="006A22D3" w:rsidRPr="006A22D3">
        <w:t xml:space="preserve"> i Rad</w:t>
      </w:r>
      <w:r w:rsidRPr="006A22D3">
        <w:t>y</w:t>
      </w:r>
      <w:r w:rsidR="006A22D3" w:rsidRPr="006A22D3">
        <w:t xml:space="preserve"> z dni</w:t>
      </w:r>
      <w:r w:rsidRPr="006A22D3">
        <w:t>a 21 kwietnia 2004 r.</w:t>
      </w:r>
      <w:r w:rsidR="006A22D3" w:rsidRPr="006A22D3">
        <w:t xml:space="preserve"> w spr</w:t>
      </w:r>
      <w:r w:rsidRPr="006A22D3">
        <w:t>awie odpowiedzialności za środowisko</w:t>
      </w:r>
      <w:r w:rsidR="006A22D3" w:rsidRPr="006A22D3">
        <w:t xml:space="preserve"> w odn</w:t>
      </w:r>
      <w:r w:rsidRPr="006A22D3">
        <w:t>iesieniu do zapobiegania</w:t>
      </w:r>
      <w:r w:rsidR="006A22D3" w:rsidRPr="006A22D3">
        <w:t xml:space="preserve"> i zar</w:t>
      </w:r>
      <w:r w:rsidRPr="006A22D3">
        <w:t>adzania szkodom wyrządzonym środowisku naturalnemu (Dz.U. L 143</w:t>
      </w:r>
      <w:r w:rsidR="006A22D3" w:rsidRPr="006A22D3">
        <w:t xml:space="preserve"> z 3</w:t>
      </w:r>
      <w:r w:rsidRPr="006A22D3">
        <w:t>0.4.2004, s. 56).</w:t>
      </w:r>
    </w:p>
  </w:footnote>
  <w:footnote w:id="32">
    <w:p w:rsidR="00036C67" w:rsidRPr="006A22D3" w:rsidRDefault="00036C67" w:rsidP="0054342D">
      <w:pPr>
        <w:pStyle w:val="FootnoteText"/>
      </w:pPr>
      <w:r w:rsidRPr="006A22D3">
        <w:rPr>
          <w:rStyle w:val="FootnoteReference"/>
        </w:rPr>
        <w:footnoteRef/>
      </w:r>
      <w:r w:rsidRPr="006A22D3">
        <w:tab/>
        <w:t>Pakiet „Gotowi na 55” to seria wniosków przyjętych przez Komisję 14 lipca 2021 r., którego celem jest dostosowanie unijnej polityki</w:t>
      </w:r>
      <w:r w:rsidR="006A22D3" w:rsidRPr="006A22D3">
        <w:t xml:space="preserve"> w dzi</w:t>
      </w:r>
      <w:r w:rsidRPr="006A22D3">
        <w:t>edzinie klimatu, energii, użytkowania gruntów, transportu</w:t>
      </w:r>
      <w:r w:rsidR="006A22D3" w:rsidRPr="006A22D3">
        <w:t xml:space="preserve"> i opo</w:t>
      </w:r>
      <w:r w:rsidRPr="006A22D3">
        <w:t>datkowania, tak aby ograniczyć emisje netto gazów cieplarnianych do 2030 r. o co najmniej 55 %</w:t>
      </w:r>
      <w:r w:rsidR="006A22D3" w:rsidRPr="006A22D3">
        <w:t xml:space="preserve"> w por</w:t>
      </w:r>
      <w:r w:rsidRPr="006A22D3">
        <w:t>ównaniu</w:t>
      </w:r>
      <w:r w:rsidR="006A22D3" w:rsidRPr="006A22D3">
        <w:t xml:space="preserve"> z poz</w:t>
      </w:r>
      <w:r w:rsidRPr="006A22D3">
        <w:t>iomem</w:t>
      </w:r>
      <w:r w:rsidR="006A22D3" w:rsidRPr="006A22D3">
        <w:t xml:space="preserve"> z 1</w:t>
      </w:r>
      <w:r w:rsidRPr="006A22D3">
        <w:t>990 r.</w:t>
      </w:r>
    </w:p>
  </w:footnote>
  <w:footnote w:id="33">
    <w:p w:rsidR="00036C67" w:rsidRPr="006A22D3" w:rsidRDefault="00036C67">
      <w:pPr>
        <w:pStyle w:val="FootnoteText"/>
      </w:pPr>
      <w:r w:rsidRPr="006A22D3">
        <w:rPr>
          <w:rStyle w:val="FootnoteReference"/>
        </w:rPr>
        <w:footnoteRef/>
      </w:r>
      <w:r w:rsidRPr="006A22D3">
        <w:tab/>
        <w:t>Wniosek dotyczący dyrektywy Parlamentu Europejskiego</w:t>
      </w:r>
      <w:r w:rsidR="006A22D3" w:rsidRPr="006A22D3">
        <w:t xml:space="preserve"> i Rad</w:t>
      </w:r>
      <w:r w:rsidRPr="006A22D3">
        <w:t>y zmieniającej dyrektywę 2003/87/WE ustanawiającą system handlu przydziałami emisji gazów cieplarnianych</w:t>
      </w:r>
      <w:r w:rsidR="006A22D3" w:rsidRPr="006A22D3">
        <w:t xml:space="preserve"> w Uni</w:t>
      </w:r>
      <w:r w:rsidRPr="006A22D3">
        <w:t>i, decyzję (UE) 2015/1814</w:t>
      </w:r>
      <w:r w:rsidR="006A22D3" w:rsidRPr="006A22D3">
        <w:t xml:space="preserve"> w spr</w:t>
      </w:r>
      <w:r w:rsidRPr="006A22D3">
        <w:t>awie ustanowienia</w:t>
      </w:r>
      <w:r w:rsidR="006A22D3" w:rsidRPr="006A22D3">
        <w:t xml:space="preserve"> i fun</w:t>
      </w:r>
      <w:r w:rsidRPr="006A22D3">
        <w:t>kcjonowania rezerwy stabilności rynkowej dla unijnego systemu handlu uprawnieniami do emisji gazów cieplarnianych</w:t>
      </w:r>
      <w:r w:rsidR="006A22D3" w:rsidRPr="006A22D3">
        <w:t xml:space="preserve"> i roz</w:t>
      </w:r>
      <w:r w:rsidRPr="006A22D3">
        <w:t>porządzenie (UE) 2015/757 (COM(2021) 551 final).</w:t>
      </w:r>
    </w:p>
  </w:footnote>
  <w:footnote w:id="34">
    <w:p w:rsidR="00036C67" w:rsidRPr="006A22D3" w:rsidRDefault="00036C67" w:rsidP="00B56151">
      <w:pPr>
        <w:pStyle w:val="FootnoteText"/>
      </w:pPr>
      <w:r w:rsidRPr="006A22D3">
        <w:rPr>
          <w:rStyle w:val="FootnoteReference"/>
        </w:rPr>
        <w:footnoteRef/>
      </w:r>
      <w:r w:rsidRPr="006A22D3">
        <w:tab/>
        <w:t>Wniosek dotyczący rozporządzenia Parlamentu Europejskiego</w:t>
      </w:r>
      <w:r w:rsidR="006A22D3" w:rsidRPr="006A22D3">
        <w:t xml:space="preserve"> i Rad</w:t>
      </w:r>
      <w:r w:rsidRPr="006A22D3">
        <w:t>y ustanawiającego mechanizm dostosowywania cen na granicach</w:t>
      </w:r>
      <w:r w:rsidR="006A22D3" w:rsidRPr="006A22D3">
        <w:t xml:space="preserve"> z uwz</w:t>
      </w:r>
      <w:r w:rsidRPr="006A22D3">
        <w:t>ględnieniem emisji CO2 (COM(2021) 564 final).</w:t>
      </w:r>
    </w:p>
  </w:footnote>
  <w:footnote w:id="35">
    <w:p w:rsidR="00036C67" w:rsidRPr="006A22D3" w:rsidRDefault="00036C67" w:rsidP="001859C1">
      <w:pPr>
        <w:pStyle w:val="FootnoteText"/>
      </w:pPr>
      <w:r w:rsidRPr="006A22D3">
        <w:rPr>
          <w:rStyle w:val="FootnoteReference"/>
        </w:rPr>
        <w:footnoteRef/>
      </w:r>
      <w:r w:rsidRPr="006A22D3">
        <w:tab/>
        <w:t>„Ucieczka emisji” wynikająca</w:t>
      </w:r>
      <w:r w:rsidR="006A22D3" w:rsidRPr="006A22D3">
        <w:t xml:space="preserve"> z wyz</w:t>
      </w:r>
      <w:r w:rsidRPr="006A22D3">
        <w:t>naczenia przez UE ambitniejszych celów klimatycznych mogłaby doprowadzić do zwiększenia łącznego poziomu emisji na poziomie globalnym. Ustalona</w:t>
      </w:r>
      <w:r w:rsidR="006A22D3" w:rsidRPr="006A22D3">
        <w:t xml:space="preserve"> w ram</w:t>
      </w:r>
      <w:r w:rsidRPr="006A22D3">
        <w:t>ach mechanizmu dostosowywania cen na granicach</w:t>
      </w:r>
      <w:r w:rsidR="006A22D3" w:rsidRPr="006A22D3">
        <w:t xml:space="preserve"> z uwz</w:t>
      </w:r>
      <w:r w:rsidRPr="006A22D3">
        <w:t>ględnieniem emisji CO2 cena uwzględniająca emisje CO2 stosowana</w:t>
      </w:r>
      <w:r w:rsidR="006A22D3" w:rsidRPr="006A22D3">
        <w:t xml:space="preserve"> w odn</w:t>
      </w:r>
      <w:r w:rsidRPr="006A22D3">
        <w:t>iesieniu do określonych produktów przywożonych</w:t>
      </w:r>
      <w:r w:rsidR="006A22D3" w:rsidRPr="006A22D3">
        <w:t xml:space="preserve"> w sek</w:t>
      </w:r>
      <w:r w:rsidRPr="006A22D3">
        <w:t>torach żelaza, stali, aluminium, cementu, energii elektrycznej</w:t>
      </w:r>
      <w:r w:rsidR="006A22D3" w:rsidRPr="006A22D3">
        <w:t xml:space="preserve"> i naw</w:t>
      </w:r>
      <w:r w:rsidRPr="006A22D3">
        <w:t>ozów zapewniłaby równe warunki konkurencji między produktami unijnymi</w:t>
      </w:r>
      <w:r w:rsidR="006A22D3" w:rsidRPr="006A22D3">
        <w:t xml:space="preserve"> a pro</w:t>
      </w:r>
      <w:r w:rsidRPr="006A22D3">
        <w:t xml:space="preserve">duktami przywożonymi. </w:t>
      </w:r>
    </w:p>
  </w:footnote>
  <w:footnote w:id="36">
    <w:p w:rsidR="00036C67" w:rsidRPr="006A22D3" w:rsidRDefault="00036C67" w:rsidP="001859C1">
      <w:pPr>
        <w:pStyle w:val="FootnoteText"/>
      </w:pPr>
      <w:r w:rsidRPr="006A22D3">
        <w:rPr>
          <w:rStyle w:val="FootnoteReference"/>
        </w:rPr>
        <w:footnoteRef/>
      </w:r>
      <w:r w:rsidRPr="006A22D3">
        <w:tab/>
        <w:t>Na mocy prawa Unii każdemu pracownikowi w UE przysługują określone prawa minimalne dotyczące ochrony przed dyskryminacją ze względu na płeć, rasę, wyznanie, wiek, niepełnosprawność</w:t>
      </w:r>
      <w:r w:rsidR="006A22D3" w:rsidRPr="006A22D3">
        <w:t xml:space="preserve"> i ori</w:t>
      </w:r>
      <w:r w:rsidRPr="006A22D3">
        <w:t>entację seksualną</w:t>
      </w:r>
      <w:r w:rsidR="006A22D3" w:rsidRPr="006A22D3">
        <w:t xml:space="preserve"> i okr</w:t>
      </w:r>
      <w:r w:rsidRPr="006A22D3">
        <w:t>eślone prawa wynikające</w:t>
      </w:r>
      <w:r w:rsidR="006A22D3" w:rsidRPr="006A22D3">
        <w:t xml:space="preserve"> z prz</w:t>
      </w:r>
      <w:r w:rsidRPr="006A22D3">
        <w:t>episów prawa pracy (regulujących kwestie związane</w:t>
      </w:r>
      <w:r w:rsidR="006A22D3" w:rsidRPr="006A22D3">
        <w:t xml:space="preserve"> z pra</w:t>
      </w:r>
      <w:r w:rsidRPr="006A22D3">
        <w:t>cą</w:t>
      </w:r>
      <w:r w:rsidR="006A22D3" w:rsidRPr="006A22D3">
        <w:t xml:space="preserve"> w nie</w:t>
      </w:r>
      <w:r w:rsidRPr="006A22D3">
        <w:t>pełnym wymiarze czasu pracy, umowami</w:t>
      </w:r>
      <w:r w:rsidR="006A22D3" w:rsidRPr="006A22D3">
        <w:t xml:space="preserve"> o pra</w:t>
      </w:r>
      <w:r w:rsidRPr="006A22D3">
        <w:t>cę na czas określony, czasem pracy, przekazywaniem informacji pracownikom</w:t>
      </w:r>
      <w:r w:rsidR="006A22D3" w:rsidRPr="006A22D3">
        <w:t xml:space="preserve"> i zas</w:t>
      </w:r>
      <w:r w:rsidRPr="006A22D3">
        <w:t xml:space="preserve">ięganiem ich opinii itp.). Zestawienie informacji na ten temat zamieszczono pod adresem </w:t>
      </w:r>
      <w:hyperlink r:id="rId11" w:history="1">
        <w:r w:rsidRPr="006A22D3">
          <w:rPr>
            <w:rStyle w:val="Hyperlink"/>
          </w:rPr>
          <w:t>https://eur-lex.europa.eu/summary/chapter/employment_and_social_policy.html?root_default=SUM_1_CODED%3D17&amp;locale=pl</w:t>
        </w:r>
      </w:hyperlink>
    </w:p>
  </w:footnote>
  <w:footnote w:id="37">
    <w:p w:rsidR="00036C67" w:rsidRPr="006A22D3" w:rsidRDefault="00036C67">
      <w:pPr>
        <w:pStyle w:val="FootnoteText"/>
      </w:pPr>
      <w:r w:rsidRPr="006A22D3">
        <w:rPr>
          <w:rStyle w:val="FootnoteReference"/>
        </w:rPr>
        <w:footnoteRef/>
      </w:r>
      <w:r w:rsidRPr="006A22D3">
        <w:tab/>
        <w:t>Wspólny komunikat do Parlamentu Europejskiego</w:t>
      </w:r>
      <w:r w:rsidR="006A22D3" w:rsidRPr="006A22D3">
        <w:t xml:space="preserve"> i Rad</w:t>
      </w:r>
      <w:r w:rsidRPr="006A22D3">
        <w:t>y „Plan działania UE dotyczący praw człowieka</w:t>
      </w:r>
      <w:r w:rsidR="006A22D3" w:rsidRPr="006A22D3">
        <w:t xml:space="preserve"> i dem</w:t>
      </w:r>
      <w:r w:rsidRPr="006A22D3">
        <w:t>okracji na lata 2020–2024” (JOIN(2020) 5 final).</w:t>
      </w:r>
    </w:p>
  </w:footnote>
  <w:footnote w:id="38">
    <w:p w:rsidR="00036C67" w:rsidRPr="006A22D3" w:rsidRDefault="00036C67">
      <w:pPr>
        <w:pStyle w:val="FootnoteText"/>
      </w:pPr>
      <w:r w:rsidRPr="006A22D3">
        <w:rPr>
          <w:rStyle w:val="FootnoteReference"/>
        </w:rPr>
        <w:footnoteRef/>
      </w:r>
      <w:r w:rsidRPr="006A22D3">
        <w:tab/>
        <w:t>Komunikat Komisji „Strategia UE na rzecz praw dziecka” (COM(2021) 142 final).</w:t>
      </w:r>
    </w:p>
  </w:footnote>
  <w:footnote w:id="39">
    <w:p w:rsidR="00036C67" w:rsidRPr="006A22D3" w:rsidRDefault="00036C67" w:rsidP="003248AF">
      <w:pPr>
        <w:pStyle w:val="FootnoteText"/>
        <w:jc w:val="left"/>
      </w:pPr>
      <w:r w:rsidRPr="006A22D3">
        <w:rPr>
          <w:rStyle w:val="FootnoteReference"/>
        </w:rPr>
        <w:footnoteRef/>
      </w:r>
      <w:r w:rsidRPr="006A22D3">
        <w:tab/>
        <w:t>Komunikat Komisji „Strategia UE</w:t>
      </w:r>
      <w:r w:rsidR="006A22D3" w:rsidRPr="006A22D3">
        <w:t xml:space="preserve"> w zak</w:t>
      </w:r>
      <w:r w:rsidRPr="006A22D3">
        <w:t>resie zwalczania handlu ludźmi na lata 2021–2025” (COM(2021) 171 final).</w:t>
      </w:r>
    </w:p>
  </w:footnote>
  <w:footnote w:id="40">
    <w:p w:rsidR="00036C67" w:rsidRPr="006A22D3" w:rsidRDefault="00036C67">
      <w:pPr>
        <w:pStyle w:val="FootnoteText"/>
      </w:pPr>
      <w:r w:rsidRPr="006A22D3">
        <w:rPr>
          <w:rStyle w:val="FootnoteReference"/>
        </w:rPr>
        <w:footnoteRef/>
      </w:r>
      <w:r w:rsidRPr="006A22D3">
        <w:tab/>
        <w:t>COM(2022) 66 final.</w:t>
      </w:r>
    </w:p>
  </w:footnote>
  <w:footnote w:id="41">
    <w:p w:rsidR="00036C67" w:rsidRPr="006A22D3" w:rsidRDefault="00036C67" w:rsidP="00111230">
      <w:pPr>
        <w:pStyle w:val="FootnoteText"/>
      </w:pPr>
      <w:r w:rsidRPr="006A22D3">
        <w:rPr>
          <w:rStyle w:val="FootnoteReference"/>
        </w:rPr>
        <w:footnoteRef/>
      </w:r>
      <w:r w:rsidRPr="006A22D3">
        <w:tab/>
        <w:t>Na przykład filar 10. Europejskiego filaru praw socjalnych dotyczący zdrowego, bezpiecznego</w:t>
      </w:r>
      <w:r w:rsidR="006A22D3" w:rsidRPr="006A22D3">
        <w:t xml:space="preserve"> i dob</w:t>
      </w:r>
      <w:r w:rsidRPr="006A22D3">
        <w:t>rze dostosowanego środowiska pracy oraz art. 7 lit. b) Międzynarodowego paktu praw gospodarczych, społecznych</w:t>
      </w:r>
      <w:r w:rsidR="006A22D3" w:rsidRPr="006A22D3">
        <w:t xml:space="preserve"> i kul</w:t>
      </w:r>
      <w:r w:rsidRPr="006A22D3">
        <w:t>turalnych (zob. załącznik do niniejszej dyrektywy) dotyczący sprawiedliwych</w:t>
      </w:r>
      <w:r w:rsidR="006A22D3" w:rsidRPr="006A22D3">
        <w:t xml:space="preserve"> i kor</w:t>
      </w:r>
      <w:r w:rsidRPr="006A22D3">
        <w:t>zystnych warunków pracy, uwzględniając warunki pracy odpowiadające wymaganiom bezpieczeństwa</w:t>
      </w:r>
      <w:r w:rsidR="006A22D3" w:rsidRPr="006A22D3">
        <w:t xml:space="preserve"> i hig</w:t>
      </w:r>
      <w:r w:rsidRPr="006A22D3">
        <w:t>ieny.</w:t>
      </w:r>
    </w:p>
  </w:footnote>
  <w:footnote w:id="42">
    <w:p w:rsidR="00036C67" w:rsidRPr="006A22D3" w:rsidRDefault="00036C67" w:rsidP="00A72440">
      <w:pPr>
        <w:pStyle w:val="FootnoteText"/>
      </w:pPr>
      <w:r w:rsidRPr="006A22D3">
        <w:rPr>
          <w:rStyle w:val="FootnoteReference"/>
        </w:rPr>
        <w:footnoteRef/>
      </w:r>
      <w:r w:rsidRPr="006A22D3">
        <w:tab/>
        <w:t>W tym względzie należy przypomnieć, że jeżeli chodzi</w:t>
      </w:r>
      <w:r w:rsidR="006A22D3" w:rsidRPr="006A22D3">
        <w:t xml:space="preserve"> o śro</w:t>
      </w:r>
      <w:r w:rsidRPr="006A22D3">
        <w:t>dki</w:t>
      </w:r>
      <w:r w:rsidR="006A22D3" w:rsidRPr="006A22D3">
        <w:t xml:space="preserve"> w zak</w:t>
      </w:r>
      <w:r w:rsidRPr="006A22D3">
        <w:t>resie ładu korporacyjnego, UE przyjęła już akty prawne</w:t>
      </w:r>
      <w:r w:rsidR="006A22D3" w:rsidRPr="006A22D3">
        <w:t xml:space="preserve"> w opa</w:t>
      </w:r>
      <w:r w:rsidRPr="006A22D3">
        <w:t>rciu o tę samą podstawę prawną, np. dyrektywy</w:t>
      </w:r>
      <w:r w:rsidR="006A22D3" w:rsidRPr="006A22D3">
        <w:t xml:space="preserve"> o pra</w:t>
      </w:r>
      <w:r w:rsidRPr="006A22D3">
        <w:t>wach akcjonariuszy I i II.</w:t>
      </w:r>
    </w:p>
  </w:footnote>
  <w:footnote w:id="43">
    <w:p w:rsidR="00036C67" w:rsidRPr="006A22D3" w:rsidRDefault="00036C67" w:rsidP="00A72440">
      <w:pPr>
        <w:pStyle w:val="FootnoteText"/>
      </w:pPr>
      <w:r w:rsidRPr="006A22D3">
        <w:rPr>
          <w:rStyle w:val="FootnoteReference"/>
        </w:rPr>
        <w:footnoteRef/>
      </w:r>
      <w:r w:rsidRPr="006A22D3">
        <w:tab/>
        <w:t>Zob. np. wyrok</w:t>
      </w:r>
      <w:r w:rsidR="006A22D3" w:rsidRPr="006A22D3">
        <w:t xml:space="preserve"> w spr</w:t>
      </w:r>
      <w:r w:rsidRPr="006A22D3">
        <w:t>awie C-380/03, Niemcy/Parlament Europejski</w:t>
      </w:r>
      <w:r w:rsidR="006A22D3" w:rsidRPr="006A22D3">
        <w:t xml:space="preserve"> i Rad</w:t>
      </w:r>
      <w:r w:rsidRPr="006A22D3">
        <w:t>a, [2006], Zb.Orz. I-11573, pkt 38</w:t>
      </w:r>
      <w:r w:rsidR="006A22D3" w:rsidRPr="006A22D3">
        <w:t xml:space="preserve"> i prz</w:t>
      </w:r>
      <w:r w:rsidRPr="006A22D3">
        <w:t>ywołane</w:t>
      </w:r>
      <w:r w:rsidR="006A22D3" w:rsidRPr="006A22D3">
        <w:t xml:space="preserve"> w nim</w:t>
      </w:r>
      <w:r w:rsidRPr="006A22D3">
        <w:t xml:space="preserve"> orzecznictwo.</w:t>
      </w:r>
    </w:p>
  </w:footnote>
  <w:footnote w:id="44">
    <w:p w:rsidR="00036C67" w:rsidRPr="006A22D3" w:rsidRDefault="00036C67" w:rsidP="00A72440">
      <w:pPr>
        <w:pStyle w:val="FootnoteText"/>
      </w:pPr>
      <w:r w:rsidRPr="006A22D3">
        <w:rPr>
          <w:rStyle w:val="FootnoteReference"/>
        </w:rPr>
        <w:footnoteRef/>
      </w:r>
      <w:r w:rsidRPr="006A22D3">
        <w:tab/>
        <w:t xml:space="preserve">Zob. przypis </w:t>
      </w:r>
      <w:r w:rsidRPr="006A22D3">
        <w:fldChar w:fldCharType="begin"/>
      </w:r>
      <w:r w:rsidRPr="006A22D3">
        <w:instrText xml:space="preserve"> NOTEREF _Ref96003663 \h </w:instrText>
      </w:r>
      <w:r w:rsidRPr="006A22D3">
        <w:fldChar w:fldCharType="separate"/>
      </w:r>
      <w:r w:rsidRPr="006A22D3">
        <w:t>3</w:t>
      </w:r>
      <w:r w:rsidRPr="006A22D3">
        <w:fldChar w:fldCharType="end"/>
      </w:r>
      <w:r w:rsidRPr="006A22D3">
        <w:t>. Jeżeli chodzi</w:t>
      </w:r>
      <w:r w:rsidR="006A22D3" w:rsidRPr="006A22D3">
        <w:t xml:space="preserve"> o pań</w:t>
      </w:r>
      <w:r w:rsidRPr="006A22D3">
        <w:t>stwa EOG, przepisy</w:t>
      </w:r>
      <w:r w:rsidR="006A22D3" w:rsidRPr="006A22D3">
        <w:t xml:space="preserve"> w zak</w:t>
      </w:r>
      <w:r w:rsidRPr="006A22D3">
        <w:t>resie należytej staranności przyjęto</w:t>
      </w:r>
      <w:r w:rsidR="006A22D3" w:rsidRPr="006A22D3">
        <w:t xml:space="preserve"> w Nor</w:t>
      </w:r>
      <w:r w:rsidRPr="006A22D3">
        <w:t>wegii.</w:t>
      </w:r>
    </w:p>
  </w:footnote>
  <w:footnote w:id="45">
    <w:p w:rsidR="00036C67" w:rsidRPr="006A22D3" w:rsidRDefault="00036C67" w:rsidP="00A72440">
      <w:pPr>
        <w:pStyle w:val="FootnoteText"/>
      </w:pPr>
      <w:r w:rsidRPr="006A22D3">
        <w:rPr>
          <w:rStyle w:val="FootnoteReference"/>
        </w:rPr>
        <w:footnoteRef/>
      </w:r>
      <w:r w:rsidRPr="006A22D3">
        <w:tab/>
        <w:t>Austria, Belgia, Dania, Finlandia, Włochy, Luksemburg, Niderlandy (jeżeli chodzi</w:t>
      </w:r>
      <w:r w:rsidR="006A22D3" w:rsidRPr="006A22D3">
        <w:t xml:space="preserve"> o sze</w:t>
      </w:r>
      <w:r w:rsidRPr="006A22D3">
        <w:t>rzej rozumiane przepisy dotyczące odpowiedzialnego prowadzenia działalności gospodarczej). Organizacje społeczeństwa obywatelskiego</w:t>
      </w:r>
      <w:r w:rsidR="006A22D3" w:rsidRPr="006A22D3">
        <w:t xml:space="preserve"> w Irl</w:t>
      </w:r>
      <w:r w:rsidRPr="006A22D3">
        <w:t>andii, Hiszpanii</w:t>
      </w:r>
      <w:r w:rsidR="006A22D3" w:rsidRPr="006A22D3">
        <w:t xml:space="preserve"> i Szw</w:t>
      </w:r>
      <w:r w:rsidRPr="006A22D3">
        <w:t>ecji prowadzą kampanie na rzecz przyjęcia przepisów</w:t>
      </w:r>
      <w:r w:rsidR="006A22D3" w:rsidRPr="006A22D3">
        <w:t xml:space="preserve"> w zak</w:t>
      </w:r>
      <w:r w:rsidRPr="006A22D3">
        <w:t>resie należytej staranności</w:t>
      </w:r>
      <w:r w:rsidR="006A22D3" w:rsidRPr="006A22D3">
        <w:t>. W zał</w:t>
      </w:r>
      <w:r w:rsidRPr="006A22D3">
        <w:t>ączniku 8 do oceny skutków towarzyszącej niniejszemu wnioskowi przedstawiono szczegółowy przegląd przepisów</w:t>
      </w:r>
      <w:r w:rsidR="006A22D3" w:rsidRPr="006A22D3">
        <w:t xml:space="preserve"> i ini</w:t>
      </w:r>
      <w:r w:rsidRPr="006A22D3">
        <w:t>cjatyw</w:t>
      </w:r>
      <w:r w:rsidR="006A22D3" w:rsidRPr="006A22D3">
        <w:t xml:space="preserve"> w pań</w:t>
      </w:r>
      <w:r w:rsidRPr="006A22D3">
        <w:t>stwach członkowskich/państwach EOG.</w:t>
      </w:r>
    </w:p>
  </w:footnote>
  <w:footnote w:id="46">
    <w:p w:rsidR="00036C67" w:rsidRPr="006A22D3" w:rsidRDefault="00036C67" w:rsidP="00A72440">
      <w:pPr>
        <w:pStyle w:val="FootnoteText"/>
      </w:pPr>
      <w:r w:rsidRPr="006A22D3">
        <w:rPr>
          <w:rStyle w:val="FootnoteReference"/>
        </w:rPr>
        <w:footnoteRef/>
      </w:r>
      <w:r w:rsidRPr="006A22D3">
        <w:tab/>
        <w:t xml:space="preserve">Francuskie </w:t>
      </w:r>
      <w:r w:rsidRPr="006A22D3">
        <w:rPr>
          <w:i/>
        </w:rPr>
        <w:t>Loi Pacte</w:t>
      </w:r>
      <w:r w:rsidRPr="006A22D3">
        <w:t>.</w:t>
      </w:r>
    </w:p>
  </w:footnote>
  <w:footnote w:id="47">
    <w:p w:rsidR="00036C67" w:rsidRPr="006A22D3" w:rsidRDefault="00036C67" w:rsidP="00A72440">
      <w:pPr>
        <w:pStyle w:val="FootnoteText"/>
      </w:pPr>
      <w:r w:rsidRPr="006A22D3">
        <w:rPr>
          <w:rStyle w:val="FootnoteReference"/>
        </w:rPr>
        <w:footnoteRef/>
      </w:r>
      <w:r w:rsidRPr="006A22D3">
        <w:tab/>
        <w:t>Na przykład</w:t>
      </w:r>
      <w:r w:rsidR="006A22D3" w:rsidRPr="006A22D3">
        <w:t xml:space="preserve"> w Nid</w:t>
      </w:r>
      <w:r w:rsidRPr="006A22D3">
        <w:t>erlandach.</w:t>
      </w:r>
    </w:p>
  </w:footnote>
  <w:footnote w:id="48">
    <w:p w:rsidR="00036C67" w:rsidRPr="006A22D3" w:rsidRDefault="00036C67" w:rsidP="00A72440">
      <w:pPr>
        <w:pStyle w:val="FootnoteText"/>
      </w:pPr>
      <w:r w:rsidRPr="006A22D3">
        <w:rPr>
          <w:rStyle w:val="FootnoteReference"/>
        </w:rPr>
        <w:footnoteRef/>
      </w:r>
      <w:r w:rsidRPr="006A22D3">
        <w:tab/>
        <w:t xml:space="preserve">Zob. niemiecka </w:t>
      </w:r>
      <w:r w:rsidRPr="006A22D3">
        <w:rPr>
          <w:i/>
        </w:rPr>
        <w:t>Sorgfaltspflichtengesetz</w:t>
      </w:r>
      <w:r w:rsidRPr="006A22D3">
        <w:t xml:space="preserve">. </w:t>
      </w:r>
    </w:p>
  </w:footnote>
  <w:footnote w:id="49">
    <w:p w:rsidR="00036C67" w:rsidRPr="006A22D3" w:rsidRDefault="00036C67" w:rsidP="00A72440">
      <w:pPr>
        <w:pStyle w:val="FootnoteText"/>
      </w:pPr>
      <w:r w:rsidRPr="006A22D3">
        <w:rPr>
          <w:rStyle w:val="FootnoteReference"/>
        </w:rPr>
        <w:footnoteRef/>
      </w:r>
      <w:r w:rsidRPr="006A22D3">
        <w:tab/>
        <w:t>Na przykład we wspomnianej powyżej niderlandzkiej ustawie ustanowiono obowiązek przeprowadzania horyzontalnej analizy należytej staranności pod kątem kwestii związanych</w:t>
      </w:r>
      <w:r w:rsidR="006A22D3" w:rsidRPr="006A22D3">
        <w:t xml:space="preserve"> z pra</w:t>
      </w:r>
      <w:r w:rsidRPr="006A22D3">
        <w:t>cą dzieci</w:t>
      </w:r>
      <w:r w:rsidR="006A22D3" w:rsidRPr="006A22D3">
        <w:t xml:space="preserve"> w ram</w:t>
      </w:r>
      <w:r w:rsidRPr="006A22D3">
        <w:t>ach całego łańcucha wartości. Jedna</w:t>
      </w:r>
      <w:r w:rsidR="006A22D3" w:rsidRPr="006A22D3">
        <w:t xml:space="preserve"> z par</w:t>
      </w:r>
      <w:r w:rsidRPr="006A22D3">
        <w:t>tii politycznych</w:t>
      </w:r>
      <w:r w:rsidR="006A22D3" w:rsidRPr="006A22D3">
        <w:t xml:space="preserve"> w Aus</w:t>
      </w:r>
      <w:r w:rsidRPr="006A22D3">
        <w:t>trii przedstawiła projekt ustawy</w:t>
      </w:r>
      <w:r w:rsidR="006A22D3" w:rsidRPr="006A22D3">
        <w:t xml:space="preserve"> o odp</w:t>
      </w:r>
      <w:r w:rsidRPr="006A22D3">
        <w:t>owiedzialności społecznej</w:t>
      </w:r>
      <w:r w:rsidR="006A22D3" w:rsidRPr="006A22D3">
        <w:t xml:space="preserve"> z tyt</w:t>
      </w:r>
      <w:r w:rsidRPr="006A22D3">
        <w:t>ułu pracy przymusowej</w:t>
      </w:r>
      <w:r w:rsidR="006A22D3" w:rsidRPr="006A22D3">
        <w:t xml:space="preserve"> i pra</w:t>
      </w:r>
      <w:r w:rsidRPr="006A22D3">
        <w:t>cy dzieci</w:t>
      </w:r>
      <w:r w:rsidR="006A22D3" w:rsidRPr="006A22D3">
        <w:t xml:space="preserve"> w sek</w:t>
      </w:r>
      <w:r w:rsidRPr="006A22D3">
        <w:t>torze odzieżowym.</w:t>
      </w:r>
    </w:p>
  </w:footnote>
  <w:footnote w:id="50">
    <w:p w:rsidR="00036C67" w:rsidRPr="006A22D3" w:rsidRDefault="00036C67" w:rsidP="00A72440">
      <w:pPr>
        <w:pStyle w:val="FootnoteText"/>
      </w:pPr>
      <w:r w:rsidRPr="006A22D3">
        <w:rPr>
          <w:rStyle w:val="FootnoteReference"/>
        </w:rPr>
        <w:footnoteRef/>
      </w:r>
      <w:r w:rsidRPr="006A22D3">
        <w:tab/>
        <w:t xml:space="preserve">Przepisy francuskiej </w:t>
      </w:r>
      <w:r w:rsidRPr="006A22D3">
        <w:rPr>
          <w:i/>
        </w:rPr>
        <w:t>Loi relative au devoir de vigilance</w:t>
      </w:r>
      <w:r w:rsidR="006A22D3" w:rsidRPr="006A22D3">
        <w:t xml:space="preserve"> i nie</w:t>
      </w:r>
      <w:r w:rsidRPr="006A22D3">
        <w:t xml:space="preserve">mieckiej </w:t>
      </w:r>
      <w:r w:rsidRPr="006A22D3">
        <w:rPr>
          <w:i/>
        </w:rPr>
        <w:t>Sorgfaltspflichtengesetz</w:t>
      </w:r>
      <w:r w:rsidRPr="006A22D3">
        <w:t xml:space="preserve"> różnią się istotnie, jeżeli chodzi</w:t>
      </w:r>
      <w:r w:rsidR="006A22D3" w:rsidRPr="006A22D3">
        <w:t xml:space="preserve"> o zak</w:t>
      </w:r>
      <w:r w:rsidRPr="006A22D3">
        <w:t>res podmiotowy, istotne wymogi</w:t>
      </w:r>
      <w:r w:rsidR="006A22D3" w:rsidRPr="006A22D3">
        <w:t xml:space="preserve"> i sys</w:t>
      </w:r>
      <w:r w:rsidRPr="006A22D3">
        <w:t>tem egzekwowania prawa.</w:t>
      </w:r>
    </w:p>
  </w:footnote>
  <w:footnote w:id="51">
    <w:p w:rsidR="00036C67" w:rsidRPr="006A22D3" w:rsidRDefault="00036C67" w:rsidP="00A72440">
      <w:pPr>
        <w:pStyle w:val="FootnoteText"/>
      </w:pPr>
      <w:r w:rsidRPr="006A22D3">
        <w:rPr>
          <w:rStyle w:val="FootnoteReference"/>
        </w:rPr>
        <w:footnoteRef/>
      </w:r>
      <w:r w:rsidRPr="006A22D3">
        <w:tab/>
        <w:t>Na przykład zgodnie</w:t>
      </w:r>
      <w:r w:rsidR="006A22D3" w:rsidRPr="006A22D3">
        <w:t xml:space="preserve"> z prz</w:t>
      </w:r>
      <w:r w:rsidRPr="006A22D3">
        <w:t xml:space="preserve">episami niemieckiej </w:t>
      </w:r>
      <w:r w:rsidRPr="006A22D3">
        <w:rPr>
          <w:i/>
        </w:rPr>
        <w:t>Sorgfaltspflichtengesetz</w:t>
      </w:r>
      <w:r w:rsidRPr="006A22D3">
        <w:t xml:space="preserve"> ustawa ta ma zastosowanie do wszystkich przedsiębiorstw posiadających oddział</w:t>
      </w:r>
      <w:r w:rsidR="006A22D3" w:rsidRPr="006A22D3">
        <w:t xml:space="preserve"> w Nie</w:t>
      </w:r>
      <w:r w:rsidRPr="006A22D3">
        <w:t>mczech</w:t>
      </w:r>
      <w:r w:rsidR="006A22D3" w:rsidRPr="006A22D3">
        <w:t xml:space="preserve"> i zat</w:t>
      </w:r>
      <w:r w:rsidRPr="006A22D3">
        <w:t>rudniających przynajmniej 3 000 pracowników na terytorium tego państwa (1 000 od 2024 r.).</w:t>
      </w:r>
    </w:p>
  </w:footnote>
  <w:footnote w:id="52">
    <w:p w:rsidR="00036C67" w:rsidRPr="006A22D3" w:rsidRDefault="00036C67" w:rsidP="00A72440">
      <w:pPr>
        <w:pStyle w:val="FootnoteText"/>
      </w:pPr>
      <w:r w:rsidRPr="006A22D3">
        <w:rPr>
          <w:rStyle w:val="FootnoteReference"/>
        </w:rPr>
        <w:footnoteRef/>
      </w:r>
      <w:r w:rsidRPr="006A22D3">
        <w:tab/>
        <w:t xml:space="preserve">Francuska ustawa </w:t>
      </w:r>
      <w:r w:rsidRPr="006A22D3">
        <w:rPr>
          <w:i/>
        </w:rPr>
        <w:t>Loi relative au devoir de vigilance</w:t>
      </w:r>
      <w:r w:rsidRPr="006A22D3">
        <w:t xml:space="preserve"> zawiera przepisy dotyczące odpowiedzialności cywilnej. Niemiecka ustawa </w:t>
      </w:r>
      <w:r w:rsidRPr="006A22D3">
        <w:rPr>
          <w:i/>
        </w:rPr>
        <w:t>Sorgfaltspflichtengesetz</w:t>
      </w:r>
      <w:r w:rsidRPr="006A22D3">
        <w:t xml:space="preserve"> wyjaśnia, że naruszenie obowiązku wynikającego</w:t>
      </w:r>
      <w:r w:rsidR="006A22D3" w:rsidRPr="006A22D3">
        <w:t xml:space="preserve"> z prz</w:t>
      </w:r>
      <w:r w:rsidRPr="006A22D3">
        <w:t>episów ustawy nie powoduje powstania odpowiedzialności cywilnej oraz że ustawa nie ma wpływu na ogólne zasady odpowiedzialności. Ponadto krajowe przepisy dotyczące odpowiedzialności cywilnej nie są zharmonizowane.</w:t>
      </w:r>
    </w:p>
  </w:footnote>
  <w:footnote w:id="53">
    <w:p w:rsidR="00036C67" w:rsidRPr="006A22D3" w:rsidRDefault="00036C67">
      <w:pPr>
        <w:pStyle w:val="FootnoteText"/>
      </w:pPr>
      <w:r w:rsidRPr="006A22D3">
        <w:rPr>
          <w:rStyle w:val="FootnoteReference"/>
        </w:rPr>
        <w:footnoteRef/>
      </w:r>
      <w:r w:rsidRPr="006A22D3">
        <w:tab/>
        <w:t>Ramowa konwencja Narodów Zjednoczonych</w:t>
      </w:r>
      <w:r w:rsidR="006A22D3" w:rsidRPr="006A22D3">
        <w:t xml:space="preserve"> w spr</w:t>
      </w:r>
      <w:r w:rsidRPr="006A22D3">
        <w:t>awie zmian klimatu.</w:t>
      </w:r>
    </w:p>
  </w:footnote>
  <w:footnote w:id="54">
    <w:p w:rsidR="00036C67" w:rsidRPr="006A22D3" w:rsidRDefault="00036C67" w:rsidP="001859C1">
      <w:pPr>
        <w:pStyle w:val="FootnoteText"/>
      </w:pPr>
      <w:r w:rsidRPr="006A22D3">
        <w:rPr>
          <w:rStyle w:val="FootnoteReference"/>
        </w:rPr>
        <w:footnoteRef/>
      </w:r>
      <w:r w:rsidRPr="006A22D3">
        <w:tab/>
        <w:t>Liczba ta pochodzi</w:t>
      </w:r>
      <w:r w:rsidR="006A22D3" w:rsidRPr="006A22D3">
        <w:t xml:space="preserve"> z oce</w:t>
      </w:r>
      <w:r w:rsidRPr="006A22D3">
        <w:t>ny skutków drugiej dyrektywy</w:t>
      </w:r>
      <w:r w:rsidR="006A22D3" w:rsidRPr="006A22D3">
        <w:t xml:space="preserve"> o pra</w:t>
      </w:r>
      <w:r w:rsidRPr="006A22D3">
        <w:t>wach akcjonariuszy.</w:t>
      </w:r>
    </w:p>
  </w:footnote>
  <w:footnote w:id="55">
    <w:p w:rsidR="00036C67" w:rsidRPr="006A22D3" w:rsidRDefault="00036C67" w:rsidP="001859C1">
      <w:pPr>
        <w:pStyle w:val="FootnoteText"/>
      </w:pPr>
      <w:r w:rsidRPr="006A22D3">
        <w:rPr>
          <w:rStyle w:val="FootnoteReference"/>
        </w:rPr>
        <w:footnoteRef/>
      </w:r>
      <w:r w:rsidRPr="006A22D3">
        <w:tab/>
        <w:t xml:space="preserve">Np. niedawno inwestorzy zmusili producenta żywności Danone do cięcia kosztów ze względu na brak krótkoterminowej rentowności, zob. artykuł pt. „Czy anglosascy inwestorzy aktywiści mogą sprawić, że Danone odzyska formę?”, dostępny pod adresem: </w:t>
      </w:r>
      <w:hyperlink r:id="rId12" w:history="1">
        <w:r w:rsidRPr="006A22D3">
          <w:rPr>
            <w:rStyle w:val="Hyperlink"/>
          </w:rPr>
          <w:t>https://www.economist.com/business/2021/02/20/can-anglo-saxon-activist-investors-whip-danone-into-shape</w:t>
        </w:r>
      </w:hyperlink>
      <w:r w:rsidRPr="006A22D3">
        <w:t xml:space="preserve"> </w:t>
      </w:r>
    </w:p>
  </w:footnote>
  <w:footnote w:id="56">
    <w:p w:rsidR="00036C67" w:rsidRPr="006A22D3" w:rsidRDefault="00036C67" w:rsidP="001859C1">
      <w:pPr>
        <w:pStyle w:val="FootnoteText"/>
      </w:pPr>
      <w:r w:rsidRPr="006A22D3">
        <w:rPr>
          <w:rStyle w:val="FootnoteReference"/>
        </w:rPr>
        <w:footnoteRef/>
      </w:r>
      <w:r w:rsidRPr="006A22D3">
        <w:tab/>
        <w:t xml:space="preserve">Zob. przypis </w:t>
      </w:r>
      <w:r w:rsidRPr="006A22D3">
        <w:fldChar w:fldCharType="begin"/>
      </w:r>
      <w:r w:rsidRPr="006A22D3">
        <w:instrText xml:space="preserve"> NOTEREF _Ref96003663 \h </w:instrText>
      </w:r>
      <w:r w:rsidRPr="006A22D3">
        <w:fldChar w:fldCharType="separate"/>
      </w:r>
      <w:r w:rsidRPr="006A22D3">
        <w:t>3</w:t>
      </w:r>
      <w:r w:rsidRPr="006A22D3">
        <w:fldChar w:fldCharType="end"/>
      </w:r>
      <w:r w:rsidRPr="006A22D3">
        <w:t>.</w:t>
      </w:r>
    </w:p>
  </w:footnote>
  <w:footnote w:id="57">
    <w:p w:rsidR="00036C67" w:rsidRPr="006A22D3" w:rsidRDefault="00036C67" w:rsidP="001859C1">
      <w:pPr>
        <w:pStyle w:val="FootnoteText"/>
      </w:pPr>
      <w:r w:rsidRPr="006A22D3">
        <w:rPr>
          <w:rStyle w:val="FootnoteReference"/>
        </w:rPr>
        <w:footnoteRef/>
      </w:r>
      <w:r w:rsidRPr="006A22D3">
        <w:tab/>
        <w:t xml:space="preserve">Zob. przypis </w:t>
      </w:r>
      <w:r w:rsidRPr="006A22D3">
        <w:fldChar w:fldCharType="begin"/>
      </w:r>
      <w:r w:rsidRPr="006A22D3">
        <w:instrText xml:space="preserve"> NOTEREF _Ref96009997 \h </w:instrText>
      </w:r>
      <w:r w:rsidRPr="006A22D3">
        <w:fldChar w:fldCharType="separate"/>
      </w:r>
      <w:r w:rsidRPr="006A22D3">
        <w:t>48</w:t>
      </w:r>
      <w:r w:rsidRPr="006A22D3">
        <w:fldChar w:fldCharType="end"/>
      </w:r>
      <w:r w:rsidRPr="006A22D3">
        <w:t xml:space="preserve">. </w:t>
      </w:r>
    </w:p>
  </w:footnote>
  <w:footnote w:id="58">
    <w:p w:rsidR="00036C67" w:rsidRPr="006A22D3" w:rsidRDefault="00036C67" w:rsidP="001859C1">
      <w:pPr>
        <w:pStyle w:val="FootnoteText"/>
      </w:pPr>
      <w:r w:rsidRPr="006A22D3">
        <w:rPr>
          <w:rStyle w:val="FootnoteReference"/>
        </w:rPr>
        <w:footnoteRef/>
      </w:r>
      <w:r w:rsidRPr="006A22D3">
        <w:tab/>
        <w:t xml:space="preserve">W 2014 r. Rada Praw Człowieka ONZ </w:t>
      </w:r>
      <w:hyperlink r:id="rId13" w:history="1">
        <w:r w:rsidRPr="006A22D3">
          <w:t>podjęła decyzję</w:t>
        </w:r>
      </w:hyperlink>
      <w:r w:rsidR="006A22D3" w:rsidRPr="006A22D3">
        <w:t xml:space="preserve"> o utw</w:t>
      </w:r>
      <w:r w:rsidRPr="006A22D3">
        <w:t>orzeniu otwartej międzyrządowej grupy roboczej (OEIGWG) do spraw opracowania prawnie wiążącego instrumentu dla międzynarodowych korporacji</w:t>
      </w:r>
      <w:r w:rsidR="006A22D3" w:rsidRPr="006A22D3">
        <w:t xml:space="preserve"> i inn</w:t>
      </w:r>
      <w:r w:rsidRPr="006A22D3">
        <w:t>ych przedsiębiorstw</w:t>
      </w:r>
      <w:r w:rsidR="006A22D3" w:rsidRPr="006A22D3">
        <w:t xml:space="preserve"> w odn</w:t>
      </w:r>
      <w:r w:rsidRPr="006A22D3">
        <w:t>iesieniu do praw człowieka, której zadaniem będzie opracowanie instrumentu prawnie wiążącego na szczeblu międzynarodowym, regulującego –</w:t>
      </w:r>
      <w:r w:rsidR="006A22D3" w:rsidRPr="006A22D3">
        <w:t xml:space="preserve"> w ram</w:t>
      </w:r>
      <w:r w:rsidRPr="006A22D3">
        <w:t>ach prawa międzynarodowego praw człowieka – działalność korporacji transnarodowych</w:t>
      </w:r>
      <w:r w:rsidR="006A22D3" w:rsidRPr="006A22D3">
        <w:t xml:space="preserve"> i inn</w:t>
      </w:r>
      <w:r w:rsidRPr="006A22D3">
        <w:t xml:space="preserve">ych przedsiębiorstw. W 2021 r. OEIGWG opublikowała trzeci </w:t>
      </w:r>
      <w:hyperlink r:id="rId14" w:history="1">
        <w:r w:rsidRPr="006A22D3">
          <w:t>zmieniony projekt instrumentu prawnie wiążącego dotyczącego działalności gospodarczej</w:t>
        </w:r>
        <w:r w:rsidR="006A22D3" w:rsidRPr="006A22D3">
          <w:t xml:space="preserve"> i pra</w:t>
        </w:r>
        <w:r w:rsidRPr="006A22D3">
          <w:t>w człowieka</w:t>
        </w:r>
      </w:hyperlink>
      <w:r w:rsidRPr="006A22D3">
        <w:t>,</w:t>
      </w:r>
      <w:r w:rsidR="006A22D3" w:rsidRPr="006A22D3">
        <w:t xml:space="preserve"> w któ</w:t>
      </w:r>
      <w:r w:rsidRPr="006A22D3">
        <w:t>rym uwzględniono środki</w:t>
      </w:r>
      <w:r w:rsidR="006A22D3" w:rsidRPr="006A22D3">
        <w:t xml:space="preserve"> z zak</w:t>
      </w:r>
      <w:r w:rsidRPr="006A22D3">
        <w:t>resu należytej staranności</w:t>
      </w:r>
      <w:r w:rsidR="006A22D3" w:rsidRPr="006A22D3">
        <w:t xml:space="preserve"> i odp</w:t>
      </w:r>
      <w:r w:rsidRPr="006A22D3">
        <w:t>owiedzialności przedsiębiorstw</w:t>
      </w:r>
      <w:r w:rsidR="006A22D3" w:rsidRPr="006A22D3">
        <w:t xml:space="preserve"> z tyt</w:t>
      </w:r>
      <w:r w:rsidRPr="006A22D3">
        <w:t>ułu naruszenia praw człowieka.</w:t>
      </w:r>
    </w:p>
  </w:footnote>
  <w:footnote w:id="59">
    <w:p w:rsidR="00036C67" w:rsidRPr="006A22D3" w:rsidRDefault="00036C67">
      <w:pPr>
        <w:pStyle w:val="FootnoteText"/>
      </w:pPr>
      <w:r w:rsidRPr="006A22D3">
        <w:rPr>
          <w:rStyle w:val="FootnoteReference"/>
        </w:rPr>
        <w:footnoteRef/>
      </w:r>
      <w:r w:rsidRPr="006A22D3">
        <w:tab/>
        <w:t>Duże spółki kapitałowe zatrudniające ponad 500 pracowników</w:t>
      </w:r>
      <w:r w:rsidR="006A22D3" w:rsidRPr="006A22D3">
        <w:t xml:space="preserve"> i osi</w:t>
      </w:r>
      <w:r w:rsidRPr="006A22D3">
        <w:t>ągające przychody netto ze sprzedaży powyżej 150 mln EUR.</w:t>
      </w:r>
    </w:p>
  </w:footnote>
  <w:footnote w:id="60">
    <w:p w:rsidR="00036C67" w:rsidRPr="006A22D3" w:rsidRDefault="00036C67" w:rsidP="001859C1">
      <w:pPr>
        <w:pStyle w:val="FootnoteText"/>
      </w:pPr>
      <w:r w:rsidRPr="006A22D3">
        <w:rPr>
          <w:rStyle w:val="FootnoteReference"/>
        </w:rPr>
        <w:footnoteRef/>
      </w:r>
      <w:r w:rsidRPr="006A22D3">
        <w:tab/>
        <w:t>Duże spółki kapitałowe zatrudniające ponad 250 pracowników</w:t>
      </w:r>
      <w:r w:rsidR="006A22D3" w:rsidRPr="006A22D3">
        <w:t xml:space="preserve"> i osi</w:t>
      </w:r>
      <w:r w:rsidRPr="006A22D3">
        <w:t>ągające przychody netto ze sprzedaży powyżej 40 mln EUR, ale nieprzekraczające jednocześnie progów 500 pracowników</w:t>
      </w:r>
      <w:r w:rsidR="006A22D3" w:rsidRPr="006A22D3">
        <w:t xml:space="preserve"> i 1</w:t>
      </w:r>
      <w:r w:rsidRPr="006A22D3">
        <w:t>50 mln EUR przychodów netto ze sprzedaży,</w:t>
      </w:r>
      <w:r w:rsidR="006A22D3" w:rsidRPr="006A22D3">
        <w:t xml:space="preserve"> a tak</w:t>
      </w:r>
      <w:r w:rsidRPr="006A22D3">
        <w:t>że przedsiębiorstwa</w:t>
      </w:r>
      <w:r w:rsidR="006A22D3" w:rsidRPr="006A22D3">
        <w:t xml:space="preserve"> z pań</w:t>
      </w:r>
      <w:r w:rsidRPr="006A22D3">
        <w:t>stw trzecich</w:t>
      </w:r>
      <w:r w:rsidR="006A22D3" w:rsidRPr="006A22D3">
        <w:t xml:space="preserve"> o por</w:t>
      </w:r>
      <w:r w:rsidRPr="006A22D3">
        <w:t>ównywalnej formie prawnej osiągające przychody netto ze sprzedaży w UE</w:t>
      </w:r>
      <w:r w:rsidR="006A22D3" w:rsidRPr="006A22D3">
        <w:t xml:space="preserve"> w wys</w:t>
      </w:r>
      <w:r w:rsidRPr="006A22D3">
        <w:t>okości 40–150 mln EUR.</w:t>
      </w:r>
    </w:p>
  </w:footnote>
  <w:footnote w:id="61">
    <w:p w:rsidR="00036C67" w:rsidRPr="006A22D3" w:rsidRDefault="00036C67" w:rsidP="001859C1">
      <w:pPr>
        <w:pStyle w:val="FootnoteText"/>
      </w:pPr>
      <w:r w:rsidRPr="006A22D3">
        <w:rPr>
          <w:rStyle w:val="FootnoteReference"/>
        </w:rPr>
        <w:footnoteRef/>
      </w:r>
      <w:r w:rsidRPr="006A22D3">
        <w:tab/>
        <w:t>OECD opracowała takie wytyczne sektorowe, aby propagować skuteczne przestrzeganie Wytycznych OECD dla przedsiębiorstw wielonarodowych. Wykaz wytycznych sektorowych można znaleźć pod adresem: http://mneguidelines.oecd.org/sectors/</w:t>
      </w:r>
    </w:p>
  </w:footnote>
  <w:footnote w:id="62">
    <w:p w:rsidR="00036C67" w:rsidRPr="006A22D3" w:rsidRDefault="00036C67">
      <w:pPr>
        <w:pStyle w:val="FootnoteText"/>
      </w:pPr>
      <w:r w:rsidRPr="006A22D3">
        <w:rPr>
          <w:rStyle w:val="FootnoteReference"/>
        </w:rPr>
        <w:footnoteRef/>
      </w:r>
      <w:r w:rsidRPr="006A22D3">
        <w:tab/>
        <w:t>W odniesieniu do Unii zob. art. 5 zalecenia Komisji</w:t>
      </w:r>
      <w:r w:rsidR="006A22D3" w:rsidRPr="006A22D3">
        <w:t xml:space="preserve"> z dni</w:t>
      </w:r>
      <w:r w:rsidRPr="006A22D3">
        <w:t>a 6 maja 2003 r. dotyczącego definicji przedsiębiorstw mikro, małych</w:t>
      </w:r>
      <w:r w:rsidR="006A22D3" w:rsidRPr="006A22D3">
        <w:t xml:space="preserve"> i śre</w:t>
      </w:r>
      <w:r w:rsidRPr="006A22D3">
        <w:t>dnich (2003/361/WE) (Dz.U. L 124</w:t>
      </w:r>
      <w:r w:rsidR="006A22D3" w:rsidRPr="006A22D3">
        <w:t xml:space="preserve"> z 2</w:t>
      </w:r>
      <w:r w:rsidRPr="006A22D3">
        <w:t>0.5.2003, s. 36).</w:t>
      </w:r>
    </w:p>
  </w:footnote>
  <w:footnote w:id="63">
    <w:p w:rsidR="00036C67" w:rsidRPr="006A22D3" w:rsidRDefault="00036C67">
      <w:pPr>
        <w:pStyle w:val="FootnoteText"/>
      </w:pPr>
      <w:r w:rsidRPr="006A22D3">
        <w:rPr>
          <w:rStyle w:val="FootnoteReference"/>
        </w:rPr>
        <w:footnoteRef/>
      </w:r>
      <w:r w:rsidRPr="006A22D3">
        <w:tab/>
        <w:t>W grupie 1: 9 400 przedsiębiorstw,</w:t>
      </w:r>
      <w:r w:rsidR="006A22D3" w:rsidRPr="006A22D3">
        <w:t xml:space="preserve"> w gru</w:t>
      </w:r>
      <w:r w:rsidRPr="006A22D3">
        <w:t>pie 2: 3 400 przedsiębiorstw.</w:t>
      </w:r>
    </w:p>
  </w:footnote>
  <w:footnote w:id="64">
    <w:p w:rsidR="00036C67" w:rsidRPr="006A22D3" w:rsidRDefault="00036C67" w:rsidP="00021ADA">
      <w:pPr>
        <w:pStyle w:val="FootnoteText"/>
        <w:ind w:hanging="719"/>
      </w:pPr>
      <w:r w:rsidRPr="006A22D3">
        <w:rPr>
          <w:rStyle w:val="FootnoteReference"/>
        </w:rPr>
        <w:footnoteRef/>
      </w:r>
      <w:r w:rsidRPr="006A22D3">
        <w:tab/>
        <w:t>W grupie 1: 2 600 przedsiębiorstw,</w:t>
      </w:r>
      <w:r w:rsidR="006A22D3" w:rsidRPr="006A22D3">
        <w:t xml:space="preserve"> w gru</w:t>
      </w:r>
      <w:r w:rsidRPr="006A22D3">
        <w:t>pie 2: 1 400 przedsiębiorstw. Metodę obliczania liczby przedsiębiorstw</w:t>
      </w:r>
      <w:r w:rsidR="006A22D3" w:rsidRPr="006A22D3">
        <w:t xml:space="preserve"> z pań</w:t>
      </w:r>
      <w:r w:rsidRPr="006A22D3">
        <w:t>stw trzecich opisano</w:t>
      </w:r>
      <w:r w:rsidR="006A22D3" w:rsidRPr="006A22D3">
        <w:t xml:space="preserve"> w zał</w:t>
      </w:r>
      <w:r w:rsidRPr="006A22D3">
        <w:t>ączonym dokumencie roboczym służb Komisji.</w:t>
      </w:r>
    </w:p>
  </w:footnote>
  <w:footnote w:id="65">
    <w:p w:rsidR="00036C67" w:rsidRPr="006A22D3" w:rsidRDefault="00036C67" w:rsidP="001859C1">
      <w:pPr>
        <w:pStyle w:val="FootnoteText"/>
      </w:pPr>
      <w:r w:rsidRPr="006A22D3">
        <w:rPr>
          <w:rStyle w:val="FootnoteReference"/>
        </w:rPr>
        <w:footnoteRef/>
      </w:r>
      <w:r w:rsidRPr="006A22D3">
        <w:tab/>
        <w:t xml:space="preserve">Podsumowanie otwartych konsultacji publicznych dotyczących inicjatywy na rzecz zrównoważonego ładu korporacyjnego, dostępne na stronie </w:t>
      </w:r>
      <w:hyperlink r:id="rId15" w:history="1">
        <w:r w:rsidRPr="006A22D3">
          <w:rPr>
            <w:rStyle w:val="Hyperlink"/>
          </w:rPr>
          <w:t>https://ec.europa.eu/info/law/better-regulation/have-your-say/initiatives/12548-Sustainable-corporate-governance/public-consultation_pl</w:t>
        </w:r>
      </w:hyperlink>
    </w:p>
  </w:footnote>
  <w:footnote w:id="66">
    <w:p w:rsidR="00036C67" w:rsidRPr="006A22D3" w:rsidRDefault="00036C67" w:rsidP="001859C1">
      <w:pPr>
        <w:pStyle w:val="FootnoteText"/>
      </w:pPr>
      <w:r w:rsidRPr="006A22D3">
        <w:rPr>
          <w:rStyle w:val="FootnoteReference"/>
        </w:rPr>
        <w:footnoteRef/>
      </w:r>
      <w:r w:rsidRPr="006A22D3">
        <w:tab/>
        <w:t>Na przykład</w:t>
      </w:r>
      <w:r w:rsidR="006A22D3" w:rsidRPr="006A22D3">
        <w:t xml:space="preserve"> w odp</w:t>
      </w:r>
      <w:r w:rsidRPr="006A22D3">
        <w:t>owiedzi na pytania przedstawione</w:t>
      </w:r>
      <w:r w:rsidR="006A22D3" w:rsidRPr="006A22D3">
        <w:t xml:space="preserve"> w otw</w:t>
      </w:r>
      <w:r w:rsidRPr="006A22D3">
        <w:t>artych konsultacjach publicznych za potrzebą podjęcia działań opowiedziało się 95,9 % organizacji pozarządowych, 68,4 % przedsiębiorstw (75,5 % dużych przedsiębiorstw, 58,7 % MŚP) oraz 59,6 % stowarzyszeń przedsiębiorców.</w:t>
      </w:r>
    </w:p>
  </w:footnote>
  <w:footnote w:id="67">
    <w:p w:rsidR="00036C67" w:rsidRPr="006A22D3" w:rsidRDefault="00036C67" w:rsidP="001859C1">
      <w:pPr>
        <w:pStyle w:val="FootnoteText"/>
      </w:pPr>
      <w:r w:rsidRPr="006A22D3">
        <w:rPr>
          <w:rStyle w:val="FootnoteReference"/>
        </w:rPr>
        <w:footnoteRef/>
      </w:r>
      <w:r w:rsidRPr="006A22D3">
        <w:tab/>
        <w:t>Chociaż 97,2 % organizacji pozarządowych preferowało podejście horyzontalne, taką preferencję wyraziło 86,8 % ogółu przedsiębiorstw,</w:t>
      </w:r>
      <w:r w:rsidR="006A22D3" w:rsidRPr="006A22D3">
        <w:t xml:space="preserve"> w tym</w:t>
      </w:r>
      <w:r w:rsidRPr="006A22D3">
        <w:t> 81,8 % MŚP, jak również 85,3 % stowarzyszeń przedsiębiorców. Miało to miejsce również</w:t>
      </w:r>
      <w:r w:rsidR="006A22D3" w:rsidRPr="006A22D3">
        <w:t xml:space="preserve"> w prz</w:t>
      </w:r>
      <w:r w:rsidRPr="006A22D3">
        <w:t>ypadku respondentów</w:t>
      </w:r>
      <w:r w:rsidR="006A22D3" w:rsidRPr="006A22D3">
        <w:t xml:space="preserve"> z pań</w:t>
      </w:r>
      <w:r w:rsidRPr="006A22D3">
        <w:t xml:space="preserve">stw członkowskich. </w:t>
      </w:r>
    </w:p>
  </w:footnote>
  <w:footnote w:id="68">
    <w:p w:rsidR="00036C67" w:rsidRPr="006A22D3" w:rsidRDefault="00036C67" w:rsidP="001859C1">
      <w:pPr>
        <w:pStyle w:val="FootnoteText"/>
      </w:pPr>
      <w:r w:rsidRPr="006A22D3">
        <w:rPr>
          <w:rStyle w:val="FootnoteReference"/>
        </w:rPr>
        <w:footnoteRef/>
      </w:r>
      <w:r w:rsidRPr="006A22D3">
        <w:tab/>
        <w:t>97 % respondentów zgodziło się</w:t>
      </w:r>
      <w:r w:rsidR="006A22D3" w:rsidRPr="006A22D3">
        <w:t xml:space="preserve"> z tym</w:t>
      </w:r>
      <w:r w:rsidRPr="006A22D3">
        <w:t xml:space="preserve"> twierdzeniem (96,1 % organizacji pozarządowych, 96,5 % stowarzyszeń przedsiębiorców, 93,8 % przedsiębiorstw,</w:t>
      </w:r>
      <w:r w:rsidR="006A22D3" w:rsidRPr="006A22D3">
        <w:t xml:space="preserve"> w tym</w:t>
      </w:r>
      <w:r w:rsidRPr="006A22D3">
        <w:t> 86,4 % MŚP)</w:t>
      </w:r>
      <w:r w:rsidR="006A22D3" w:rsidRPr="006A22D3">
        <w:t>. Z twi</w:t>
      </w:r>
      <w:r w:rsidRPr="006A22D3">
        <w:t>erdzeniem tym zgodzili się również wszyscy respondenci</w:t>
      </w:r>
      <w:r w:rsidR="006A22D3" w:rsidRPr="006A22D3">
        <w:t xml:space="preserve"> z pań</w:t>
      </w:r>
      <w:r w:rsidRPr="006A22D3">
        <w:t>stw członkowskich.</w:t>
      </w:r>
    </w:p>
  </w:footnote>
  <w:footnote w:id="69">
    <w:p w:rsidR="00036C67" w:rsidRPr="006A22D3" w:rsidRDefault="00036C67" w:rsidP="001859C1">
      <w:pPr>
        <w:pStyle w:val="FootnoteText"/>
      </w:pPr>
      <w:r w:rsidRPr="006A22D3">
        <w:rPr>
          <w:rStyle w:val="FootnoteReference"/>
        </w:rPr>
        <w:footnoteRef/>
      </w:r>
      <w:r w:rsidRPr="006A22D3">
        <w:tab/>
        <w:t>Na kolejnych miejscach znalazły się warianty zakładające egzekwowanie przepisów na drodze sądowej</w:t>
      </w:r>
      <w:r w:rsidR="006A22D3" w:rsidRPr="006A22D3">
        <w:t xml:space="preserve"> z uwz</w:t>
      </w:r>
      <w:r w:rsidRPr="006A22D3">
        <w:t>ględnieniem odpowiedzialności (49 %) oraz nadzór prowadzony przez właściwe organy krajowe na podstawie skarg dotyczących nieprzestrzegania przepisów</w:t>
      </w:r>
      <w:r w:rsidR="006A22D3" w:rsidRPr="006A22D3">
        <w:t xml:space="preserve"> z uwz</w:t>
      </w:r>
      <w:r w:rsidRPr="006A22D3">
        <w:t>ględnieniem skutecznych sankcji (44 %).</w:t>
      </w:r>
    </w:p>
  </w:footnote>
  <w:footnote w:id="70">
    <w:p w:rsidR="00036C67" w:rsidRPr="006A22D3" w:rsidRDefault="00036C67">
      <w:pPr>
        <w:pStyle w:val="FootnoteText"/>
      </w:pPr>
      <w:r w:rsidRPr="006A22D3">
        <w:rPr>
          <w:rStyle w:val="FootnoteReference"/>
        </w:rPr>
        <w:footnoteRef/>
      </w:r>
      <w:r w:rsidRPr="006A22D3">
        <w:tab/>
        <w:t>Zob. odesłanie</w:t>
      </w:r>
      <w:r w:rsidR="006A22D3" w:rsidRPr="006A22D3">
        <w:t xml:space="preserve"> w prz</w:t>
      </w:r>
      <w:r w:rsidRPr="006A22D3">
        <w:t xml:space="preserve">ypisie 8. </w:t>
      </w:r>
    </w:p>
  </w:footnote>
  <w:footnote w:id="71">
    <w:p w:rsidR="00036C67" w:rsidRPr="006A22D3" w:rsidRDefault="00036C67">
      <w:pPr>
        <w:pStyle w:val="FootnoteText"/>
      </w:pPr>
      <w:r w:rsidRPr="006A22D3">
        <w:rPr>
          <w:rStyle w:val="FootnoteReference"/>
        </w:rPr>
        <w:footnoteRef/>
      </w:r>
      <w:r w:rsidRPr="006A22D3">
        <w:tab/>
        <w:t>Komisja Europejska, Dyrekcja Generalna ds. Sprawiedliwości</w:t>
      </w:r>
      <w:r w:rsidR="006A22D3" w:rsidRPr="006A22D3">
        <w:t xml:space="preserve"> i Kon</w:t>
      </w:r>
      <w:r w:rsidRPr="006A22D3">
        <w:t>sumentów, Badanie dotyczące obowiązków dyrektorów</w:t>
      </w:r>
      <w:r w:rsidR="006A22D3" w:rsidRPr="006A22D3">
        <w:t xml:space="preserve"> i zró</w:t>
      </w:r>
      <w:r w:rsidRPr="006A22D3">
        <w:t xml:space="preserve">wnoważonego ładu korporacyjnego: sprawozdanie końcowe, Urząd Publikacji, 2020, </w:t>
      </w:r>
      <w:hyperlink r:id="rId16" w:history="1">
        <w:r w:rsidRPr="006A22D3">
          <w:rPr>
            <w:rStyle w:val="Hyperlink"/>
          </w:rPr>
          <w:t>https://data.europa.eu/doi/10.2838/472901</w:t>
        </w:r>
      </w:hyperlink>
      <w:r w:rsidRPr="006A22D3">
        <w:t xml:space="preserve"> </w:t>
      </w:r>
      <w:r w:rsidRPr="006A22D3">
        <w:rPr>
          <w:rStyle w:val="Hyperlink"/>
        </w:rPr>
        <w:t>https://data.europa.eu/doi/10.2838/472901</w:t>
      </w:r>
      <w:r w:rsidRPr="006A22D3">
        <w:t xml:space="preserve"> </w:t>
      </w:r>
    </w:p>
  </w:footnote>
  <w:footnote w:id="72">
    <w:p w:rsidR="00036C67" w:rsidRPr="006A22D3" w:rsidRDefault="00036C67">
      <w:pPr>
        <w:pStyle w:val="FootnoteText"/>
      </w:pPr>
      <w:r w:rsidRPr="006A22D3">
        <w:rPr>
          <w:rStyle w:val="FootnoteReference"/>
        </w:rPr>
        <w:footnoteRef/>
      </w:r>
      <w:r w:rsidRPr="006A22D3">
        <w:tab/>
        <w:t>SEC(2022) 95.</w:t>
      </w:r>
    </w:p>
  </w:footnote>
  <w:footnote w:id="73">
    <w:p w:rsidR="00036C67" w:rsidRPr="006A22D3" w:rsidRDefault="00036C67" w:rsidP="00E16026">
      <w:pPr>
        <w:pStyle w:val="FootnoteText"/>
      </w:pPr>
      <w:r w:rsidRPr="006A22D3">
        <w:rPr>
          <w:rStyle w:val="FootnoteReference"/>
        </w:rPr>
        <w:footnoteRef/>
      </w:r>
      <w:r w:rsidRPr="006A22D3">
        <w:tab/>
        <w:t xml:space="preserve">Zob. przypis </w:t>
      </w:r>
      <w:r w:rsidRPr="006A22D3">
        <w:fldChar w:fldCharType="begin"/>
      </w:r>
      <w:r w:rsidRPr="006A22D3">
        <w:instrText xml:space="preserve"> NOTEREF _Ref96025026 \h </w:instrText>
      </w:r>
      <w:r w:rsidRPr="006A22D3">
        <w:fldChar w:fldCharType="separate"/>
      </w:r>
      <w:r w:rsidRPr="006A22D3">
        <w:t>6</w:t>
      </w:r>
      <w:r w:rsidRPr="006A22D3">
        <w:fldChar w:fldCharType="end"/>
      </w:r>
      <w:r w:rsidRPr="006A22D3">
        <w:t>.</w:t>
      </w:r>
    </w:p>
  </w:footnote>
  <w:footnote w:id="74">
    <w:p w:rsidR="00036C67" w:rsidRPr="006A22D3" w:rsidRDefault="00036C67" w:rsidP="00BA3125">
      <w:pPr>
        <w:pStyle w:val="FootnoteText"/>
      </w:pPr>
      <w:r w:rsidRPr="006A22D3">
        <w:rPr>
          <w:rStyle w:val="FootnoteReference"/>
        </w:rPr>
        <w:footnoteRef/>
      </w:r>
      <w:r w:rsidRPr="006A22D3">
        <w:tab/>
        <w:t>Dz.U. C  z , s. .</w:t>
      </w:r>
    </w:p>
  </w:footnote>
  <w:footnote w:id="75">
    <w:p w:rsidR="00036C67" w:rsidRPr="006A22D3" w:rsidRDefault="00036C67">
      <w:pPr>
        <w:pStyle w:val="FootnoteText"/>
      </w:pPr>
      <w:r w:rsidRPr="006A22D3">
        <w:rPr>
          <w:rStyle w:val="FootnoteReference"/>
        </w:rPr>
        <w:footnoteRef/>
      </w:r>
      <w:r w:rsidRPr="006A22D3">
        <w:tab/>
        <w:t>Komunikat Komisji do Parlamentu Europejskiego, Rady Europejskiej, Rady, Komitetu Ekonomiczno-Społecznego</w:t>
      </w:r>
      <w:r w:rsidR="006A22D3" w:rsidRPr="006A22D3">
        <w:t xml:space="preserve"> i Kom</w:t>
      </w:r>
      <w:r w:rsidRPr="006A22D3">
        <w:t>itetu Regionów „Europejski Zielony Ład” (COM/2019/640 final).</w:t>
      </w:r>
    </w:p>
  </w:footnote>
  <w:footnote w:id="76">
    <w:p w:rsidR="00036C67" w:rsidRPr="006A22D3" w:rsidRDefault="00036C67" w:rsidP="00776FF8">
      <w:pPr>
        <w:pStyle w:val="FootnoteText"/>
      </w:pPr>
      <w:r w:rsidRPr="006A22D3">
        <w:rPr>
          <w:rStyle w:val="FootnoteReference"/>
        </w:rPr>
        <w:footnoteRef/>
      </w:r>
      <w:r w:rsidRPr="006A22D3">
        <w:tab/>
        <w:t>Komunikat Komisji do Parlamentu Europejskiego, Rady, Europejskiego Komitetu Ekonomiczno-Społecznego</w:t>
      </w:r>
      <w:r w:rsidR="006A22D3" w:rsidRPr="006A22D3">
        <w:t xml:space="preserve"> i Kom</w:t>
      </w:r>
      <w:r w:rsidRPr="006A22D3">
        <w:t>itetu Regionów – Silna Europa socjalna na rzecz sprawiedliwej transformacji (COM/2020/14 final).</w:t>
      </w:r>
    </w:p>
  </w:footnote>
  <w:footnote w:id="77">
    <w:p w:rsidR="00036C67" w:rsidRPr="006A22D3" w:rsidRDefault="00036C67">
      <w:pPr>
        <w:pStyle w:val="FootnoteText"/>
      </w:pPr>
      <w:r w:rsidRPr="006A22D3">
        <w:rPr>
          <w:rStyle w:val="FootnoteReference"/>
        </w:rPr>
        <w:footnoteRef/>
      </w:r>
      <w:r w:rsidRPr="006A22D3">
        <w:tab/>
        <w:t>Komunikat Komisji do Parlamentu Europejskiego, Rady</w:t>
      </w:r>
      <w:r w:rsidR="006A22D3" w:rsidRPr="006A22D3">
        <w:t xml:space="preserve"> i Eur</w:t>
      </w:r>
      <w:r w:rsidRPr="006A22D3">
        <w:t>opejskiego Komitetu Ekonomiczno-Społecznego</w:t>
      </w:r>
      <w:r w:rsidR="006A22D3" w:rsidRPr="006A22D3">
        <w:t xml:space="preserve"> w spr</w:t>
      </w:r>
      <w:r w:rsidRPr="006A22D3">
        <w:t>awie godnej pracy na całym świecie na rzecz globalnej sprawiedliwej transformacji</w:t>
      </w:r>
      <w:r w:rsidR="006A22D3" w:rsidRPr="006A22D3">
        <w:t xml:space="preserve"> i trw</w:t>
      </w:r>
      <w:r w:rsidRPr="006A22D3">
        <w:t>ałej odbudowy, COM(2022) 66 final.</w:t>
      </w:r>
    </w:p>
  </w:footnote>
  <w:footnote w:id="78">
    <w:p w:rsidR="00036C67" w:rsidRPr="006A22D3" w:rsidRDefault="00036C67" w:rsidP="008067EA">
      <w:pPr>
        <w:pStyle w:val="FootnoteText"/>
      </w:pPr>
      <w:r w:rsidRPr="006A22D3">
        <w:rPr>
          <w:rStyle w:val="FootnoteReference"/>
        </w:rPr>
        <w:footnoteRef/>
      </w:r>
      <w:r w:rsidRPr="006A22D3">
        <w:tab/>
        <w:t>„Enterprise Models and the EU agenda” [„Modele przedsiębiorstw</w:t>
      </w:r>
      <w:r w:rsidR="006A22D3" w:rsidRPr="006A22D3">
        <w:t xml:space="preserve"> i age</w:t>
      </w:r>
      <w:r w:rsidRPr="006A22D3">
        <w:t xml:space="preserve">nda UE”], </w:t>
      </w:r>
      <w:r w:rsidRPr="006A22D3">
        <w:rPr>
          <w:i/>
        </w:rPr>
        <w:t>CEPS Policy Insights</w:t>
      </w:r>
      <w:r w:rsidRPr="006A22D3">
        <w:t>, nr PI2021-02/ styczeń 2021.</w:t>
      </w:r>
    </w:p>
  </w:footnote>
  <w:footnote w:id="79">
    <w:p w:rsidR="00036C67" w:rsidRPr="006A22D3" w:rsidRDefault="00036C67" w:rsidP="008067EA">
      <w:pPr>
        <w:pStyle w:val="FootnoteText"/>
      </w:pPr>
      <w:r w:rsidRPr="006A22D3">
        <w:rPr>
          <w:rStyle w:val="FootnoteReference"/>
        </w:rPr>
        <w:footnoteRef/>
      </w:r>
      <w:r w:rsidRPr="006A22D3">
        <w:tab/>
        <w:t xml:space="preserve">Np. </w:t>
      </w:r>
      <w:hyperlink r:id="rId17" w:history="1">
        <w:r w:rsidRPr="006A22D3">
          <w:rPr>
            <w:rStyle w:val="Hyperlink"/>
          </w:rPr>
          <w:t>https://www.economie.gouv.fr/entreprises/societe-mission</w:t>
        </w:r>
      </w:hyperlink>
      <w:r w:rsidRPr="006A22D3">
        <w:t xml:space="preserve"> </w:t>
      </w:r>
    </w:p>
  </w:footnote>
  <w:footnote w:id="80">
    <w:p w:rsidR="00036C67" w:rsidRPr="006A22D3" w:rsidRDefault="00036C67" w:rsidP="00ED3016">
      <w:pPr>
        <w:pStyle w:val="FootnoteText"/>
      </w:pPr>
      <w:r w:rsidRPr="006A22D3">
        <w:rPr>
          <w:rStyle w:val="FootnoteReference"/>
        </w:rPr>
        <w:footnoteRef/>
      </w:r>
      <w:r w:rsidRPr="006A22D3">
        <w:tab/>
        <w:t>Organizacja Narodów Zjednoczonych, „Wytyczne dotyczące biznesu</w:t>
      </w:r>
      <w:r w:rsidR="006A22D3" w:rsidRPr="006A22D3">
        <w:t xml:space="preserve"> i pra</w:t>
      </w:r>
      <w:r w:rsidRPr="006A22D3">
        <w:t>w człowieka: wdrażanie dokumentu ramowego ONZ »Chronić, szanować</w:t>
      </w:r>
      <w:r w:rsidR="006A22D3" w:rsidRPr="006A22D3">
        <w:t xml:space="preserve"> i nap</w:t>
      </w:r>
      <w:r w:rsidRPr="006A22D3">
        <w:t xml:space="preserve">rawiać«” (2011 r.), dokument dostępny pod adresem </w:t>
      </w:r>
      <w:hyperlink r:id="rId18" w:history="1">
        <w:r w:rsidRPr="006A22D3">
          <w:rPr>
            <w:rStyle w:val="Hyperlink"/>
          </w:rPr>
          <w:t>https://www.ohchr.org/documents/publications/guidingprinciplesbusinesshr_en.pdf</w:t>
        </w:r>
      </w:hyperlink>
    </w:p>
  </w:footnote>
  <w:footnote w:id="81">
    <w:p w:rsidR="00036C67" w:rsidRPr="006A22D3" w:rsidRDefault="00036C67" w:rsidP="005731C2">
      <w:pPr>
        <w:pStyle w:val="FootnoteText"/>
      </w:pPr>
      <w:r w:rsidRPr="006A22D3">
        <w:rPr>
          <w:rStyle w:val="FootnoteReference"/>
        </w:rPr>
        <w:footnoteRef/>
      </w:r>
      <w:r w:rsidRPr="006A22D3">
        <w:tab/>
        <w:t>Wytyczne OECD dla przedsiębiorstw wielonarodowych, zaktualizowana edycja</w:t>
      </w:r>
      <w:r w:rsidR="006A22D3" w:rsidRPr="006A22D3">
        <w:t xml:space="preserve"> z 2</w:t>
      </w:r>
      <w:r w:rsidRPr="006A22D3">
        <w:t>011 r., dokument dostępny pod adresem: http://mneguidelines.oecd.org/guidelines/</w:t>
      </w:r>
      <w:r w:rsidRPr="006A22D3">
        <w:fldChar w:fldCharType="begin"/>
      </w:r>
      <w:r w:rsidRPr="006A22D3">
        <w:instrText xml:space="preserve">https://mneguidelines.oecd.org/mneguidelines/" </w:instrText>
      </w:r>
      <w:r w:rsidRPr="006A22D3">
        <w:fldChar w:fldCharType="separate"/>
      </w:r>
      <w:r w:rsidRPr="006A22D3">
        <w:rPr>
          <w:rStyle w:val="Hyperlink"/>
        </w:rPr>
        <w:t>https://mneguidelines.oecd.org/mneguidelines/</w:t>
      </w:r>
      <w:r w:rsidRPr="006A22D3">
        <w:fldChar w:fldCharType="end"/>
      </w:r>
    </w:p>
  </w:footnote>
  <w:footnote w:id="82">
    <w:p w:rsidR="00036C67" w:rsidRPr="006A22D3" w:rsidRDefault="00036C67">
      <w:pPr>
        <w:pStyle w:val="FootnoteText"/>
      </w:pPr>
      <w:r w:rsidRPr="006A22D3">
        <w:rPr>
          <w:rStyle w:val="FootnoteReference"/>
        </w:rPr>
        <w:footnoteRef/>
      </w:r>
      <w:r w:rsidRPr="006A22D3">
        <w:tab/>
        <w:t xml:space="preserve">Wytyczne OECD dotyczące odpowiedzialnego prowadzenia działalności gospodarczej, 2018, oraz wytyczne dla poszczególnych sektorów, dostępne pod adresem </w:t>
      </w:r>
      <w:hyperlink r:id="rId19" w:history="1">
        <w:r w:rsidRPr="006A22D3">
          <w:rPr>
            <w:rStyle w:val="Hyperlink"/>
          </w:rPr>
          <w:t>https://www.oecd.org/investment/due-diligence-guidance-for-responsible-business-conduct.htm</w:t>
        </w:r>
      </w:hyperlink>
    </w:p>
  </w:footnote>
  <w:footnote w:id="83">
    <w:p w:rsidR="00036C67" w:rsidRPr="006A22D3" w:rsidRDefault="00036C67" w:rsidP="00ED3016">
      <w:pPr>
        <w:pStyle w:val="FootnoteText"/>
      </w:pPr>
      <w:r w:rsidRPr="006A22D3">
        <w:rPr>
          <w:rStyle w:val="FootnoteReference"/>
        </w:rPr>
        <w:footnoteRef/>
      </w:r>
      <w:r w:rsidRPr="006A22D3">
        <w:tab/>
        <w:t>Trójstronna deklaracja zasad dotyczących przedsiębiorstw wielonarodowych</w:t>
      </w:r>
      <w:r w:rsidR="006A22D3" w:rsidRPr="006A22D3">
        <w:t xml:space="preserve"> i pol</w:t>
      </w:r>
      <w:r w:rsidRPr="006A22D3">
        <w:t xml:space="preserve">ityki społecznej przyjęta przez Międzynarodową Organizację Pracy, piąta edycja, 2017, dokument dostępny pod adresem: </w:t>
      </w:r>
      <w:hyperlink r:id="rId20" w:history="1">
        <w:r w:rsidRPr="006A22D3">
          <w:rPr>
            <w:rStyle w:val="Hyperlink"/>
          </w:rPr>
          <w:t>https://www.ilo.org/empent/Publications/WCMS_094386/lang--en/index.htm</w:t>
        </w:r>
      </w:hyperlink>
    </w:p>
  </w:footnote>
  <w:footnote w:id="84">
    <w:p w:rsidR="00036C67" w:rsidRPr="006A22D3" w:rsidRDefault="00036C67" w:rsidP="00ED3016">
      <w:pPr>
        <w:pStyle w:val="FootnoteText"/>
      </w:pPr>
      <w:r w:rsidRPr="006A22D3">
        <w:rPr>
          <w:rStyle w:val="FootnoteReference"/>
        </w:rPr>
        <w:footnoteRef/>
      </w:r>
      <w:r w:rsidRPr="006A22D3">
        <w:tab/>
      </w:r>
      <w:hyperlink r:id="rId21" w:history="1">
        <w:r w:rsidRPr="006A22D3">
          <w:rPr>
            <w:rStyle w:val="Hyperlink"/>
          </w:rPr>
          <w:t>https://www.un.org/ga/search/view_doc.asp?symbol=A/RES/70/1&amp;Lang=E</w:t>
        </w:r>
      </w:hyperlink>
    </w:p>
  </w:footnote>
  <w:footnote w:id="85">
    <w:p w:rsidR="00036C67" w:rsidRPr="006A22D3" w:rsidRDefault="00036C67">
      <w:pPr>
        <w:pStyle w:val="FootnoteText"/>
      </w:pPr>
      <w:r w:rsidRPr="006A22D3">
        <w:rPr>
          <w:rStyle w:val="FootnoteReference"/>
        </w:rPr>
        <w:footnoteRef/>
      </w:r>
      <w:r w:rsidRPr="006A22D3">
        <w:tab/>
      </w:r>
      <w:hyperlink r:id="rId22" w:history="1">
        <w:r w:rsidRPr="006A22D3">
          <w:rPr>
            <w:rStyle w:val="Hyperlink"/>
          </w:rPr>
          <w:t>https://unfccc.int/files/essential_background/convention/application/pdf/english_paris_agreement.pdf</w:t>
        </w:r>
      </w:hyperlink>
      <w:r w:rsidRPr="006A22D3">
        <w:t>.</w:t>
      </w:r>
    </w:p>
  </w:footnote>
  <w:footnote w:id="86">
    <w:p w:rsidR="00036C67" w:rsidRPr="006A22D3" w:rsidRDefault="00036C67">
      <w:pPr>
        <w:pStyle w:val="FootnoteText"/>
      </w:pPr>
      <w:r w:rsidRPr="006A22D3">
        <w:rPr>
          <w:rStyle w:val="FootnoteReference"/>
        </w:rPr>
        <w:footnoteRef/>
      </w:r>
      <w:r w:rsidRPr="006A22D3">
        <w:tab/>
        <w:t>Pakt klimatyczny</w:t>
      </w:r>
      <w:r w:rsidR="006A22D3" w:rsidRPr="006A22D3">
        <w:t xml:space="preserve"> z Gla</w:t>
      </w:r>
      <w:r w:rsidRPr="006A22D3">
        <w:t>sgow, przyjęty 13 listopada 2021 r. podczas COP26</w:t>
      </w:r>
      <w:r w:rsidR="006A22D3" w:rsidRPr="006A22D3">
        <w:t xml:space="preserve"> w Gla</w:t>
      </w:r>
      <w:r w:rsidRPr="006A22D3">
        <w:t xml:space="preserve">sgow, </w:t>
      </w:r>
      <w:hyperlink r:id="rId23" w:history="1">
        <w:r w:rsidRPr="006A22D3">
          <w:rPr>
            <w:rStyle w:val="Hyperlink"/>
          </w:rPr>
          <w:t>https://unfccc.int/sites/default/files/resource/cma2021_L16_adv.pdf</w:t>
        </w:r>
      </w:hyperlink>
      <w:r w:rsidRPr="006A22D3">
        <w:t xml:space="preserve"> </w:t>
      </w:r>
      <w:r w:rsidRPr="006A22D3">
        <w:rPr>
          <w:rStyle w:val="Hyperlink"/>
        </w:rPr>
        <w:t>https://unfccc.int/sites/default/files/resource/cma2021_L16_adv.pdf</w:t>
      </w:r>
    </w:p>
  </w:footnote>
  <w:footnote w:id="87">
    <w:p w:rsidR="00036C67" w:rsidRPr="006A22D3" w:rsidRDefault="00036C67" w:rsidP="00ED3016">
      <w:pPr>
        <w:pStyle w:val="NormalWeb"/>
        <w:shd w:val="clear" w:color="auto" w:fill="FFFFFF" w:themeFill="background1"/>
        <w:spacing w:before="0" w:beforeAutospacing="0" w:after="0" w:afterAutospacing="0"/>
        <w:ind w:left="709" w:hanging="709"/>
        <w:jc w:val="both"/>
      </w:pPr>
      <w:r w:rsidRPr="006A22D3">
        <w:rPr>
          <w:rStyle w:val="FootnoteReference"/>
        </w:rPr>
        <w:footnoteRef/>
      </w:r>
      <w:r w:rsidRPr="006A22D3">
        <w:tab/>
      </w:r>
      <w:r w:rsidRPr="006A22D3">
        <w:rPr>
          <w:sz w:val="20"/>
          <w:szCs w:val="20"/>
        </w:rPr>
        <w:t>Rozporządzenie Parlamentu Europejskiego</w:t>
      </w:r>
      <w:r w:rsidR="006A22D3" w:rsidRPr="006A22D3">
        <w:rPr>
          <w:sz w:val="20"/>
          <w:szCs w:val="20"/>
        </w:rPr>
        <w:t xml:space="preserve"> i Rad</w:t>
      </w:r>
      <w:r w:rsidRPr="006A22D3">
        <w:rPr>
          <w:sz w:val="20"/>
          <w:szCs w:val="20"/>
        </w:rPr>
        <w:t>y (UE) 2021/1119</w:t>
      </w:r>
      <w:r w:rsidR="006A22D3" w:rsidRPr="006A22D3">
        <w:rPr>
          <w:sz w:val="20"/>
          <w:szCs w:val="20"/>
        </w:rPr>
        <w:t xml:space="preserve"> z dni</w:t>
      </w:r>
      <w:r w:rsidRPr="006A22D3">
        <w:rPr>
          <w:sz w:val="20"/>
          <w:szCs w:val="20"/>
        </w:rPr>
        <w:t>a 30 czerwca 2021 r.</w:t>
      </w:r>
      <w:r w:rsidR="006A22D3" w:rsidRPr="006A22D3">
        <w:rPr>
          <w:sz w:val="20"/>
          <w:szCs w:val="20"/>
        </w:rPr>
        <w:t xml:space="preserve"> w spr</w:t>
      </w:r>
      <w:r w:rsidRPr="006A22D3">
        <w:rPr>
          <w:sz w:val="20"/>
          <w:szCs w:val="20"/>
        </w:rPr>
        <w:t>awie ustanowienia ram na potrzeby osiągnięcia neutralności klimatycznej</w:t>
      </w:r>
      <w:r w:rsidR="006A22D3" w:rsidRPr="006A22D3">
        <w:rPr>
          <w:sz w:val="20"/>
          <w:szCs w:val="20"/>
        </w:rPr>
        <w:t xml:space="preserve"> i zmi</w:t>
      </w:r>
      <w:r w:rsidRPr="006A22D3">
        <w:rPr>
          <w:sz w:val="20"/>
          <w:szCs w:val="20"/>
        </w:rPr>
        <w:t>any rozporządzeń (WE) nr 401/2009 i (UE) 2018/1999 (Europejskie prawo</w:t>
      </w:r>
      <w:r w:rsidR="006A22D3" w:rsidRPr="006A22D3">
        <w:rPr>
          <w:sz w:val="20"/>
          <w:szCs w:val="20"/>
        </w:rPr>
        <w:t xml:space="preserve"> o kli</w:t>
      </w:r>
      <w:r w:rsidRPr="006A22D3">
        <w:rPr>
          <w:sz w:val="20"/>
          <w:szCs w:val="20"/>
        </w:rPr>
        <w:t>macie) PE/27/2021/REV/1 (Dz.U. L 243</w:t>
      </w:r>
      <w:r w:rsidR="006A22D3" w:rsidRPr="006A22D3">
        <w:rPr>
          <w:sz w:val="20"/>
          <w:szCs w:val="20"/>
        </w:rPr>
        <w:t xml:space="preserve"> z 9</w:t>
      </w:r>
      <w:r w:rsidRPr="006A22D3">
        <w:rPr>
          <w:sz w:val="20"/>
          <w:szCs w:val="20"/>
        </w:rPr>
        <w:t>.7.2021, s. 1).</w:t>
      </w:r>
    </w:p>
  </w:footnote>
  <w:footnote w:id="88">
    <w:p w:rsidR="00036C67" w:rsidRPr="006A22D3" w:rsidRDefault="00036C67">
      <w:pPr>
        <w:pStyle w:val="FootnoteText"/>
      </w:pPr>
      <w:r w:rsidRPr="006A22D3">
        <w:rPr>
          <w:rStyle w:val="FootnoteReference"/>
        </w:rPr>
        <w:footnoteRef/>
      </w:r>
      <w:r w:rsidRPr="006A22D3">
        <w:tab/>
        <w:t>SWD/2020/176 final.</w:t>
      </w:r>
    </w:p>
  </w:footnote>
  <w:footnote w:id="89">
    <w:p w:rsidR="00036C67" w:rsidRPr="006A22D3" w:rsidRDefault="00036C67" w:rsidP="001570E0">
      <w:pPr>
        <w:pStyle w:val="FootnoteText"/>
        <w:ind w:left="709" w:hanging="709"/>
      </w:pPr>
      <w:r w:rsidRPr="006A22D3">
        <w:rPr>
          <w:rStyle w:val="FootnoteReference"/>
        </w:rPr>
        <w:footnoteRef/>
      </w:r>
      <w:r w:rsidRPr="006A22D3">
        <w:tab/>
        <w:t xml:space="preserve">COM/2019/640 final. </w:t>
      </w:r>
    </w:p>
  </w:footnote>
  <w:footnote w:id="90">
    <w:p w:rsidR="00036C67" w:rsidRPr="006A22D3" w:rsidRDefault="00036C67">
      <w:pPr>
        <w:pStyle w:val="FootnoteText"/>
      </w:pPr>
      <w:r w:rsidRPr="006A22D3">
        <w:rPr>
          <w:rStyle w:val="FootnoteReference"/>
        </w:rPr>
        <w:footnoteRef/>
      </w:r>
      <w:r w:rsidRPr="006A22D3">
        <w:tab/>
        <w:t>Komunikat Komisji do Parlamentu Europejskiego, Rady, Europejskiego Komitetu Ekonomiczno-Społecznego</w:t>
      </w:r>
      <w:r w:rsidR="006A22D3" w:rsidRPr="006A22D3">
        <w:t xml:space="preserve"> i Kom</w:t>
      </w:r>
      <w:r w:rsidRPr="006A22D3">
        <w:t>itetu Regionów „Budując Europę odporną na zmianę klimatu – nowa Strategia</w:t>
      </w:r>
      <w:r w:rsidR="006A22D3" w:rsidRPr="006A22D3">
        <w:t xml:space="preserve"> w zak</w:t>
      </w:r>
      <w:r w:rsidRPr="006A22D3">
        <w:t>resie przystosowania do zmiany klimatu” (COM/2021/82 final) dostępny pod adresem https://eur-lex.europa.eu/legal-content/PL/TXT/?uri=CELEX:52021DC0082</w:t>
      </w:r>
    </w:p>
  </w:footnote>
  <w:footnote w:id="91">
    <w:p w:rsidR="00036C67" w:rsidRPr="006A22D3" w:rsidRDefault="00036C67">
      <w:pPr>
        <w:pStyle w:val="FootnoteText"/>
      </w:pPr>
      <w:r w:rsidRPr="006A22D3">
        <w:rPr>
          <w:rStyle w:val="FootnoteReference"/>
        </w:rPr>
        <w:footnoteRef/>
      </w:r>
      <w:r w:rsidRPr="006A22D3">
        <w:tab/>
        <w:t>Dz.U. C […] z […], s. […].</w:t>
      </w:r>
    </w:p>
  </w:footnote>
  <w:footnote w:id="92">
    <w:p w:rsidR="00036C67" w:rsidRPr="006A22D3" w:rsidRDefault="00036C67" w:rsidP="00ED3016">
      <w:pPr>
        <w:pStyle w:val="NormalWeb"/>
        <w:shd w:val="clear" w:color="auto" w:fill="FFFFFF" w:themeFill="background1"/>
        <w:spacing w:before="0" w:beforeAutospacing="0" w:after="0" w:afterAutospacing="0"/>
        <w:ind w:left="709" w:hanging="709"/>
        <w:jc w:val="both"/>
      </w:pPr>
      <w:r w:rsidRPr="006A22D3">
        <w:rPr>
          <w:rStyle w:val="FootnoteReference"/>
        </w:rPr>
        <w:footnoteRef/>
      </w:r>
      <w:r w:rsidRPr="006A22D3">
        <w:rPr>
          <w:sz w:val="20"/>
          <w:szCs w:val="20"/>
        </w:rPr>
        <w:tab/>
        <w:t>Komunikat Komisji do Parlamentu Europejskiego, Rady, Europejskiego Komitetu Ekonomiczno-Społecznego</w:t>
      </w:r>
      <w:r w:rsidR="006A22D3" w:rsidRPr="006A22D3">
        <w:rPr>
          <w:sz w:val="20"/>
          <w:szCs w:val="20"/>
        </w:rPr>
        <w:t xml:space="preserve"> i Kom</w:t>
      </w:r>
      <w:r w:rsidRPr="006A22D3">
        <w:rPr>
          <w:sz w:val="20"/>
          <w:szCs w:val="20"/>
        </w:rPr>
        <w:t>itetu Regionów – Nowy plan działania UE dotyczący gospodarki</w:t>
      </w:r>
      <w:r w:rsidR="006A22D3" w:rsidRPr="006A22D3">
        <w:rPr>
          <w:sz w:val="20"/>
          <w:szCs w:val="20"/>
        </w:rPr>
        <w:t xml:space="preserve"> o obi</w:t>
      </w:r>
      <w:r w:rsidRPr="006A22D3">
        <w:rPr>
          <w:sz w:val="20"/>
          <w:szCs w:val="20"/>
        </w:rPr>
        <w:t>egu zamkniętym na rzecz czystszej</w:t>
      </w:r>
      <w:r w:rsidR="006A22D3" w:rsidRPr="006A22D3">
        <w:rPr>
          <w:sz w:val="20"/>
          <w:szCs w:val="20"/>
        </w:rPr>
        <w:t xml:space="preserve"> i bar</w:t>
      </w:r>
      <w:r w:rsidRPr="006A22D3">
        <w:rPr>
          <w:sz w:val="20"/>
          <w:szCs w:val="20"/>
        </w:rPr>
        <w:t>dziej konkurencyjnej Europy (COM/2020/98 final).</w:t>
      </w:r>
    </w:p>
  </w:footnote>
  <w:footnote w:id="93">
    <w:p w:rsidR="00036C67" w:rsidRPr="006A22D3" w:rsidRDefault="00036C67" w:rsidP="00ED3016">
      <w:pPr>
        <w:pStyle w:val="NormalWeb"/>
        <w:shd w:val="clear" w:color="auto" w:fill="FFFFFF" w:themeFill="background1"/>
        <w:spacing w:before="0" w:beforeAutospacing="0" w:after="0" w:afterAutospacing="0"/>
        <w:ind w:left="709" w:hanging="709"/>
        <w:jc w:val="both"/>
      </w:pPr>
      <w:r w:rsidRPr="006A22D3">
        <w:rPr>
          <w:rStyle w:val="FootnoteReference"/>
        </w:rPr>
        <w:footnoteRef/>
      </w:r>
      <w:r w:rsidRPr="006A22D3">
        <w:rPr>
          <w:sz w:val="20"/>
          <w:szCs w:val="20"/>
        </w:rPr>
        <w:tab/>
        <w:t>Komunikat Komisji do Parlamentu Europejskiego, Rady, Europejskiego Komitetu Ekonomiczno-Społecznego</w:t>
      </w:r>
      <w:r w:rsidR="006A22D3" w:rsidRPr="006A22D3">
        <w:rPr>
          <w:sz w:val="20"/>
          <w:szCs w:val="20"/>
        </w:rPr>
        <w:t xml:space="preserve"> i Kom</w:t>
      </w:r>
      <w:r w:rsidRPr="006A22D3">
        <w:rPr>
          <w:sz w:val="20"/>
          <w:szCs w:val="20"/>
        </w:rPr>
        <w:t>itetu Regionów – Unijna strategia na rzecz bioróżnorodności 2030 – Przywracanie przyrody do naszego życia (COM/2020/380 final).</w:t>
      </w:r>
    </w:p>
  </w:footnote>
  <w:footnote w:id="94">
    <w:p w:rsidR="00036C67" w:rsidRPr="006A22D3" w:rsidRDefault="00036C67" w:rsidP="00ED3016">
      <w:pPr>
        <w:pStyle w:val="NormalWeb"/>
        <w:shd w:val="clear" w:color="auto" w:fill="FFFFFF" w:themeFill="background1"/>
        <w:spacing w:before="0" w:beforeAutospacing="0" w:after="0" w:afterAutospacing="0"/>
        <w:ind w:left="709" w:hanging="709"/>
        <w:jc w:val="both"/>
      </w:pPr>
      <w:r w:rsidRPr="006A22D3">
        <w:rPr>
          <w:rStyle w:val="FootnoteReference"/>
        </w:rPr>
        <w:footnoteRef/>
      </w:r>
      <w:r w:rsidRPr="006A22D3">
        <w:rPr>
          <w:sz w:val="20"/>
          <w:szCs w:val="20"/>
          <w:vertAlign w:val="subscript"/>
        </w:rPr>
        <w:tab/>
      </w:r>
      <w:r w:rsidRPr="006A22D3">
        <w:rPr>
          <w:sz w:val="20"/>
          <w:szCs w:val="20"/>
        </w:rPr>
        <w:t>Komunikat Komisji do Parlamentu Europejskiego, Rady, Europejskiego Komitetu Ekonomiczno-Społecznego</w:t>
      </w:r>
      <w:r w:rsidR="006A22D3" w:rsidRPr="006A22D3">
        <w:rPr>
          <w:sz w:val="20"/>
          <w:szCs w:val="20"/>
        </w:rPr>
        <w:t xml:space="preserve"> i Kom</w:t>
      </w:r>
      <w:r w:rsidRPr="006A22D3">
        <w:rPr>
          <w:sz w:val="20"/>
          <w:szCs w:val="20"/>
        </w:rPr>
        <w:t>itetu Regionów, Strategia „od pola do stołu” na rzecz sprawiedliwego, zdrowego</w:t>
      </w:r>
      <w:r w:rsidR="006A22D3" w:rsidRPr="006A22D3">
        <w:rPr>
          <w:sz w:val="20"/>
          <w:szCs w:val="20"/>
        </w:rPr>
        <w:t xml:space="preserve"> i prz</w:t>
      </w:r>
      <w:r w:rsidRPr="006A22D3">
        <w:rPr>
          <w:sz w:val="20"/>
          <w:szCs w:val="20"/>
        </w:rPr>
        <w:t>yjaznego dla środowiska systemu żywnościowego (COM/2020/381 final).</w:t>
      </w:r>
    </w:p>
  </w:footnote>
  <w:footnote w:id="95">
    <w:p w:rsidR="00036C67" w:rsidRPr="006A22D3" w:rsidRDefault="00036C67" w:rsidP="00ED3016">
      <w:pPr>
        <w:pStyle w:val="NormalWeb"/>
        <w:shd w:val="clear" w:color="auto" w:fill="FFFFFF" w:themeFill="background1"/>
        <w:spacing w:before="0" w:beforeAutospacing="0" w:after="0" w:afterAutospacing="0"/>
        <w:ind w:left="709" w:hanging="709"/>
        <w:jc w:val="both"/>
      </w:pPr>
      <w:r w:rsidRPr="006A22D3">
        <w:rPr>
          <w:rStyle w:val="FootnoteReference"/>
        </w:rPr>
        <w:footnoteRef/>
      </w:r>
      <w:r w:rsidRPr="006A22D3">
        <w:rPr>
          <w:sz w:val="20"/>
          <w:szCs w:val="20"/>
        </w:rPr>
        <w:tab/>
        <w:t>Komunikat Komisji do Parlamentu Europejskiego, Rady, Europejskiego Komitetu Ekonomiczno-Społecznego</w:t>
      </w:r>
      <w:r w:rsidR="006A22D3" w:rsidRPr="006A22D3">
        <w:rPr>
          <w:sz w:val="20"/>
          <w:szCs w:val="20"/>
        </w:rPr>
        <w:t xml:space="preserve"> i Kom</w:t>
      </w:r>
      <w:r w:rsidRPr="006A22D3">
        <w:rPr>
          <w:sz w:val="20"/>
          <w:szCs w:val="20"/>
        </w:rPr>
        <w:t xml:space="preserve">itetu Regionów, </w:t>
      </w:r>
      <w:r w:rsidRPr="006A22D3">
        <w:rPr>
          <w:sz w:val="20"/>
          <w:szCs w:val="20"/>
        </w:rPr>
        <w:tab/>
        <w:t>„Strategia</w:t>
      </w:r>
      <w:r w:rsidR="006A22D3" w:rsidRPr="006A22D3">
        <w:rPr>
          <w:sz w:val="20"/>
          <w:szCs w:val="20"/>
        </w:rPr>
        <w:t xml:space="preserve"> w zak</w:t>
      </w:r>
      <w:r w:rsidRPr="006A22D3">
        <w:rPr>
          <w:sz w:val="20"/>
          <w:szCs w:val="20"/>
        </w:rPr>
        <w:t>resie chemikaliów na rzecz zrównoważoności na rzecz nietoksycznego środowiska” (COM/2020/667 final).</w:t>
      </w:r>
    </w:p>
  </w:footnote>
  <w:footnote w:id="96">
    <w:p w:rsidR="00036C67" w:rsidRPr="006A22D3" w:rsidRDefault="00036C67" w:rsidP="00ED3016">
      <w:pPr>
        <w:pStyle w:val="FootnoteText"/>
      </w:pPr>
      <w:r w:rsidRPr="006A22D3">
        <w:rPr>
          <w:rStyle w:val="FootnoteReference"/>
        </w:rPr>
        <w:footnoteRef/>
      </w:r>
      <w:r w:rsidRPr="006A22D3">
        <w:tab/>
        <w:t>Komunikat Komisji do Parlamentu Europejskiego, Rady, Europejskiego Komitetu Ekonomiczno-Społecznego</w:t>
      </w:r>
      <w:r w:rsidR="006A22D3" w:rsidRPr="006A22D3">
        <w:t xml:space="preserve"> i Kom</w:t>
      </w:r>
      <w:r w:rsidRPr="006A22D3">
        <w:t xml:space="preserve">itetu Regionów </w:t>
      </w:r>
      <w:r w:rsidRPr="006A22D3">
        <w:rPr>
          <w:rStyle w:val="Hyperlink"/>
          <w:color w:val="auto"/>
          <w:u w:val="none"/>
        </w:rPr>
        <w:t>„Aktualizacja nowej strategii przemysłowej</w:t>
      </w:r>
      <w:r w:rsidR="006A22D3" w:rsidRPr="006A22D3">
        <w:rPr>
          <w:rStyle w:val="Hyperlink"/>
          <w:color w:val="auto"/>
          <w:u w:val="none"/>
        </w:rPr>
        <w:t xml:space="preserve"> z 2</w:t>
      </w:r>
      <w:r w:rsidRPr="006A22D3">
        <w:rPr>
          <w:rStyle w:val="Hyperlink"/>
          <w:color w:val="auto"/>
          <w:u w:val="none"/>
        </w:rPr>
        <w:t>020 r. – tworzenie silniejszego jednolitego rynku sprzyjającego odbudowie Europy” (COM/2021/350 final).</w:t>
      </w:r>
    </w:p>
  </w:footnote>
  <w:footnote w:id="97">
    <w:p w:rsidR="00036C67" w:rsidRPr="006A22D3" w:rsidRDefault="00036C67" w:rsidP="0006227E">
      <w:pPr>
        <w:pStyle w:val="FootnoteText"/>
      </w:pPr>
      <w:r w:rsidRPr="006A22D3">
        <w:rPr>
          <w:rStyle w:val="FootnoteReference"/>
        </w:rPr>
        <w:footnoteRef/>
      </w:r>
      <w:r w:rsidRPr="006A22D3">
        <w:tab/>
        <w:t xml:space="preserve">Przemysł 5.0; </w:t>
      </w:r>
      <w:r w:rsidRPr="006A22D3">
        <w:rPr>
          <w:rStyle w:val="Hyperlink"/>
        </w:rPr>
        <w:t>https://ec.europa.eu/info/research-and-innovation/research-area/industrial-research-and-innovation/industry-50_en</w:t>
      </w:r>
    </w:p>
  </w:footnote>
  <w:footnote w:id="98">
    <w:p w:rsidR="00036C67" w:rsidRPr="006A22D3" w:rsidRDefault="00036C67" w:rsidP="000F3391">
      <w:pPr>
        <w:pStyle w:val="FootnoteText"/>
      </w:pPr>
      <w:r w:rsidRPr="006A22D3">
        <w:rPr>
          <w:rStyle w:val="FootnoteReference"/>
        </w:rPr>
        <w:footnoteRef/>
      </w:r>
      <w:r w:rsidRPr="006A22D3">
        <w:tab/>
      </w:r>
      <w:hyperlink r:id="rId24" w:history="1">
        <w:r w:rsidRPr="006A22D3">
          <w:rPr>
            <w:rStyle w:val="Hyperlink"/>
          </w:rPr>
          <w:t>https://op.europa.eu/webpub/empl/european-pillar-of-social-rights/pl/</w:t>
        </w:r>
      </w:hyperlink>
      <w:r w:rsidRPr="006A22D3">
        <w:t xml:space="preserve"> </w:t>
      </w:r>
    </w:p>
  </w:footnote>
  <w:footnote w:id="99">
    <w:p w:rsidR="00036C67" w:rsidRPr="006A22D3" w:rsidRDefault="00036C67">
      <w:pPr>
        <w:pStyle w:val="FootnoteText"/>
      </w:pPr>
      <w:r w:rsidRPr="006A22D3">
        <w:rPr>
          <w:rStyle w:val="FootnoteReference"/>
        </w:rPr>
        <w:footnoteRef/>
      </w:r>
      <w:r w:rsidRPr="006A22D3">
        <w:tab/>
        <w:t>Komunikat Komisji do Parlamentu Europejskiego, Rady, Europejskiego Komitetu Ekonomiczno-Społecznego</w:t>
      </w:r>
      <w:r w:rsidR="006A22D3" w:rsidRPr="006A22D3">
        <w:t xml:space="preserve"> i Kom</w:t>
      </w:r>
      <w:r w:rsidRPr="006A22D3">
        <w:t>itetu Regionów, Przegląd polityki handlowej – otwarta, zrównoważona</w:t>
      </w:r>
      <w:r w:rsidR="006A22D3" w:rsidRPr="006A22D3">
        <w:t xml:space="preserve"> i ase</w:t>
      </w:r>
      <w:r w:rsidRPr="006A22D3">
        <w:t>rtywna polityka handlowa (COM/2021/66 final).</w:t>
      </w:r>
    </w:p>
  </w:footnote>
  <w:footnote w:id="100">
    <w:p w:rsidR="00036C67" w:rsidRPr="006A22D3" w:rsidRDefault="00036C67">
      <w:pPr>
        <w:pStyle w:val="FootnoteText"/>
      </w:pPr>
      <w:r w:rsidRPr="006A22D3">
        <w:rPr>
          <w:rStyle w:val="FootnoteReference"/>
        </w:rPr>
        <w:footnoteRef/>
      </w:r>
      <w:r w:rsidRPr="006A22D3">
        <w:tab/>
        <w:t>Wspólny komunikat do Parlamentu Europejskiego</w:t>
      </w:r>
      <w:r w:rsidR="006A22D3" w:rsidRPr="006A22D3">
        <w:t xml:space="preserve"> i Rad</w:t>
      </w:r>
      <w:r w:rsidRPr="006A22D3">
        <w:t>y „Plan działania UE dotyczący praw człowieka</w:t>
      </w:r>
      <w:r w:rsidR="006A22D3" w:rsidRPr="006A22D3">
        <w:t xml:space="preserve"> i dem</w:t>
      </w:r>
      <w:r w:rsidRPr="006A22D3">
        <w:t xml:space="preserve">okracji na lata 2020–2024” (JOIN/2020/5 final). </w:t>
      </w:r>
    </w:p>
  </w:footnote>
  <w:footnote w:id="101">
    <w:p w:rsidR="00036C67" w:rsidRPr="006A22D3" w:rsidRDefault="00036C67" w:rsidP="00ED3016">
      <w:pPr>
        <w:pStyle w:val="FootnoteText"/>
      </w:pPr>
      <w:r w:rsidRPr="006A22D3">
        <w:rPr>
          <w:rStyle w:val="FootnoteReference"/>
        </w:rPr>
        <w:footnoteRef/>
      </w:r>
      <w:r w:rsidRPr="006A22D3">
        <w:tab/>
        <w:t>Rezolucja Parlamentu Europejskiego</w:t>
      </w:r>
      <w:r w:rsidR="006A22D3" w:rsidRPr="006A22D3">
        <w:t xml:space="preserve"> z dni</w:t>
      </w:r>
      <w:r w:rsidRPr="006A22D3">
        <w:t>a 10 marca 2021 r. zawierająca zalecenia dla Komisji dotyczące należytej staranności</w:t>
      </w:r>
      <w:r w:rsidR="006A22D3" w:rsidRPr="006A22D3">
        <w:t xml:space="preserve"> i odp</w:t>
      </w:r>
      <w:r w:rsidRPr="006A22D3">
        <w:t>owiedzialności przedsiębiorstw (2020/2129(INL)),</w:t>
      </w:r>
      <w:r w:rsidRPr="006A22D3">
        <w:rPr>
          <w:b/>
          <w:bCs/>
        </w:rPr>
        <w:t xml:space="preserve"> </w:t>
      </w:r>
      <w:r w:rsidRPr="006A22D3">
        <w:t xml:space="preserve">P9_TA(2021)0073, dokument dostępny pod adresem </w:t>
      </w:r>
      <w:hyperlink r:id="rId25" w:history="1">
        <w:r w:rsidRPr="006A22D3">
          <w:rPr>
            <w:rStyle w:val="Hyperlink"/>
          </w:rPr>
          <w:t>https://oeil.secure.europarl.europa.eu/oeil/popups/ficheprocedure.do?lang=en&amp;reference=2020/2129(INL)</w:t>
        </w:r>
      </w:hyperlink>
      <w:r w:rsidRPr="006A22D3">
        <w:rPr>
          <w:b/>
          <w:bCs/>
        </w:rPr>
        <w:t xml:space="preserve"> </w:t>
      </w:r>
    </w:p>
  </w:footnote>
  <w:footnote w:id="102">
    <w:p w:rsidR="00036C67" w:rsidRPr="006A22D3" w:rsidRDefault="00036C67" w:rsidP="00ED3016">
      <w:pPr>
        <w:pStyle w:val="FootnoteText"/>
      </w:pPr>
      <w:r w:rsidRPr="006A22D3">
        <w:rPr>
          <w:rStyle w:val="FootnoteReference"/>
        </w:rPr>
        <w:footnoteRef/>
      </w:r>
      <w:r w:rsidRPr="006A22D3">
        <w:tab/>
        <w:t>Konkluzje Rady</w:t>
      </w:r>
      <w:r w:rsidR="006A22D3" w:rsidRPr="006A22D3">
        <w:t xml:space="preserve"> z dni</w:t>
      </w:r>
      <w:r w:rsidRPr="006A22D3">
        <w:t>a 1 grudnia 2020 r.</w:t>
      </w:r>
      <w:r w:rsidR="006A22D3" w:rsidRPr="006A22D3">
        <w:t xml:space="preserve"> w spr</w:t>
      </w:r>
      <w:r w:rsidRPr="006A22D3">
        <w:t>awie praw człowieka</w:t>
      </w:r>
      <w:r w:rsidR="006A22D3" w:rsidRPr="006A22D3">
        <w:t xml:space="preserve"> i god</w:t>
      </w:r>
      <w:r w:rsidRPr="006A22D3">
        <w:t>nej pracy</w:t>
      </w:r>
      <w:r w:rsidR="006A22D3" w:rsidRPr="006A22D3">
        <w:t xml:space="preserve"> w glo</w:t>
      </w:r>
      <w:r w:rsidRPr="006A22D3">
        <w:t xml:space="preserve">balnych łańcuchach dostaw (13512/20). </w:t>
      </w:r>
    </w:p>
  </w:footnote>
  <w:footnote w:id="103">
    <w:p w:rsidR="00036C67" w:rsidRPr="006A22D3" w:rsidRDefault="00036C67" w:rsidP="00ED3016">
      <w:pPr>
        <w:pStyle w:val="FootnoteText"/>
      </w:pPr>
      <w:r w:rsidRPr="006A22D3">
        <w:rPr>
          <w:rStyle w:val="FootnoteReference"/>
        </w:rPr>
        <w:footnoteRef/>
      </w:r>
      <w:r w:rsidRPr="006A22D3">
        <w:tab/>
        <w:t>Wspólna deklaracja Parlamentu Europejskiego, Rady Unii Europejskiej</w:t>
      </w:r>
      <w:r w:rsidR="006A22D3" w:rsidRPr="006A22D3">
        <w:t xml:space="preserve"> i Kom</w:t>
      </w:r>
      <w:r w:rsidRPr="006A22D3">
        <w:t xml:space="preserve">isji Europejskiej – Priorytety legislacyjne UE na 2022 r., dokument dostępny pod adresem </w:t>
      </w:r>
      <w:hyperlink r:id="rId26" w:history="1">
        <w:r w:rsidRPr="006A22D3">
          <w:rPr>
            <w:rStyle w:val="Hyperlink"/>
          </w:rPr>
          <w:t>https://ec.europa.eu/info/sites/default/files/joint_declaration_2022.pdf</w:t>
        </w:r>
      </w:hyperlink>
    </w:p>
  </w:footnote>
  <w:footnote w:id="104">
    <w:p w:rsidR="00036C67" w:rsidRPr="006A22D3" w:rsidRDefault="00036C67" w:rsidP="00AF58E9">
      <w:pPr>
        <w:pStyle w:val="FootnoteText"/>
      </w:pPr>
      <w:r w:rsidRPr="006A22D3">
        <w:rPr>
          <w:rStyle w:val="FootnoteReference"/>
        </w:rPr>
        <w:footnoteRef/>
      </w:r>
      <w:r w:rsidRPr="006A22D3">
        <w:tab/>
        <w:t>Dyrektywa Parlamentu Europejskiego</w:t>
      </w:r>
      <w:r w:rsidR="006A22D3" w:rsidRPr="006A22D3">
        <w:t xml:space="preserve"> i Rad</w:t>
      </w:r>
      <w:r w:rsidRPr="006A22D3">
        <w:t>y (UE) 2018/957</w:t>
      </w:r>
      <w:r w:rsidR="006A22D3" w:rsidRPr="006A22D3">
        <w:t xml:space="preserve"> z dni</w:t>
      </w:r>
      <w:r w:rsidRPr="006A22D3">
        <w:t>a 28 czerwca 2018 r. zmieniająca dyrektywę 96/71/WE dotyczącą delegowania pracowników</w:t>
      </w:r>
      <w:r w:rsidR="006A22D3" w:rsidRPr="006A22D3">
        <w:t xml:space="preserve"> w ram</w:t>
      </w:r>
      <w:r w:rsidRPr="006A22D3">
        <w:t>ach świadczenia usług (Dz.U. L 173</w:t>
      </w:r>
      <w:r w:rsidR="006A22D3" w:rsidRPr="006A22D3">
        <w:t xml:space="preserve"> z 9</w:t>
      </w:r>
      <w:r w:rsidRPr="006A22D3">
        <w:t>.7.2018, s. 16).</w:t>
      </w:r>
    </w:p>
  </w:footnote>
  <w:footnote w:id="105">
    <w:p w:rsidR="00036C67" w:rsidRPr="006A22D3" w:rsidRDefault="00036C67" w:rsidP="00ED3016">
      <w:pPr>
        <w:pStyle w:val="FootnoteText"/>
      </w:pPr>
      <w:r w:rsidRPr="006A22D3">
        <w:rPr>
          <w:rStyle w:val="FootnoteReference"/>
        </w:rPr>
        <w:footnoteRef/>
      </w:r>
      <w:r w:rsidRPr="006A22D3">
        <w:tab/>
      </w:r>
      <w:hyperlink r:id="rId27" w:history="1">
        <w:r w:rsidRPr="006A22D3">
          <w:rPr>
            <w:rStyle w:val="Hyperlink"/>
          </w:rPr>
          <w:t>https://www.ungpreporting.org/wp-content/uploads/UNGPReportingFramework_withguidance2017.pdf</w:t>
        </w:r>
      </w:hyperlink>
      <w:r w:rsidRPr="006A22D3">
        <w:t xml:space="preserve"> </w:t>
      </w:r>
    </w:p>
  </w:footnote>
  <w:footnote w:id="106">
    <w:p w:rsidR="00036C67" w:rsidRPr="006A22D3" w:rsidRDefault="00036C67">
      <w:pPr>
        <w:pStyle w:val="FootnoteText"/>
      </w:pPr>
      <w:r w:rsidRPr="006A22D3">
        <w:rPr>
          <w:rStyle w:val="FootnoteReference"/>
        </w:rPr>
        <w:footnoteRef/>
      </w:r>
      <w:r w:rsidRPr="006A22D3">
        <w:tab/>
      </w:r>
      <w:hyperlink r:id="rId28" w:history="1">
        <w:r w:rsidRPr="006A22D3">
          <w:rPr>
            <w:rStyle w:val="Hyperlink"/>
          </w:rPr>
          <w:t>https://www.ohchr.org/Documents/Issues/Business/RtRInterpretativeGuide.pdf</w:t>
        </w:r>
      </w:hyperlink>
      <w:r w:rsidRPr="006A22D3">
        <w:t>.</w:t>
      </w:r>
      <w:r w:rsidRPr="006A22D3">
        <w:rPr>
          <w:rStyle w:val="Hyperlink"/>
        </w:rPr>
        <w:t>https://www.ohchr.org/Documents/Issues/Business/RtRInterpretativeGuide.pdf</w:t>
      </w:r>
    </w:p>
  </w:footnote>
  <w:footnote w:id="107">
    <w:p w:rsidR="00036C67" w:rsidRPr="006A22D3" w:rsidRDefault="00036C67" w:rsidP="00B87765">
      <w:pPr>
        <w:pStyle w:val="FootnoteText"/>
      </w:pPr>
      <w:r w:rsidRPr="006A22D3">
        <w:rPr>
          <w:rStyle w:val="FootnoteReference"/>
        </w:rPr>
        <w:footnoteRef/>
      </w:r>
      <w:r w:rsidRPr="006A22D3">
        <w:tab/>
        <w:t>Dyrektywa Parlamentu Europejskiego</w:t>
      </w:r>
      <w:r w:rsidR="006A22D3" w:rsidRPr="006A22D3">
        <w:t xml:space="preserve"> i Rad</w:t>
      </w:r>
      <w:r w:rsidRPr="006A22D3">
        <w:t>y (UE) 2019/1937</w:t>
      </w:r>
      <w:r w:rsidR="006A22D3" w:rsidRPr="006A22D3">
        <w:t xml:space="preserve"> z dni</w:t>
      </w:r>
      <w:r w:rsidRPr="006A22D3">
        <w:t>a 23 października 2019 r.</w:t>
      </w:r>
      <w:r w:rsidR="006A22D3" w:rsidRPr="006A22D3">
        <w:t xml:space="preserve"> w spr</w:t>
      </w:r>
      <w:r w:rsidRPr="006A22D3">
        <w:t>awie ochrony osób zgłaszających naruszenia prawa Unii (Dz.U. L 305</w:t>
      </w:r>
      <w:r w:rsidR="006A22D3" w:rsidRPr="006A22D3">
        <w:t xml:space="preserve"> z 2</w:t>
      </w:r>
      <w:r w:rsidRPr="006A22D3">
        <w:t>6.11.2019, s. 17).</w:t>
      </w:r>
    </w:p>
  </w:footnote>
  <w:footnote w:id="108">
    <w:p w:rsidR="00036C67" w:rsidRPr="006A22D3" w:rsidRDefault="00036C67">
      <w:pPr>
        <w:pStyle w:val="FootnoteText"/>
      </w:pPr>
      <w:r w:rsidRPr="006A22D3">
        <w:rPr>
          <w:rStyle w:val="FootnoteReference"/>
        </w:rPr>
        <w:footnoteRef/>
      </w:r>
      <w:r w:rsidRPr="006A22D3">
        <w:tab/>
        <w:t>Dz.U. L 123</w:t>
      </w:r>
      <w:r w:rsidR="006A22D3" w:rsidRPr="006A22D3">
        <w:t xml:space="preserve"> z 1</w:t>
      </w:r>
      <w:r w:rsidRPr="006A22D3">
        <w:t>2.5.2016, s. 1.</w:t>
      </w:r>
    </w:p>
  </w:footnote>
  <w:footnote w:id="109">
    <w:p w:rsidR="00036C67" w:rsidRPr="006A22D3" w:rsidRDefault="00036C67" w:rsidP="00963225">
      <w:pPr>
        <w:pStyle w:val="FootnoteText"/>
      </w:pPr>
      <w:r w:rsidRPr="006A22D3">
        <w:rPr>
          <w:rStyle w:val="FootnoteReference"/>
        </w:rPr>
        <w:footnoteRef/>
      </w:r>
      <w:r w:rsidRPr="006A22D3">
        <w:tab/>
        <w:t>Rozporządzenie Parlamentu Europejskiego</w:t>
      </w:r>
      <w:r w:rsidR="006A22D3" w:rsidRPr="006A22D3">
        <w:t xml:space="preserve"> i Rad</w:t>
      </w:r>
      <w:r w:rsidRPr="006A22D3">
        <w:t>y (UE) 2016/679</w:t>
      </w:r>
      <w:r w:rsidR="006A22D3" w:rsidRPr="006A22D3">
        <w:t xml:space="preserve"> z dni</w:t>
      </w:r>
      <w:r w:rsidRPr="006A22D3">
        <w:t>a 27 kwietnia 2016 r.</w:t>
      </w:r>
      <w:r w:rsidR="006A22D3" w:rsidRPr="006A22D3">
        <w:t xml:space="preserve"> w spr</w:t>
      </w:r>
      <w:r w:rsidRPr="006A22D3">
        <w:t>awie ochrony osób fizycznych</w:t>
      </w:r>
      <w:r w:rsidR="006A22D3" w:rsidRPr="006A22D3">
        <w:t xml:space="preserve"> w zwi</w:t>
      </w:r>
      <w:r w:rsidRPr="006A22D3">
        <w:t>ązku</w:t>
      </w:r>
      <w:r w:rsidR="006A22D3" w:rsidRPr="006A22D3">
        <w:t xml:space="preserve"> z prz</w:t>
      </w:r>
      <w:r w:rsidRPr="006A22D3">
        <w:t>etwarzaniem danych osobowych</w:t>
      </w:r>
      <w:r w:rsidR="006A22D3" w:rsidRPr="006A22D3">
        <w:t xml:space="preserve"> i w spr</w:t>
      </w:r>
      <w:r w:rsidRPr="006A22D3">
        <w:t>awie swobodnego przepływu takich danych oraz uchylenia dyrektywy 95/46/WE (ogólne rozporządzenie</w:t>
      </w:r>
      <w:r w:rsidR="006A22D3" w:rsidRPr="006A22D3">
        <w:t xml:space="preserve"> o och</w:t>
      </w:r>
      <w:r w:rsidRPr="006A22D3">
        <w:t>ronie danych) (Dz.U. L 119</w:t>
      </w:r>
      <w:r w:rsidR="006A22D3" w:rsidRPr="006A22D3">
        <w:t xml:space="preserve"> z 4</w:t>
      </w:r>
      <w:r w:rsidRPr="006A22D3">
        <w:t>.5.2016, s. 1).</w:t>
      </w:r>
    </w:p>
  </w:footnote>
  <w:footnote w:id="110">
    <w:p w:rsidR="00036C67" w:rsidRPr="006A22D3" w:rsidRDefault="00036C67" w:rsidP="00963225">
      <w:pPr>
        <w:pStyle w:val="FootnoteText"/>
      </w:pPr>
      <w:r w:rsidRPr="006A22D3">
        <w:rPr>
          <w:rStyle w:val="FootnoteReference"/>
        </w:rPr>
        <w:footnoteRef/>
      </w:r>
      <w:r w:rsidRPr="006A22D3">
        <w:tab/>
        <w:t>Rozporządzenie Parlamentu Europejskiego</w:t>
      </w:r>
      <w:r w:rsidR="006A22D3" w:rsidRPr="006A22D3">
        <w:t xml:space="preserve"> i Rad</w:t>
      </w:r>
      <w:r w:rsidRPr="006A22D3">
        <w:t>y (UE) 2018/1725</w:t>
      </w:r>
      <w:r w:rsidR="006A22D3" w:rsidRPr="006A22D3">
        <w:t xml:space="preserve"> z dni</w:t>
      </w:r>
      <w:r w:rsidRPr="006A22D3">
        <w:t>a 23 października 2018 r.</w:t>
      </w:r>
      <w:r w:rsidR="006A22D3" w:rsidRPr="006A22D3">
        <w:t xml:space="preserve"> w spr</w:t>
      </w:r>
      <w:r w:rsidRPr="006A22D3">
        <w:t>awie ochrony osób fizycznych</w:t>
      </w:r>
      <w:r w:rsidR="006A22D3" w:rsidRPr="006A22D3">
        <w:t xml:space="preserve"> w zwi</w:t>
      </w:r>
      <w:r w:rsidRPr="006A22D3">
        <w:t>ązku</w:t>
      </w:r>
      <w:r w:rsidR="006A22D3" w:rsidRPr="006A22D3">
        <w:t xml:space="preserve"> z prz</w:t>
      </w:r>
      <w:r w:rsidRPr="006A22D3">
        <w:t>etwarzaniem danych osobowych przez instytucje, organy</w:t>
      </w:r>
      <w:r w:rsidR="006A22D3" w:rsidRPr="006A22D3">
        <w:t xml:space="preserve"> i jed</w:t>
      </w:r>
      <w:r w:rsidRPr="006A22D3">
        <w:t>nostki organizacyjne Unii</w:t>
      </w:r>
      <w:r w:rsidR="006A22D3" w:rsidRPr="006A22D3">
        <w:t xml:space="preserve"> i swo</w:t>
      </w:r>
      <w:r w:rsidRPr="006A22D3">
        <w:t>bodnego przepływu takich danych (Dz.U. L 295</w:t>
      </w:r>
      <w:r w:rsidR="006A22D3" w:rsidRPr="006A22D3">
        <w:t xml:space="preserve"> z 2</w:t>
      </w:r>
      <w:r w:rsidRPr="006A22D3">
        <w:t>1.11.2018, s. 39).</w:t>
      </w:r>
    </w:p>
  </w:footnote>
  <w:footnote w:id="111">
    <w:p w:rsidR="00036C67" w:rsidRPr="006A22D3" w:rsidRDefault="00036C67" w:rsidP="00343D24">
      <w:pPr>
        <w:pStyle w:val="FootnoteText"/>
      </w:pPr>
      <w:r w:rsidRPr="006A22D3">
        <w:rPr>
          <w:rStyle w:val="FootnoteReference"/>
        </w:rPr>
        <w:footnoteRef/>
      </w:r>
      <w:r w:rsidRPr="006A22D3">
        <w:tab/>
        <w:t>Dyrektywa Parlamentu Europejskiego</w:t>
      </w:r>
      <w:r w:rsidR="006A22D3" w:rsidRPr="006A22D3">
        <w:t xml:space="preserve"> i Rad</w:t>
      </w:r>
      <w:r w:rsidRPr="006A22D3">
        <w:t>y 2013/34/UE</w:t>
      </w:r>
      <w:r w:rsidR="006A22D3" w:rsidRPr="006A22D3">
        <w:t xml:space="preserve"> z dni</w:t>
      </w:r>
      <w:r w:rsidRPr="006A22D3">
        <w:t>a 26 czerwca 2013 r.</w:t>
      </w:r>
      <w:r w:rsidR="006A22D3" w:rsidRPr="006A22D3">
        <w:t xml:space="preserve"> w spr</w:t>
      </w:r>
      <w:r w:rsidRPr="006A22D3">
        <w:t>awie rocznych sprawozdań finansowych, skonsolidowanych sprawozdań finansowych</w:t>
      </w:r>
      <w:r w:rsidR="006A22D3" w:rsidRPr="006A22D3">
        <w:t xml:space="preserve"> i pow</w:t>
      </w:r>
      <w:r w:rsidRPr="006A22D3">
        <w:t>iązanych sprawozdań niektórych rodzajów jednostek (Dz.U. L 182</w:t>
      </w:r>
      <w:r w:rsidR="006A22D3" w:rsidRPr="006A22D3">
        <w:t xml:space="preserve"> z 2</w:t>
      </w:r>
      <w:r w:rsidRPr="006A22D3">
        <w:t>9.6.2013, s. 19).</w:t>
      </w:r>
    </w:p>
  </w:footnote>
  <w:footnote w:id="112">
    <w:p w:rsidR="00036C67" w:rsidRPr="006A22D3" w:rsidRDefault="00036C67" w:rsidP="00DA20CC">
      <w:pPr>
        <w:pStyle w:val="FootnoteText"/>
      </w:pPr>
      <w:r w:rsidRPr="006A22D3">
        <w:rPr>
          <w:rStyle w:val="FootnoteReference"/>
        </w:rPr>
        <w:footnoteRef/>
      </w:r>
      <w:r w:rsidRPr="006A22D3">
        <w:tab/>
        <w:t>Rozporządzenie Parlamentu Europejskiego</w:t>
      </w:r>
      <w:r w:rsidR="006A22D3" w:rsidRPr="006A22D3">
        <w:t xml:space="preserve"> i Rad</w:t>
      </w:r>
      <w:r w:rsidRPr="006A22D3">
        <w:t>y (UE) nr 575/2013</w:t>
      </w:r>
      <w:r w:rsidR="006A22D3" w:rsidRPr="006A22D3">
        <w:t xml:space="preserve"> z dni</w:t>
      </w:r>
      <w:r w:rsidRPr="006A22D3">
        <w:t>a 26 czerwca 2013 r.</w:t>
      </w:r>
      <w:r w:rsidR="006A22D3" w:rsidRPr="006A22D3">
        <w:t xml:space="preserve"> w spr</w:t>
      </w:r>
      <w:r w:rsidRPr="006A22D3">
        <w:t>awie wymogów ostrożnościowych dla instytucji kredytowych</w:t>
      </w:r>
      <w:r w:rsidR="006A22D3" w:rsidRPr="006A22D3">
        <w:t xml:space="preserve"> i fir</w:t>
      </w:r>
      <w:r w:rsidRPr="006A22D3">
        <w:t>m inwestycyjnych, zmieniające rozporządzenie (UE) nr 648/2012 (Dz.U. L 176</w:t>
      </w:r>
      <w:r w:rsidR="006A22D3" w:rsidRPr="006A22D3">
        <w:t xml:space="preserve"> z 2</w:t>
      </w:r>
      <w:r w:rsidRPr="006A22D3">
        <w:t>7.6.2013, s. 1).</w:t>
      </w:r>
    </w:p>
  </w:footnote>
  <w:footnote w:id="113">
    <w:p w:rsidR="00036C67" w:rsidRPr="006A22D3" w:rsidRDefault="00036C67" w:rsidP="00DA20CC">
      <w:pPr>
        <w:pStyle w:val="FootnoteText"/>
      </w:pPr>
      <w:r w:rsidRPr="006A22D3">
        <w:rPr>
          <w:rStyle w:val="FootnoteReference"/>
        </w:rPr>
        <w:footnoteRef/>
      </w:r>
      <w:r w:rsidRPr="006A22D3">
        <w:tab/>
        <w:t>Dyrektywa Parlamentu Europejskiego</w:t>
      </w:r>
      <w:r w:rsidR="006A22D3" w:rsidRPr="006A22D3">
        <w:t xml:space="preserve"> i Rad</w:t>
      </w:r>
      <w:r w:rsidRPr="006A22D3">
        <w:t>y 2014/65/UE</w:t>
      </w:r>
      <w:r w:rsidR="006A22D3" w:rsidRPr="006A22D3">
        <w:t xml:space="preserve"> z dni</w:t>
      </w:r>
      <w:r w:rsidRPr="006A22D3">
        <w:t>a 15 maja 2014 r.</w:t>
      </w:r>
      <w:r w:rsidR="006A22D3" w:rsidRPr="006A22D3">
        <w:t xml:space="preserve"> w spr</w:t>
      </w:r>
      <w:r w:rsidRPr="006A22D3">
        <w:t>awie rynków instrumentów finansowych oraz zmieniająca dyrektywę 2002/92/WE</w:t>
      </w:r>
      <w:r w:rsidR="006A22D3" w:rsidRPr="006A22D3">
        <w:t xml:space="preserve"> i dyr</w:t>
      </w:r>
      <w:r w:rsidRPr="006A22D3">
        <w:t>ektywę 2011/61/UE (Dz.U. L 173</w:t>
      </w:r>
      <w:r w:rsidR="006A22D3" w:rsidRPr="006A22D3">
        <w:t xml:space="preserve"> z 1</w:t>
      </w:r>
      <w:r w:rsidRPr="006A22D3">
        <w:t>2.6.2014, s. 349).</w:t>
      </w:r>
    </w:p>
  </w:footnote>
  <w:footnote w:id="114">
    <w:p w:rsidR="00036C67" w:rsidRPr="006A22D3" w:rsidRDefault="00036C67" w:rsidP="00DA20CC">
      <w:pPr>
        <w:pStyle w:val="FootnoteText"/>
      </w:pPr>
      <w:r w:rsidRPr="006A22D3">
        <w:rPr>
          <w:rStyle w:val="FootnoteReference"/>
        </w:rPr>
        <w:footnoteRef/>
      </w:r>
      <w:r w:rsidRPr="006A22D3">
        <w:tab/>
        <w:t>Rozporządzenie Parlamentu Europejskiego</w:t>
      </w:r>
      <w:r w:rsidR="006A22D3" w:rsidRPr="006A22D3">
        <w:t xml:space="preserve"> i Rad</w:t>
      </w:r>
      <w:r w:rsidRPr="006A22D3">
        <w:t>y (UE) nr 345/2013</w:t>
      </w:r>
      <w:r w:rsidR="006A22D3" w:rsidRPr="006A22D3">
        <w:t xml:space="preserve"> z dni</w:t>
      </w:r>
      <w:r w:rsidRPr="006A22D3">
        <w:t>a 17 kwietnia 2013 r.</w:t>
      </w:r>
      <w:r w:rsidR="006A22D3" w:rsidRPr="006A22D3">
        <w:t xml:space="preserve"> w spr</w:t>
      </w:r>
      <w:r w:rsidRPr="006A22D3">
        <w:t>awie europejskich funduszy venture capital (Dz.U. L 115</w:t>
      </w:r>
      <w:r w:rsidR="006A22D3" w:rsidRPr="006A22D3">
        <w:t xml:space="preserve"> z 2</w:t>
      </w:r>
      <w:r w:rsidRPr="006A22D3">
        <w:t>5.4.2013, s. 1).</w:t>
      </w:r>
    </w:p>
  </w:footnote>
  <w:footnote w:id="115">
    <w:p w:rsidR="00036C67" w:rsidRPr="006A22D3" w:rsidRDefault="00036C67" w:rsidP="00DA20CC">
      <w:pPr>
        <w:pStyle w:val="FootnoteText"/>
      </w:pPr>
      <w:r w:rsidRPr="006A22D3">
        <w:rPr>
          <w:rStyle w:val="FootnoteReference"/>
        </w:rPr>
        <w:footnoteRef/>
      </w:r>
      <w:r w:rsidRPr="006A22D3">
        <w:tab/>
        <w:t>Rozporządzenie Parlamentu Europejskiego</w:t>
      </w:r>
      <w:r w:rsidR="006A22D3" w:rsidRPr="006A22D3">
        <w:t xml:space="preserve"> i Rad</w:t>
      </w:r>
      <w:r w:rsidRPr="006A22D3">
        <w:t>y (UE) nr 346/2013</w:t>
      </w:r>
      <w:r w:rsidR="006A22D3" w:rsidRPr="006A22D3">
        <w:t xml:space="preserve"> z dni</w:t>
      </w:r>
      <w:r w:rsidRPr="006A22D3">
        <w:t>a 17 kwietnia 2013 r.</w:t>
      </w:r>
      <w:r w:rsidR="006A22D3" w:rsidRPr="006A22D3">
        <w:t xml:space="preserve"> w spr</w:t>
      </w:r>
      <w:r w:rsidRPr="006A22D3">
        <w:t>awie europejskich funduszy na rzecz przedsiębiorczości społecznej (Dz.U. L 115</w:t>
      </w:r>
      <w:r w:rsidR="006A22D3" w:rsidRPr="006A22D3">
        <w:t xml:space="preserve"> z 2</w:t>
      </w:r>
      <w:r w:rsidRPr="006A22D3">
        <w:t>5.4.2013, s. 18).</w:t>
      </w:r>
    </w:p>
  </w:footnote>
  <w:footnote w:id="116">
    <w:p w:rsidR="00036C67" w:rsidRPr="006A22D3" w:rsidRDefault="00036C67" w:rsidP="00DA20CC">
      <w:pPr>
        <w:pStyle w:val="FootnoteText"/>
      </w:pPr>
      <w:r w:rsidRPr="006A22D3">
        <w:rPr>
          <w:rStyle w:val="FootnoteReference"/>
        </w:rPr>
        <w:footnoteRef/>
      </w:r>
      <w:r w:rsidRPr="006A22D3">
        <w:tab/>
        <w:t>Rozporządzenie Parlamentu Europejskiego</w:t>
      </w:r>
      <w:r w:rsidR="006A22D3" w:rsidRPr="006A22D3">
        <w:t xml:space="preserve"> i Rad</w:t>
      </w:r>
      <w:r w:rsidRPr="006A22D3">
        <w:t>y (UE) 2015/760</w:t>
      </w:r>
      <w:r w:rsidR="006A22D3" w:rsidRPr="006A22D3">
        <w:t xml:space="preserve"> z dni</w:t>
      </w:r>
      <w:r w:rsidRPr="006A22D3">
        <w:t>a 29 kwietnia 2015 r.</w:t>
      </w:r>
      <w:r w:rsidR="006A22D3" w:rsidRPr="006A22D3">
        <w:t xml:space="preserve"> w spr</w:t>
      </w:r>
      <w:r w:rsidRPr="006A22D3">
        <w:t>awie europejskich długoterminowych funduszy inwestycyjnych (Dz.U. L 123</w:t>
      </w:r>
      <w:r w:rsidR="006A22D3" w:rsidRPr="006A22D3">
        <w:t xml:space="preserve"> z 1</w:t>
      </w:r>
      <w:r w:rsidRPr="006A22D3">
        <w:t>9.5.2015, s. 98).</w:t>
      </w:r>
    </w:p>
  </w:footnote>
  <w:footnote w:id="117">
    <w:p w:rsidR="00036C67" w:rsidRPr="006A22D3" w:rsidRDefault="00036C67" w:rsidP="00DA20CC">
      <w:pPr>
        <w:pStyle w:val="FootnoteText"/>
      </w:pPr>
      <w:r w:rsidRPr="006A22D3">
        <w:rPr>
          <w:rStyle w:val="FootnoteReference"/>
        </w:rPr>
        <w:footnoteRef/>
      </w:r>
      <w:r w:rsidRPr="006A22D3">
        <w:tab/>
        <w:t>Dyrektywa Parlamentu Europejskiego</w:t>
      </w:r>
      <w:r w:rsidR="006A22D3" w:rsidRPr="006A22D3">
        <w:t xml:space="preserve"> i Rad</w:t>
      </w:r>
      <w:r w:rsidRPr="006A22D3">
        <w:t>y 2009/65/WE</w:t>
      </w:r>
      <w:r w:rsidR="006A22D3" w:rsidRPr="006A22D3">
        <w:t xml:space="preserve"> z dni</w:t>
      </w:r>
      <w:r w:rsidRPr="006A22D3">
        <w:t>a 13 lipca 2009 r.</w:t>
      </w:r>
      <w:r w:rsidR="006A22D3" w:rsidRPr="006A22D3">
        <w:t xml:space="preserve"> w spr</w:t>
      </w:r>
      <w:r w:rsidRPr="006A22D3">
        <w:t>awie koordynacji przepisów ustawowych, wykonawczych</w:t>
      </w:r>
      <w:r w:rsidR="006A22D3" w:rsidRPr="006A22D3">
        <w:t xml:space="preserve"> i adm</w:t>
      </w:r>
      <w:r w:rsidRPr="006A22D3">
        <w:t>inistracyjnych odnoszących się do przedsiębiorstw zbiorowego inwestowania</w:t>
      </w:r>
      <w:r w:rsidR="006A22D3" w:rsidRPr="006A22D3">
        <w:t xml:space="preserve"> w zby</w:t>
      </w:r>
      <w:r w:rsidRPr="006A22D3">
        <w:t>walne papiery wartościowe (UCITS) (Dz.U. L 302</w:t>
      </w:r>
      <w:r w:rsidR="006A22D3" w:rsidRPr="006A22D3">
        <w:t xml:space="preserve"> z 1</w:t>
      </w:r>
      <w:r w:rsidRPr="006A22D3">
        <w:t>7.11.2009, s. 32).</w:t>
      </w:r>
    </w:p>
  </w:footnote>
  <w:footnote w:id="118">
    <w:p w:rsidR="00036C67" w:rsidRPr="006A22D3" w:rsidRDefault="00036C67" w:rsidP="00DA20CC">
      <w:pPr>
        <w:pStyle w:val="FootnoteText"/>
      </w:pPr>
      <w:r w:rsidRPr="006A22D3">
        <w:rPr>
          <w:rStyle w:val="FootnoteReference"/>
        </w:rPr>
        <w:footnoteRef/>
      </w:r>
      <w:r w:rsidRPr="006A22D3">
        <w:tab/>
        <w:t>Dyrektywa Parlamentu Europejskiego</w:t>
      </w:r>
      <w:r w:rsidR="006A22D3" w:rsidRPr="006A22D3">
        <w:t xml:space="preserve"> i Rad</w:t>
      </w:r>
      <w:r w:rsidRPr="006A22D3">
        <w:t>y 2009/138/WE</w:t>
      </w:r>
      <w:r w:rsidR="006A22D3" w:rsidRPr="006A22D3">
        <w:t xml:space="preserve"> z dni</w:t>
      </w:r>
      <w:r w:rsidRPr="006A22D3">
        <w:t>a 25 listopada 2009 r.</w:t>
      </w:r>
      <w:r w:rsidR="006A22D3" w:rsidRPr="006A22D3">
        <w:t xml:space="preserve"> w spr</w:t>
      </w:r>
      <w:r w:rsidRPr="006A22D3">
        <w:t>awie podejmowania</w:t>
      </w:r>
      <w:r w:rsidR="006A22D3" w:rsidRPr="006A22D3">
        <w:t xml:space="preserve"> i pro</w:t>
      </w:r>
      <w:r w:rsidRPr="006A22D3">
        <w:t>wadzenia działalności ubezpieczeniowej</w:t>
      </w:r>
      <w:r w:rsidR="006A22D3" w:rsidRPr="006A22D3">
        <w:t xml:space="preserve"> i rea</w:t>
      </w:r>
      <w:r w:rsidRPr="006A22D3">
        <w:t>sekuracyjnej (Wypłacalność II) (Dz.U. L 335</w:t>
      </w:r>
      <w:r w:rsidR="006A22D3" w:rsidRPr="006A22D3">
        <w:t xml:space="preserve"> z 1</w:t>
      </w:r>
      <w:r w:rsidRPr="006A22D3">
        <w:t>7.12.2009, s. 1).</w:t>
      </w:r>
    </w:p>
  </w:footnote>
  <w:footnote w:id="119">
    <w:p w:rsidR="00036C67" w:rsidRPr="006A22D3" w:rsidRDefault="00036C67" w:rsidP="00DA20CC">
      <w:pPr>
        <w:pStyle w:val="FootnoteText"/>
      </w:pPr>
      <w:r w:rsidRPr="006A22D3">
        <w:rPr>
          <w:rStyle w:val="FootnoteReference"/>
        </w:rPr>
        <w:footnoteRef/>
      </w:r>
      <w:r w:rsidRPr="006A22D3">
        <w:tab/>
        <w:t>Dyrektywa Parlamentu Europejskiego</w:t>
      </w:r>
      <w:r w:rsidR="006A22D3" w:rsidRPr="006A22D3">
        <w:t xml:space="preserve"> i Rad</w:t>
      </w:r>
      <w:r w:rsidRPr="006A22D3">
        <w:t>y (UE) 2016/2341</w:t>
      </w:r>
      <w:r w:rsidR="006A22D3" w:rsidRPr="006A22D3">
        <w:t xml:space="preserve"> z dni</w:t>
      </w:r>
      <w:r w:rsidRPr="006A22D3">
        <w:t>a 14 grudnia 2016 r.</w:t>
      </w:r>
      <w:r w:rsidR="006A22D3" w:rsidRPr="006A22D3">
        <w:t xml:space="preserve"> w spr</w:t>
      </w:r>
      <w:r w:rsidRPr="006A22D3">
        <w:t>awie działalności instytucji pracowniczych programów emerytalnych oraz nadzoru nad takimi instytucjami (IORP) (Dz.U. L 354</w:t>
      </w:r>
      <w:r w:rsidR="006A22D3" w:rsidRPr="006A22D3">
        <w:t xml:space="preserve"> z 2</w:t>
      </w:r>
      <w:r w:rsidRPr="006A22D3">
        <w:t>3.12.2016, s. 37).</w:t>
      </w:r>
    </w:p>
  </w:footnote>
  <w:footnote w:id="120">
    <w:p w:rsidR="00036C67" w:rsidRPr="006A22D3" w:rsidRDefault="00036C67" w:rsidP="00DA20CC">
      <w:pPr>
        <w:pStyle w:val="FootnoteText"/>
      </w:pPr>
      <w:r w:rsidRPr="006A22D3">
        <w:rPr>
          <w:rStyle w:val="FootnoteReference"/>
        </w:rPr>
        <w:footnoteRef/>
      </w:r>
      <w:r w:rsidRPr="006A22D3">
        <w:tab/>
        <w:t>Rozporządzenie Parlamentu Europejskiego</w:t>
      </w:r>
      <w:r w:rsidR="006A22D3" w:rsidRPr="006A22D3">
        <w:t xml:space="preserve"> i Rad</w:t>
      </w:r>
      <w:r w:rsidRPr="006A22D3">
        <w:t>y (WE) nr 883/2004</w:t>
      </w:r>
      <w:r w:rsidR="006A22D3" w:rsidRPr="006A22D3">
        <w:t xml:space="preserve"> z dni</w:t>
      </w:r>
      <w:r w:rsidRPr="006A22D3">
        <w:t>a 29 kwietnia 2004 r.</w:t>
      </w:r>
      <w:r w:rsidR="006A22D3" w:rsidRPr="006A22D3">
        <w:t xml:space="preserve"> w spr</w:t>
      </w:r>
      <w:r w:rsidRPr="006A22D3">
        <w:t>awie koordynacji systemów zabezpieczenia społecznego (Dz.U. L 166</w:t>
      </w:r>
      <w:r w:rsidR="006A22D3" w:rsidRPr="006A22D3">
        <w:t xml:space="preserve"> z 3</w:t>
      </w:r>
      <w:r w:rsidRPr="006A22D3">
        <w:t>0.4.2004, s. 1).</w:t>
      </w:r>
    </w:p>
  </w:footnote>
  <w:footnote w:id="121">
    <w:p w:rsidR="00036C67" w:rsidRPr="006A22D3" w:rsidRDefault="00036C67" w:rsidP="00DA20CC">
      <w:pPr>
        <w:pStyle w:val="FootnoteText"/>
      </w:pPr>
      <w:r w:rsidRPr="006A22D3">
        <w:rPr>
          <w:rStyle w:val="FootnoteReference"/>
        </w:rPr>
        <w:footnoteRef/>
      </w:r>
      <w:r w:rsidRPr="006A22D3">
        <w:tab/>
        <w:t>Rozporządzenie Parlamentu Europejskiego</w:t>
      </w:r>
      <w:r w:rsidR="006A22D3" w:rsidRPr="006A22D3">
        <w:t xml:space="preserve"> i Rad</w:t>
      </w:r>
      <w:r w:rsidRPr="006A22D3">
        <w:t>y (WE) nr 987/2009</w:t>
      </w:r>
      <w:r w:rsidR="006A22D3" w:rsidRPr="006A22D3">
        <w:t xml:space="preserve"> z dni</w:t>
      </w:r>
      <w:r w:rsidRPr="006A22D3">
        <w:t>a 16 września 2009 r. dotyczące wykonywania rozporządzenia (WE) nr 883/2004</w:t>
      </w:r>
      <w:r w:rsidR="006A22D3" w:rsidRPr="006A22D3">
        <w:t xml:space="preserve"> w spr</w:t>
      </w:r>
      <w:r w:rsidRPr="006A22D3">
        <w:t>awie koordynacji systemów zabezpieczenia społecznego (Dz.U. L 284</w:t>
      </w:r>
      <w:r w:rsidR="006A22D3" w:rsidRPr="006A22D3">
        <w:t xml:space="preserve"> z 3</w:t>
      </w:r>
      <w:r w:rsidRPr="006A22D3">
        <w:t>0.10.2009, s. 1).</w:t>
      </w:r>
    </w:p>
  </w:footnote>
  <w:footnote w:id="122">
    <w:p w:rsidR="00036C67" w:rsidRPr="006A22D3" w:rsidRDefault="00036C67" w:rsidP="00DA20CC">
      <w:pPr>
        <w:pStyle w:val="FootnoteText"/>
      </w:pPr>
      <w:r w:rsidRPr="006A22D3">
        <w:rPr>
          <w:rStyle w:val="FootnoteReference"/>
        </w:rPr>
        <w:footnoteRef/>
      </w:r>
      <w:r w:rsidRPr="006A22D3">
        <w:tab/>
        <w:t>Rozporządzenie Parlamentu Europejskiego</w:t>
      </w:r>
      <w:r w:rsidR="006A22D3" w:rsidRPr="006A22D3">
        <w:t xml:space="preserve"> i Rad</w:t>
      </w:r>
      <w:r w:rsidRPr="006A22D3">
        <w:t>y (UE) nr 648/2012</w:t>
      </w:r>
      <w:r w:rsidR="006A22D3" w:rsidRPr="006A22D3">
        <w:t xml:space="preserve"> z dni</w:t>
      </w:r>
      <w:r w:rsidRPr="006A22D3">
        <w:t>a 4 lipca 2012 r.</w:t>
      </w:r>
      <w:r w:rsidR="006A22D3" w:rsidRPr="006A22D3">
        <w:t xml:space="preserve"> w spr</w:t>
      </w:r>
      <w:r w:rsidRPr="006A22D3">
        <w:t>awie instrumentów pochodnych będących przedmiotem obrotu poza rynkiem regulowanym, kontrahentów centralnych</w:t>
      </w:r>
      <w:r w:rsidR="006A22D3" w:rsidRPr="006A22D3">
        <w:t xml:space="preserve"> i rep</w:t>
      </w:r>
      <w:r w:rsidRPr="006A22D3">
        <w:t>ozytoriów transakcji (Dz.U. L 201</w:t>
      </w:r>
      <w:r w:rsidR="006A22D3" w:rsidRPr="006A22D3">
        <w:t xml:space="preserve"> z 2</w:t>
      </w:r>
      <w:r w:rsidRPr="006A22D3">
        <w:t>7.7.2012, s. 1).</w:t>
      </w:r>
    </w:p>
  </w:footnote>
  <w:footnote w:id="123">
    <w:p w:rsidR="00036C67" w:rsidRPr="006A22D3" w:rsidRDefault="00036C67" w:rsidP="00DA20CC">
      <w:pPr>
        <w:pStyle w:val="FootnoteText"/>
      </w:pPr>
      <w:r w:rsidRPr="006A22D3">
        <w:rPr>
          <w:rStyle w:val="FootnoteReference"/>
        </w:rPr>
        <w:footnoteRef/>
      </w:r>
      <w:r w:rsidRPr="006A22D3">
        <w:tab/>
        <w:t>Rozporządzenie Parlamentu Europejskiego</w:t>
      </w:r>
      <w:r w:rsidR="006A22D3" w:rsidRPr="006A22D3">
        <w:t xml:space="preserve"> i Rad</w:t>
      </w:r>
      <w:r w:rsidRPr="006A22D3">
        <w:t>y (UE) nr 909/2014</w:t>
      </w:r>
      <w:r w:rsidR="006A22D3" w:rsidRPr="006A22D3">
        <w:t xml:space="preserve"> z dni</w:t>
      </w:r>
      <w:r w:rsidRPr="006A22D3">
        <w:t>a 23 lipca 2014 r.</w:t>
      </w:r>
      <w:r w:rsidR="006A22D3" w:rsidRPr="006A22D3">
        <w:t xml:space="preserve"> w spr</w:t>
      </w:r>
      <w:r w:rsidRPr="006A22D3">
        <w:t>awie usprawnienia rozrachunku papierów wartościowych</w:t>
      </w:r>
      <w:r w:rsidR="006A22D3" w:rsidRPr="006A22D3">
        <w:t xml:space="preserve"> w Uni</w:t>
      </w:r>
      <w:r w:rsidRPr="006A22D3">
        <w:t>i Europejskiej</w:t>
      </w:r>
      <w:r w:rsidR="006A22D3" w:rsidRPr="006A22D3">
        <w:t xml:space="preserve"> i w spr</w:t>
      </w:r>
      <w:r w:rsidRPr="006A22D3">
        <w:t>awie centralnych depozytów papierów wartościowych, zmieniające dyrektywy 98/26/WE</w:t>
      </w:r>
      <w:r w:rsidR="006A22D3" w:rsidRPr="006A22D3">
        <w:t xml:space="preserve"> i 2</w:t>
      </w:r>
      <w:r w:rsidRPr="006A22D3">
        <w:t>014/65/UE oraz rozporządzenie (UE) nr 236/2012 (Dz.U. L 257</w:t>
      </w:r>
      <w:r w:rsidR="006A22D3" w:rsidRPr="006A22D3">
        <w:t xml:space="preserve"> z 2</w:t>
      </w:r>
      <w:r w:rsidRPr="006A22D3">
        <w:t>8.8.2014, s. 1).</w:t>
      </w:r>
    </w:p>
  </w:footnote>
  <w:footnote w:id="124">
    <w:p w:rsidR="00036C67" w:rsidRPr="006A22D3" w:rsidRDefault="00036C67" w:rsidP="00DA20CC">
      <w:pPr>
        <w:pStyle w:val="FootnoteText"/>
      </w:pPr>
      <w:r w:rsidRPr="006A22D3">
        <w:rPr>
          <w:rStyle w:val="FootnoteReference"/>
        </w:rPr>
        <w:footnoteRef/>
      </w:r>
      <w:r w:rsidRPr="006A22D3">
        <w:tab/>
        <w:t>Rozporządzenie Parlamentu Europejskiego</w:t>
      </w:r>
      <w:r w:rsidR="006A22D3" w:rsidRPr="006A22D3">
        <w:t xml:space="preserve"> i Rad</w:t>
      </w:r>
      <w:r w:rsidRPr="006A22D3">
        <w:t>y (UE) 2017/2402</w:t>
      </w:r>
      <w:r w:rsidR="006A22D3" w:rsidRPr="006A22D3">
        <w:t xml:space="preserve"> z dni</w:t>
      </w:r>
      <w:r w:rsidRPr="006A22D3">
        <w:t>a 12 grudnia 2017 r.</w:t>
      </w:r>
      <w:r w:rsidR="006A22D3" w:rsidRPr="006A22D3">
        <w:t xml:space="preserve"> w spr</w:t>
      </w:r>
      <w:r w:rsidRPr="006A22D3">
        <w:t>awie ustanowienia ogólnych ram dla sekurytyzacji oraz utworzenia szczególnych ram dla prostych, przejrzystych</w:t>
      </w:r>
      <w:r w:rsidR="006A22D3" w:rsidRPr="006A22D3">
        <w:t xml:space="preserve"> i sta</w:t>
      </w:r>
      <w:r w:rsidRPr="006A22D3">
        <w:t>ndardowych sekurytyzacji,</w:t>
      </w:r>
      <w:r w:rsidR="006A22D3" w:rsidRPr="006A22D3">
        <w:t xml:space="preserve"> a tak</w:t>
      </w:r>
      <w:r w:rsidRPr="006A22D3">
        <w:t>że zmieniające dyrektywy 2009/65/WE, 2009/138/WE</w:t>
      </w:r>
      <w:r w:rsidR="006A22D3" w:rsidRPr="006A22D3">
        <w:t xml:space="preserve"> i 2</w:t>
      </w:r>
      <w:r w:rsidRPr="006A22D3">
        <w:t>011/61/UE oraz rozporządzenia (WE) nr 1060/2009 i (UE) nr 648/2012 (Dz.U. L 347</w:t>
      </w:r>
      <w:r w:rsidR="006A22D3" w:rsidRPr="006A22D3">
        <w:t xml:space="preserve"> z 2</w:t>
      </w:r>
      <w:r w:rsidRPr="006A22D3">
        <w:t>8.12.2017, s. 35).</w:t>
      </w:r>
    </w:p>
  </w:footnote>
  <w:footnote w:id="125">
    <w:p w:rsidR="00036C67" w:rsidRPr="006A22D3" w:rsidRDefault="00036C67" w:rsidP="00DA20CC">
      <w:pPr>
        <w:pStyle w:val="FootnoteText"/>
      </w:pPr>
      <w:r w:rsidRPr="006A22D3">
        <w:rPr>
          <w:rStyle w:val="FootnoteReference"/>
        </w:rPr>
        <w:footnoteRef/>
      </w:r>
      <w:r w:rsidRPr="006A22D3">
        <w:tab/>
        <w:t>Dyrektywa Parlamentu Europejskiego</w:t>
      </w:r>
      <w:r w:rsidR="006A22D3" w:rsidRPr="006A22D3">
        <w:t xml:space="preserve"> i Rad</w:t>
      </w:r>
      <w:r w:rsidRPr="006A22D3">
        <w:t>y (UE) 2015/2366</w:t>
      </w:r>
      <w:r w:rsidR="006A22D3" w:rsidRPr="006A22D3">
        <w:t xml:space="preserve"> z dni</w:t>
      </w:r>
      <w:r w:rsidRPr="006A22D3">
        <w:t>a 25 listopada 2015 r.</w:t>
      </w:r>
      <w:r w:rsidR="006A22D3" w:rsidRPr="006A22D3">
        <w:t xml:space="preserve"> w spr</w:t>
      </w:r>
      <w:r w:rsidRPr="006A22D3">
        <w:t>awie usług płatniczych</w:t>
      </w:r>
      <w:r w:rsidR="006A22D3" w:rsidRPr="006A22D3">
        <w:t xml:space="preserve"> w ram</w:t>
      </w:r>
      <w:r w:rsidRPr="006A22D3">
        <w:t>ach rynku wewnętrznego, zmieniająca dyrektywy 2002/65/WE, 2009/110/WE, 2013/36/UE</w:t>
      </w:r>
      <w:r w:rsidR="006A22D3" w:rsidRPr="006A22D3">
        <w:t xml:space="preserve"> i roz</w:t>
      </w:r>
      <w:r w:rsidRPr="006A22D3">
        <w:t>porządzenie (UE) nr 1093/2010 oraz uchylająca dyrektywę 2007/64/WE (Dz.U. L 337</w:t>
      </w:r>
      <w:r w:rsidR="006A22D3" w:rsidRPr="006A22D3">
        <w:t xml:space="preserve"> z 2</w:t>
      </w:r>
      <w:r w:rsidRPr="006A22D3">
        <w:t>3.12.2015, s. 35).</w:t>
      </w:r>
    </w:p>
  </w:footnote>
  <w:footnote w:id="126">
    <w:p w:rsidR="00036C67" w:rsidRPr="006A22D3" w:rsidRDefault="00036C67" w:rsidP="00DA20CC">
      <w:pPr>
        <w:pStyle w:val="FootnoteText"/>
      </w:pPr>
      <w:r w:rsidRPr="006A22D3">
        <w:rPr>
          <w:rStyle w:val="FootnoteReference"/>
        </w:rPr>
        <w:footnoteRef/>
      </w:r>
      <w:r w:rsidRPr="006A22D3">
        <w:tab/>
        <w:t>Dyrektywa Parlamentu Europejskiego</w:t>
      </w:r>
      <w:r w:rsidR="006A22D3" w:rsidRPr="006A22D3">
        <w:t xml:space="preserve"> i Rad</w:t>
      </w:r>
      <w:r w:rsidRPr="006A22D3">
        <w:t>y 2009/110/WE</w:t>
      </w:r>
      <w:r w:rsidR="006A22D3" w:rsidRPr="006A22D3">
        <w:t xml:space="preserve"> z dni</w:t>
      </w:r>
      <w:r w:rsidRPr="006A22D3">
        <w:t>a 16 września 2009 r.</w:t>
      </w:r>
      <w:r w:rsidR="006A22D3" w:rsidRPr="006A22D3">
        <w:t xml:space="preserve"> w spr</w:t>
      </w:r>
      <w:r w:rsidRPr="006A22D3">
        <w:t>awie podejmowania</w:t>
      </w:r>
      <w:r w:rsidR="006A22D3" w:rsidRPr="006A22D3">
        <w:t xml:space="preserve"> i pro</w:t>
      </w:r>
      <w:r w:rsidRPr="006A22D3">
        <w:t>wadzenia działalności przez instytucje pieniądza elektronicznego oraz nadzoru ostrożnościowego nad ich działalnością, zmieniająca dyrektywy 2005/60/WE</w:t>
      </w:r>
      <w:r w:rsidR="006A22D3" w:rsidRPr="006A22D3">
        <w:t xml:space="preserve"> i 2</w:t>
      </w:r>
      <w:r w:rsidRPr="006A22D3">
        <w:t>006/48/WE oraz uchylająca dyrektywę 2000/46/WE (Dz.U. L 267</w:t>
      </w:r>
      <w:r w:rsidR="006A22D3" w:rsidRPr="006A22D3">
        <w:t xml:space="preserve"> z 1</w:t>
      </w:r>
      <w:r w:rsidRPr="006A22D3">
        <w:t>0.10.2009, s. 7).</w:t>
      </w:r>
    </w:p>
  </w:footnote>
  <w:footnote w:id="127">
    <w:p w:rsidR="00036C67" w:rsidRPr="006A22D3" w:rsidRDefault="00036C67" w:rsidP="00DA20CC">
      <w:pPr>
        <w:pStyle w:val="FootnoteText"/>
      </w:pPr>
      <w:r w:rsidRPr="006A22D3">
        <w:rPr>
          <w:rStyle w:val="FootnoteReference"/>
        </w:rPr>
        <w:footnoteRef/>
      </w:r>
      <w:r w:rsidRPr="006A22D3">
        <w:tab/>
        <w:t>Rozporządzenie Parlamentu Europejskiego</w:t>
      </w:r>
      <w:r w:rsidR="006A22D3" w:rsidRPr="006A22D3">
        <w:t xml:space="preserve"> i Rad</w:t>
      </w:r>
      <w:r w:rsidRPr="006A22D3">
        <w:t>y (UE) 2020/1503</w:t>
      </w:r>
      <w:r w:rsidR="006A22D3" w:rsidRPr="006A22D3">
        <w:t xml:space="preserve"> z dni</w:t>
      </w:r>
      <w:r w:rsidRPr="006A22D3">
        <w:t>a 7 października 2020 r.</w:t>
      </w:r>
      <w:r w:rsidR="006A22D3" w:rsidRPr="006A22D3">
        <w:t xml:space="preserve"> w spr</w:t>
      </w:r>
      <w:r w:rsidRPr="006A22D3">
        <w:t>awie europejskich dostawców usług finansowania społecznościowego dla przedsięwzięć gospodarczych oraz zmieniające rozporządzenie (UE) 2017/1129</w:t>
      </w:r>
      <w:r w:rsidR="006A22D3" w:rsidRPr="006A22D3">
        <w:t xml:space="preserve"> i dyr</w:t>
      </w:r>
      <w:r w:rsidRPr="006A22D3">
        <w:t>ektywę (UE) 2019/1937 (Dz.U. L 347</w:t>
      </w:r>
      <w:r w:rsidR="006A22D3" w:rsidRPr="006A22D3">
        <w:t xml:space="preserve"> z 2</w:t>
      </w:r>
      <w:r w:rsidRPr="006A22D3">
        <w:t>0.10.2020, s. 1).</w:t>
      </w:r>
    </w:p>
  </w:footnote>
  <w:footnote w:id="128">
    <w:p w:rsidR="00036C67" w:rsidRPr="006A22D3" w:rsidRDefault="00036C67" w:rsidP="00DA20CC">
      <w:pPr>
        <w:pStyle w:val="FootnoteText"/>
      </w:pPr>
      <w:r w:rsidRPr="006A22D3">
        <w:rPr>
          <w:rStyle w:val="FootnoteReference"/>
        </w:rPr>
        <w:footnoteRef/>
      </w:r>
      <w:r w:rsidRPr="006A22D3">
        <w:tab/>
        <w:t>COM(2020) 593 final.</w:t>
      </w:r>
    </w:p>
  </w:footnote>
  <w:footnote w:id="129">
    <w:p w:rsidR="00036C67" w:rsidRPr="006A22D3" w:rsidRDefault="00036C67" w:rsidP="00343D24">
      <w:pPr>
        <w:pStyle w:val="FootnoteText"/>
      </w:pPr>
      <w:r w:rsidRPr="006A22D3">
        <w:rPr>
          <w:rStyle w:val="FootnoteReference"/>
        </w:rPr>
        <w:footnoteRef/>
      </w:r>
      <w:r w:rsidRPr="006A22D3">
        <w:tab/>
      </w:r>
      <w:r w:rsidRPr="006A22D3">
        <w:rPr>
          <w:shd w:val="clear" w:color="auto" w:fill="FFFFFF"/>
        </w:rPr>
        <w:t>Dyrektywa 2004/109/WE Parlamentu Europejskiego</w:t>
      </w:r>
      <w:r w:rsidR="006A22D3" w:rsidRPr="006A22D3">
        <w:rPr>
          <w:shd w:val="clear" w:color="auto" w:fill="FFFFFF"/>
        </w:rPr>
        <w:t xml:space="preserve"> i Rad</w:t>
      </w:r>
      <w:r w:rsidRPr="006A22D3">
        <w:rPr>
          <w:shd w:val="clear" w:color="auto" w:fill="FFFFFF"/>
        </w:rPr>
        <w:t>y</w:t>
      </w:r>
      <w:r w:rsidR="006A22D3" w:rsidRPr="006A22D3">
        <w:rPr>
          <w:shd w:val="clear" w:color="auto" w:fill="FFFFFF"/>
        </w:rPr>
        <w:t xml:space="preserve"> z dni</w:t>
      </w:r>
      <w:r w:rsidRPr="006A22D3">
        <w:rPr>
          <w:shd w:val="clear" w:color="auto" w:fill="FFFFFF"/>
        </w:rPr>
        <w:t>a 15 grudnia 2004 r.</w:t>
      </w:r>
      <w:r w:rsidR="006A22D3" w:rsidRPr="006A22D3">
        <w:rPr>
          <w:shd w:val="clear" w:color="auto" w:fill="FFFFFF"/>
        </w:rPr>
        <w:t xml:space="preserve"> w spr</w:t>
      </w:r>
      <w:r w:rsidRPr="006A22D3">
        <w:rPr>
          <w:shd w:val="clear" w:color="auto" w:fill="FFFFFF"/>
        </w:rPr>
        <w:t>awie harmonizacji wymogów dotyczących przejrzystości informacji</w:t>
      </w:r>
      <w:r w:rsidR="006A22D3" w:rsidRPr="006A22D3">
        <w:rPr>
          <w:shd w:val="clear" w:color="auto" w:fill="FFFFFF"/>
        </w:rPr>
        <w:t xml:space="preserve"> o emi</w:t>
      </w:r>
      <w:r w:rsidRPr="006A22D3">
        <w:rPr>
          <w:shd w:val="clear" w:color="auto" w:fill="FFFFFF"/>
        </w:rPr>
        <w:t>tentach, których papiery wartościowe dopuszczane są do obrotu na rynku regulowanym oraz zmieniająca dyrektywę 2001/34/WE (</w:t>
      </w:r>
      <w:r w:rsidRPr="006A22D3">
        <w:t>Dz.U. L 390</w:t>
      </w:r>
      <w:r w:rsidR="006A22D3" w:rsidRPr="006A22D3">
        <w:t xml:space="preserve"> z 3</w:t>
      </w:r>
      <w:r w:rsidRPr="006A22D3">
        <w:t>1.12.2004, s. 38).</w:t>
      </w:r>
    </w:p>
  </w:footnote>
  <w:footnote w:id="130">
    <w:p w:rsidR="00036C67" w:rsidRPr="006A22D3" w:rsidRDefault="00036C67" w:rsidP="00343D24">
      <w:pPr>
        <w:pStyle w:val="FootnoteText"/>
      </w:pPr>
      <w:r w:rsidRPr="006A22D3">
        <w:rPr>
          <w:rStyle w:val="FootnoteReference"/>
        </w:rPr>
        <w:footnoteRef/>
      </w:r>
      <w:r w:rsidRPr="006A22D3">
        <w:tab/>
        <w:t>Rozporządzenie (WE) nr 1606/2002 Parlamentu Europejskiego</w:t>
      </w:r>
      <w:r w:rsidR="006A22D3" w:rsidRPr="006A22D3">
        <w:t xml:space="preserve"> i Rad</w:t>
      </w:r>
      <w:r w:rsidRPr="006A22D3">
        <w:t>y</w:t>
      </w:r>
      <w:r w:rsidR="006A22D3" w:rsidRPr="006A22D3">
        <w:t xml:space="preserve"> z dni</w:t>
      </w:r>
      <w:r w:rsidRPr="006A22D3">
        <w:t>a 19 lipca 2002 r.</w:t>
      </w:r>
      <w:r w:rsidR="006A22D3" w:rsidRPr="006A22D3">
        <w:rPr>
          <w:b/>
          <w:bCs/>
        </w:rPr>
        <w:t xml:space="preserve"> </w:t>
      </w:r>
      <w:r w:rsidR="006A22D3" w:rsidRPr="006A22D3">
        <w:t>w</w:t>
      </w:r>
      <w:r w:rsidR="006A22D3" w:rsidRPr="006A22D3">
        <w:rPr>
          <w:b/>
          <w:bCs/>
        </w:rPr>
        <w:t> </w:t>
      </w:r>
      <w:r w:rsidR="006A22D3" w:rsidRPr="006A22D3">
        <w:t>spr</w:t>
      </w:r>
      <w:r w:rsidRPr="006A22D3">
        <w:t>awie stosowania międzynarodowych standardów rachunkowości (Dz.U. L 243</w:t>
      </w:r>
      <w:r w:rsidR="006A22D3" w:rsidRPr="006A22D3">
        <w:t xml:space="preserve"> z 1</w:t>
      </w:r>
      <w:r w:rsidRPr="006A22D3">
        <w:t>1.9.2002, s. 1).</w:t>
      </w:r>
    </w:p>
  </w:footnote>
  <w:footnote w:id="131">
    <w:p w:rsidR="00036C67" w:rsidRPr="006A22D3" w:rsidRDefault="00036C67" w:rsidP="00BC6E3D">
      <w:pPr>
        <w:pStyle w:val="FootnoteText"/>
      </w:pPr>
      <w:r w:rsidRPr="006A22D3">
        <w:rPr>
          <w:rStyle w:val="FootnoteReference"/>
        </w:rPr>
        <w:t>+</w:t>
      </w:r>
      <w:r w:rsidRPr="006A22D3">
        <w:tab/>
        <w:t>Dz.U.: Proszę wstawić</w:t>
      </w:r>
      <w:r w:rsidR="006A22D3" w:rsidRPr="006A22D3">
        <w:t xml:space="preserve"> w tek</w:t>
      </w:r>
      <w:r w:rsidRPr="006A22D3">
        <w:t>ście numer</w:t>
      </w:r>
      <w:r w:rsidR="006A22D3" w:rsidRPr="006A22D3">
        <w:t xml:space="preserve"> i dat</w:t>
      </w:r>
      <w:r w:rsidRPr="006A22D3">
        <w:t>ę dyrektywy zawartej</w:t>
      </w:r>
      <w:r w:rsidR="006A22D3" w:rsidRPr="006A22D3">
        <w:t xml:space="preserve"> w dok</w:t>
      </w:r>
      <w:r w:rsidRPr="006A22D3">
        <w:t>umencie ...,i odniesienie do Dz.U. tej dyrektywy</w:t>
      </w:r>
      <w:r w:rsidR="006A22D3" w:rsidRPr="006A22D3">
        <w:t xml:space="preserve"> w prz</w:t>
      </w:r>
      <w:r w:rsidRPr="006A22D3">
        <w:t>ypisie.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1E0C18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755A95C6"/>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1336669C"/>
    <w:lvl w:ilvl="0">
      <w:start w:val="1"/>
      <w:numFmt w:val="bullet"/>
      <w:pStyle w:val="ListBullet2"/>
      <w:lvlText w:val=""/>
      <w:lvlJc w:val="left"/>
      <w:pPr>
        <w:tabs>
          <w:tab w:val="num" w:pos="-3610"/>
        </w:tabs>
        <w:ind w:left="-3610" w:hanging="360"/>
      </w:pPr>
      <w:rPr>
        <w:rFonts w:ascii="Symbol" w:hAnsi="Symbol" w:hint="default"/>
      </w:rPr>
    </w:lvl>
  </w:abstractNum>
  <w:abstractNum w:abstractNumId="3" w15:restartNumberingAfterBreak="0">
    <w:nsid w:val="FFFFFF89"/>
    <w:multiLevelType w:val="singleLevel"/>
    <w:tmpl w:val="E688902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291ABB"/>
    <w:multiLevelType w:val="hybridMultilevel"/>
    <w:tmpl w:val="16700468"/>
    <w:lvl w:ilvl="0" w:tplc="1E2CE05C">
      <w:start w:val="1"/>
      <w:numFmt w:val="lowerLetter"/>
      <w:pStyle w:val="Point1letterautonumber"/>
      <w:lvlText w:val="(%1)"/>
      <w:lvlJc w:val="left"/>
      <w:pPr>
        <w:ind w:left="177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2E1C2AE5"/>
    <w:multiLevelType w:val="hybridMultilevel"/>
    <w:tmpl w:val="D8061BDA"/>
    <w:lvl w:ilvl="0" w:tplc="D29EABA4">
      <w:start w:val="1"/>
      <w:numFmt w:val="decimal"/>
      <w:pStyle w:val="ListNumber"/>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0283C29"/>
    <w:multiLevelType w:val="multilevel"/>
    <w:tmpl w:val="080C001D"/>
    <w:styleLink w:val="ListstyleSCGpoin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4"/>
  </w:num>
  <w:num w:numId="4">
    <w:abstractNumId w:val="1"/>
  </w:num>
  <w:num w:numId="5">
    <w:abstractNumId w:val="0"/>
  </w:num>
  <w:num w:numId="6">
    <w:abstractNumId w:val="9"/>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num>
  <w:num w:numId="23">
    <w:abstractNumId w:val="21"/>
    <w:lvlOverride w:ilvl="0">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6"/>
  </w:num>
  <w:num w:numId="35">
    <w:abstractNumId w:val="19"/>
  </w:num>
  <w:num w:numId="36">
    <w:abstractNumId w:val="18"/>
  </w:num>
  <w:num w:numId="37">
    <w:abstractNumId w:val="11"/>
  </w:num>
  <w:num w:numId="38">
    <w:abstractNumId w:val="20"/>
  </w:num>
  <w:num w:numId="39">
    <w:abstractNumId w:val="8"/>
  </w:num>
  <w:num w:numId="40">
    <w:abstractNumId w:val="12"/>
  </w:num>
  <w:num w:numId="41">
    <w:abstractNumId w:val="6"/>
  </w:num>
  <w:num w:numId="42">
    <w:abstractNumId w:val="19"/>
  </w:num>
  <w:num w:numId="43">
    <w:abstractNumId w:val="5"/>
  </w:num>
  <w:num w:numId="44">
    <w:abstractNumId w:val="14"/>
  </w:num>
  <w:num w:numId="45">
    <w:abstractNumId w:val="16"/>
  </w:num>
  <w:num w:numId="46">
    <w:abstractNumId w:val="17"/>
  </w:num>
  <w:num w:numId="47">
    <w:abstractNumId w:val="7"/>
  </w:num>
  <w:num w:numId="48">
    <w:abstractNumId w:val="15"/>
  </w:num>
  <w:num w:numId="49">
    <w:abstractNumId w:val="21"/>
  </w:num>
  <w:num w:numId="50">
    <w:abstractNumId w:val="19"/>
  </w:num>
  <w:num w:numId="51">
    <w:abstractNumId w:val="19"/>
  </w:num>
  <w:num w:numId="52">
    <w:abstractNumId w:val="19"/>
  </w:num>
  <w:num w:numId="53">
    <w:abstractNumId w:val="13"/>
  </w:num>
  <w:num w:numId="54">
    <w:abstractNumId w:val="6"/>
  </w:num>
  <w:num w:numId="55">
    <w:abstractNumId w:val="6"/>
  </w:num>
  <w:num w:numId="56">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en-AU" w:vendorID="64" w:dllVersion="131078" w:nlCheck="1" w:checkStyle="1"/>
  <w:activeWritingStyle w:appName="MSWord" w:lang="es-ES_tradnl" w:vendorID="64" w:dllVersion="131078" w:nlCheck="1" w:checkStyle="0"/>
  <w:activeWritingStyle w:appName="MSWord" w:lang="es-ES" w:vendorID="64" w:dllVersion="131078" w:nlCheck="1" w:checkStyle="0"/>
  <w:activeWritingStyle w:appName="MSWord" w:lang="it-IT" w:vendorID="64" w:dllVersion="131078" w:nlCheck="1" w:checkStyle="0"/>
  <w:activeWritingStyle w:appName="MSWord" w:lang="fi-FI" w:vendorID="64" w:dllVersion="131078" w:nlCheck="1" w:checkStyle="0"/>
  <w:attachedTemplate r:id="rId1"/>
  <w:revisionView w:markup="0"/>
  <w:defaultTabStop w:val="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3-28 16:27:12"/>
    <w:docVar w:name="DQCNUMB_1" w:val="15"/>
    <w:docVar w:name="DQCNUMB_10" w:val="274"/>
    <w:docVar w:name="DQCNUMB_11" w:val="275"/>
    <w:docVar w:name="DQCNUMB_12" w:val="281"/>
    <w:docVar w:name="DQCNUMB_13" w:val="305"/>
    <w:docVar w:name="DQCNUMB_14" w:val="306"/>
    <w:docVar w:name="DQCNUMB_15" w:val="307"/>
    <w:docVar w:name="DQCNUMB_16" w:val="308"/>
    <w:docVar w:name="DQCNUMB_17" w:val="311"/>
    <w:docVar w:name="DQCNUMB_18" w:val="312"/>
    <w:docVar w:name="DQCNUMB_19" w:val="313"/>
    <w:docVar w:name="DQCNUMB_2" w:val="16"/>
    <w:docVar w:name="DQCNUMB_20" w:val="314"/>
    <w:docVar w:name="DQCNUMB_21" w:val="315"/>
    <w:docVar w:name="DQCNUMB_22" w:val="316"/>
    <w:docVar w:name="DQCNUMB_23" w:val="317"/>
    <w:docVar w:name="DQCNUMB_24" w:val="318"/>
    <w:docVar w:name="DQCNUMB_25" w:val="321"/>
    <w:docVar w:name="DQCNUMB_26" w:val="322"/>
    <w:docVar w:name="DQCNUMB_27" w:val="326"/>
    <w:docVar w:name="DQCNUMB_28" w:val="327"/>
    <w:docVar w:name="DQCNUMB_29" w:val="331"/>
    <w:docVar w:name="DQCNUMB_3" w:val="17"/>
    <w:docVar w:name="DQCNUMB_30" w:val="332"/>
    <w:docVar w:name="DQCNUMB_31" w:val="333"/>
    <w:docVar w:name="DQCNUMB_32" w:val="334"/>
    <w:docVar w:name="DQCNUMB_33" w:val="335"/>
    <w:docVar w:name="DQCNUMB_34" w:val="336"/>
    <w:docVar w:name="DQCNUMB_35" w:val="364"/>
    <w:docVar w:name="DQCNUMB_36" w:val="365"/>
    <w:docVar w:name="DQCNUMB_37" w:val="438"/>
    <w:docVar w:name="DQCNUMB_38" w:val="440"/>
    <w:docVar w:name="DQCNUMB_39" w:val="441"/>
    <w:docVar w:name="DQCNUMB_4" w:val="18"/>
    <w:docVar w:name="DQCNUMB_40" w:val="447"/>
    <w:docVar w:name="DQCNUMB_41" w:val="449"/>
    <w:docVar w:name="DQCNUMB_42" w:val="450"/>
    <w:docVar w:name="DQCNUMB_43" w:val="461"/>
    <w:docVar w:name="DQCNUMB_44" w:val="462"/>
    <w:docVar w:name="DQCNUMB_45" w:val="463"/>
    <w:docVar w:name="DQCNUMB_46" w:val="464"/>
    <w:docVar w:name="DQCNUMB_47" w:val="468"/>
    <w:docVar w:name="DQCNUMB_48" w:val="476"/>
    <w:docVar w:name="DQCNUMB_5" w:val="19"/>
    <w:docVar w:name="DQCNUMB_6" w:val="260"/>
    <w:docVar w:name="DQCNUMB_7" w:val="261"/>
    <w:docVar w:name="DQCNUMB_8" w:val="268"/>
    <w:docVar w:name="DQCNUMB_9" w:val="269"/>
    <w:docVar w:name="DQCRepairStyles" w:val=";TOC 9;Point 0 (letter);"/>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37"/>
    <w:docVar w:name="DQCStatus" w:val="Green"/>
    <w:docVar w:name="DQCVersion" w:val="3"/>
    <w:docVar w:name="DQCWithWarnings" w:val="0"/>
    <w:docVar w:name="LW_CORRIGENDUM" w:val="&lt;UNUSED&gt;"/>
    <w:docVar w:name="LW_COVERPAGE_EXISTS" w:val="True"/>
    <w:docVar w:name="LW_COVERPAGE_GUID" w:val="F8034BFB-4D7E-457A-B3D3-A9843F591AF7"/>
    <w:docVar w:name="LW_COVERPAGE_TYPE" w:val="1"/>
    <w:docVar w:name="LW_CROSSREFERENCE" w:val="{SEC(2022) 95 final} - {SWD(2022) 38 final} - {SWD(2022) 39 final} - {SWD(2022) 42 final} - {SWD(2022) 43 final}"/>
    <w:docVar w:name="LW_DocType" w:val="COM"/>
    <w:docVar w:name="LW_EMISSION" w:val="23.2.2022"/>
    <w:docVar w:name="LW_EMISSION_ISODATE" w:val="2022-02-23"/>
    <w:docVar w:name="LW_EMISSION_LOCATION" w:val="BRX"/>
    <w:docVar w:name="LW_EMISSION_PREFIX" w:val="Bruksela, dnia "/>
    <w:docVar w:name="LW_EMISSION_SUFFIX" w:val=" r."/>
    <w:docVar w:name="LW_ID_DOCMODEL" w:val="SJ-024"/>
    <w:docVar w:name="LW_ID_DOCSIGNATURE" w:val="SJ-024"/>
    <w:docVar w:name="LW_ID_DOCSTRUCTURE" w:val="COM/PL/ORG"/>
    <w:docVar w:name="LW_ID_DOCTYPE" w:val="SJ-024"/>
    <w:docVar w:name="LW_ID_EXP.MOTIFS.NEW" w:val="EM_PL_"/>
    <w:docVar w:name="LW_ID_STATUT" w:val="SJ-024"/>
    <w:docVar w:name="LW_INTERETEEE.CP" w:val="(Tekst mają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051"/>
    <w:docVar w:name="LW_REF.II.NEW.CP_YEAR" w:val="2022"/>
    <w:docVar w:name="LW_REF.INST.NEW" w:val="COM"/>
    <w:docVar w:name="LW_REF.INST.NEW_ADOPTED" w:val="final"/>
    <w:docVar w:name="LW_REF.INST.NEW_TEXT" w:val="(2022) 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w sprawie należytej staranności przedsiębiorstw w zakresie zrównoważonego rozwoju oraz zmieniająca dyrektywę (UE) 2019/1937"/>
    <w:docVar w:name="LW_TYPE.DOC.CP" w:val="DYREKTYWA PARLAMENTU EUROPEJSKIEGO I RADY"/>
    <w:docVar w:name="LwApiVersions" w:val="LW4CoDe 1.23.2.0; LW 8.0, Build 20211117"/>
  </w:docVars>
  <w:rsids>
    <w:rsidRoot w:val="0080592F"/>
    <w:rsid w:val="000000A0"/>
    <w:rsid w:val="000000AC"/>
    <w:rsid w:val="0000031C"/>
    <w:rsid w:val="000003B7"/>
    <w:rsid w:val="0000065B"/>
    <w:rsid w:val="00000710"/>
    <w:rsid w:val="0000080E"/>
    <w:rsid w:val="00000973"/>
    <w:rsid w:val="00000A80"/>
    <w:rsid w:val="00000BE4"/>
    <w:rsid w:val="00000BF8"/>
    <w:rsid w:val="00000CA8"/>
    <w:rsid w:val="000011D0"/>
    <w:rsid w:val="000019FA"/>
    <w:rsid w:val="00001A98"/>
    <w:rsid w:val="00001CE7"/>
    <w:rsid w:val="00001F04"/>
    <w:rsid w:val="0000213C"/>
    <w:rsid w:val="000021DB"/>
    <w:rsid w:val="0000249B"/>
    <w:rsid w:val="0000267E"/>
    <w:rsid w:val="00002810"/>
    <w:rsid w:val="0000293B"/>
    <w:rsid w:val="00002A90"/>
    <w:rsid w:val="00002B60"/>
    <w:rsid w:val="00002C43"/>
    <w:rsid w:val="00003255"/>
    <w:rsid w:val="00003319"/>
    <w:rsid w:val="00003399"/>
    <w:rsid w:val="000033A4"/>
    <w:rsid w:val="0000354B"/>
    <w:rsid w:val="000035CB"/>
    <w:rsid w:val="00003677"/>
    <w:rsid w:val="000037A9"/>
    <w:rsid w:val="00003B7D"/>
    <w:rsid w:val="00003C0A"/>
    <w:rsid w:val="00003C4A"/>
    <w:rsid w:val="00003E04"/>
    <w:rsid w:val="00003EFA"/>
    <w:rsid w:val="00003FF3"/>
    <w:rsid w:val="000040CD"/>
    <w:rsid w:val="0000465B"/>
    <w:rsid w:val="00004914"/>
    <w:rsid w:val="0000494D"/>
    <w:rsid w:val="0000513E"/>
    <w:rsid w:val="0000527D"/>
    <w:rsid w:val="000052CE"/>
    <w:rsid w:val="000053F1"/>
    <w:rsid w:val="0000542D"/>
    <w:rsid w:val="000054F6"/>
    <w:rsid w:val="00005508"/>
    <w:rsid w:val="00005516"/>
    <w:rsid w:val="00005735"/>
    <w:rsid w:val="0000616A"/>
    <w:rsid w:val="00006378"/>
    <w:rsid w:val="000063AE"/>
    <w:rsid w:val="00006799"/>
    <w:rsid w:val="000069CA"/>
    <w:rsid w:val="00006AA4"/>
    <w:rsid w:val="00006C5D"/>
    <w:rsid w:val="00006D10"/>
    <w:rsid w:val="00006F22"/>
    <w:rsid w:val="00006F6D"/>
    <w:rsid w:val="00007041"/>
    <w:rsid w:val="000070BC"/>
    <w:rsid w:val="000070FF"/>
    <w:rsid w:val="00007728"/>
    <w:rsid w:val="00007B37"/>
    <w:rsid w:val="00007F93"/>
    <w:rsid w:val="0001015E"/>
    <w:rsid w:val="0001020C"/>
    <w:rsid w:val="00010287"/>
    <w:rsid w:val="000102DF"/>
    <w:rsid w:val="000104F6"/>
    <w:rsid w:val="00010B8F"/>
    <w:rsid w:val="00010BAE"/>
    <w:rsid w:val="00010E60"/>
    <w:rsid w:val="00010F64"/>
    <w:rsid w:val="000110C0"/>
    <w:rsid w:val="000111AF"/>
    <w:rsid w:val="000112B7"/>
    <w:rsid w:val="000113AF"/>
    <w:rsid w:val="0001144E"/>
    <w:rsid w:val="000119F2"/>
    <w:rsid w:val="00011C44"/>
    <w:rsid w:val="00011C46"/>
    <w:rsid w:val="00011C7B"/>
    <w:rsid w:val="000120B2"/>
    <w:rsid w:val="0001232C"/>
    <w:rsid w:val="00012725"/>
    <w:rsid w:val="00012878"/>
    <w:rsid w:val="0001296F"/>
    <w:rsid w:val="00012F6A"/>
    <w:rsid w:val="0001342D"/>
    <w:rsid w:val="00013794"/>
    <w:rsid w:val="00013A55"/>
    <w:rsid w:val="00013A5F"/>
    <w:rsid w:val="00013D83"/>
    <w:rsid w:val="000140FF"/>
    <w:rsid w:val="000141C3"/>
    <w:rsid w:val="00014433"/>
    <w:rsid w:val="00014836"/>
    <w:rsid w:val="00014C19"/>
    <w:rsid w:val="00014CEC"/>
    <w:rsid w:val="00014D3E"/>
    <w:rsid w:val="00014E6D"/>
    <w:rsid w:val="00015026"/>
    <w:rsid w:val="00015088"/>
    <w:rsid w:val="000150BE"/>
    <w:rsid w:val="000151E3"/>
    <w:rsid w:val="00015210"/>
    <w:rsid w:val="0001592D"/>
    <w:rsid w:val="000159B4"/>
    <w:rsid w:val="000159E5"/>
    <w:rsid w:val="0001600B"/>
    <w:rsid w:val="0001620D"/>
    <w:rsid w:val="00016785"/>
    <w:rsid w:val="00016C5A"/>
    <w:rsid w:val="00016E65"/>
    <w:rsid w:val="00017006"/>
    <w:rsid w:val="0001708F"/>
    <w:rsid w:val="000171D3"/>
    <w:rsid w:val="0001736E"/>
    <w:rsid w:val="000175BC"/>
    <w:rsid w:val="00017648"/>
    <w:rsid w:val="00017923"/>
    <w:rsid w:val="00017A7D"/>
    <w:rsid w:val="00017AEE"/>
    <w:rsid w:val="00017B27"/>
    <w:rsid w:val="00017DA9"/>
    <w:rsid w:val="00020085"/>
    <w:rsid w:val="0002008F"/>
    <w:rsid w:val="0002020D"/>
    <w:rsid w:val="00020478"/>
    <w:rsid w:val="00020655"/>
    <w:rsid w:val="00020780"/>
    <w:rsid w:val="000207B8"/>
    <w:rsid w:val="00020850"/>
    <w:rsid w:val="000208A8"/>
    <w:rsid w:val="0002091B"/>
    <w:rsid w:val="00020A8B"/>
    <w:rsid w:val="00020CD3"/>
    <w:rsid w:val="00020EFA"/>
    <w:rsid w:val="00020F4A"/>
    <w:rsid w:val="00020F85"/>
    <w:rsid w:val="00021139"/>
    <w:rsid w:val="00021629"/>
    <w:rsid w:val="00021ADA"/>
    <w:rsid w:val="000221F9"/>
    <w:rsid w:val="00022265"/>
    <w:rsid w:val="0002244E"/>
    <w:rsid w:val="0002256A"/>
    <w:rsid w:val="00022588"/>
    <w:rsid w:val="00022947"/>
    <w:rsid w:val="00022B45"/>
    <w:rsid w:val="00022B65"/>
    <w:rsid w:val="0002305C"/>
    <w:rsid w:val="00023453"/>
    <w:rsid w:val="000238D3"/>
    <w:rsid w:val="00023AC7"/>
    <w:rsid w:val="00023AED"/>
    <w:rsid w:val="00023AF5"/>
    <w:rsid w:val="00023F12"/>
    <w:rsid w:val="0002418C"/>
    <w:rsid w:val="000243B3"/>
    <w:rsid w:val="00024655"/>
    <w:rsid w:val="000247D5"/>
    <w:rsid w:val="00024875"/>
    <w:rsid w:val="00024A41"/>
    <w:rsid w:val="00024B1A"/>
    <w:rsid w:val="00024B7F"/>
    <w:rsid w:val="00024EAA"/>
    <w:rsid w:val="000253B4"/>
    <w:rsid w:val="000254C1"/>
    <w:rsid w:val="0002554F"/>
    <w:rsid w:val="00025713"/>
    <w:rsid w:val="00025743"/>
    <w:rsid w:val="000257E8"/>
    <w:rsid w:val="000259BB"/>
    <w:rsid w:val="00025B8B"/>
    <w:rsid w:val="00025BB7"/>
    <w:rsid w:val="00025D3E"/>
    <w:rsid w:val="00025FD3"/>
    <w:rsid w:val="00026355"/>
    <w:rsid w:val="0002648E"/>
    <w:rsid w:val="00026AC7"/>
    <w:rsid w:val="00026B2F"/>
    <w:rsid w:val="00026C6B"/>
    <w:rsid w:val="00026C72"/>
    <w:rsid w:val="00026CC4"/>
    <w:rsid w:val="00027530"/>
    <w:rsid w:val="0002780B"/>
    <w:rsid w:val="00027B02"/>
    <w:rsid w:val="00027F00"/>
    <w:rsid w:val="00027FF8"/>
    <w:rsid w:val="000300D6"/>
    <w:rsid w:val="000304CB"/>
    <w:rsid w:val="00030519"/>
    <w:rsid w:val="000306B1"/>
    <w:rsid w:val="000306E0"/>
    <w:rsid w:val="00030932"/>
    <w:rsid w:val="00030A8C"/>
    <w:rsid w:val="00030BE2"/>
    <w:rsid w:val="00030D79"/>
    <w:rsid w:val="00030DA6"/>
    <w:rsid w:val="00030EDD"/>
    <w:rsid w:val="00030FCA"/>
    <w:rsid w:val="00031385"/>
    <w:rsid w:val="0003147B"/>
    <w:rsid w:val="000315AD"/>
    <w:rsid w:val="00031801"/>
    <w:rsid w:val="000319CF"/>
    <w:rsid w:val="000319D3"/>
    <w:rsid w:val="00031A3D"/>
    <w:rsid w:val="00031C22"/>
    <w:rsid w:val="00031CC7"/>
    <w:rsid w:val="00031D3F"/>
    <w:rsid w:val="00031F1A"/>
    <w:rsid w:val="00031F44"/>
    <w:rsid w:val="000320E4"/>
    <w:rsid w:val="00032E23"/>
    <w:rsid w:val="0003308B"/>
    <w:rsid w:val="00033689"/>
    <w:rsid w:val="0003384A"/>
    <w:rsid w:val="000338CB"/>
    <w:rsid w:val="00033965"/>
    <w:rsid w:val="00033994"/>
    <w:rsid w:val="000339E5"/>
    <w:rsid w:val="00033C0E"/>
    <w:rsid w:val="00033C87"/>
    <w:rsid w:val="00033F70"/>
    <w:rsid w:val="000341F3"/>
    <w:rsid w:val="00034260"/>
    <w:rsid w:val="00034726"/>
    <w:rsid w:val="00034744"/>
    <w:rsid w:val="000349C3"/>
    <w:rsid w:val="00034A0F"/>
    <w:rsid w:val="00034AD0"/>
    <w:rsid w:val="00034AFF"/>
    <w:rsid w:val="00034B0C"/>
    <w:rsid w:val="00034CF1"/>
    <w:rsid w:val="00034DC7"/>
    <w:rsid w:val="00034EC8"/>
    <w:rsid w:val="00034EF1"/>
    <w:rsid w:val="000350F2"/>
    <w:rsid w:val="0003523E"/>
    <w:rsid w:val="000352D2"/>
    <w:rsid w:val="000353C6"/>
    <w:rsid w:val="000357D5"/>
    <w:rsid w:val="00035970"/>
    <w:rsid w:val="00035CD2"/>
    <w:rsid w:val="00035DC9"/>
    <w:rsid w:val="00035EB3"/>
    <w:rsid w:val="00036119"/>
    <w:rsid w:val="0003617B"/>
    <w:rsid w:val="00036218"/>
    <w:rsid w:val="00036272"/>
    <w:rsid w:val="0003666F"/>
    <w:rsid w:val="00036777"/>
    <w:rsid w:val="00036824"/>
    <w:rsid w:val="0003685A"/>
    <w:rsid w:val="000369B9"/>
    <w:rsid w:val="00036BE1"/>
    <w:rsid w:val="00036C67"/>
    <w:rsid w:val="00036F5A"/>
    <w:rsid w:val="00036F6E"/>
    <w:rsid w:val="000372BC"/>
    <w:rsid w:val="000372D0"/>
    <w:rsid w:val="00037448"/>
    <w:rsid w:val="00037593"/>
    <w:rsid w:val="00037635"/>
    <w:rsid w:val="0003799E"/>
    <w:rsid w:val="000379AD"/>
    <w:rsid w:val="00037EAC"/>
    <w:rsid w:val="00037F9E"/>
    <w:rsid w:val="0004030F"/>
    <w:rsid w:val="00040359"/>
    <w:rsid w:val="00040BB8"/>
    <w:rsid w:val="00040D4A"/>
    <w:rsid w:val="00040F32"/>
    <w:rsid w:val="00040F70"/>
    <w:rsid w:val="00041875"/>
    <w:rsid w:val="00041913"/>
    <w:rsid w:val="00041951"/>
    <w:rsid w:val="000419DA"/>
    <w:rsid w:val="00041CDA"/>
    <w:rsid w:val="00041D2C"/>
    <w:rsid w:val="00041DB5"/>
    <w:rsid w:val="000422FB"/>
    <w:rsid w:val="00042386"/>
    <w:rsid w:val="000426F4"/>
    <w:rsid w:val="000428AE"/>
    <w:rsid w:val="00042905"/>
    <w:rsid w:val="00042A8C"/>
    <w:rsid w:val="00042B0A"/>
    <w:rsid w:val="00042B7D"/>
    <w:rsid w:val="00043249"/>
    <w:rsid w:val="000436C4"/>
    <w:rsid w:val="000438B8"/>
    <w:rsid w:val="00043980"/>
    <w:rsid w:val="000442E9"/>
    <w:rsid w:val="000446EB"/>
    <w:rsid w:val="00044742"/>
    <w:rsid w:val="0004483E"/>
    <w:rsid w:val="000448FC"/>
    <w:rsid w:val="00044BA2"/>
    <w:rsid w:val="00044CF7"/>
    <w:rsid w:val="00044E12"/>
    <w:rsid w:val="0004513F"/>
    <w:rsid w:val="0004527D"/>
    <w:rsid w:val="00045800"/>
    <w:rsid w:val="00045940"/>
    <w:rsid w:val="00045AFD"/>
    <w:rsid w:val="00045DB3"/>
    <w:rsid w:val="00045E64"/>
    <w:rsid w:val="00045FA8"/>
    <w:rsid w:val="00046021"/>
    <w:rsid w:val="0004606B"/>
    <w:rsid w:val="00046098"/>
    <w:rsid w:val="0004653C"/>
    <w:rsid w:val="000466FD"/>
    <w:rsid w:val="0004677F"/>
    <w:rsid w:val="000468ED"/>
    <w:rsid w:val="00046945"/>
    <w:rsid w:val="000469C4"/>
    <w:rsid w:val="00046A4F"/>
    <w:rsid w:val="00046A5B"/>
    <w:rsid w:val="00046AC6"/>
    <w:rsid w:val="00046E0B"/>
    <w:rsid w:val="00046E52"/>
    <w:rsid w:val="00046FEE"/>
    <w:rsid w:val="00047010"/>
    <w:rsid w:val="000470A3"/>
    <w:rsid w:val="000474CC"/>
    <w:rsid w:val="000476E2"/>
    <w:rsid w:val="00047899"/>
    <w:rsid w:val="00047ED6"/>
    <w:rsid w:val="000505A2"/>
    <w:rsid w:val="000505B2"/>
    <w:rsid w:val="0005060F"/>
    <w:rsid w:val="000506FE"/>
    <w:rsid w:val="000509BC"/>
    <w:rsid w:val="00050E29"/>
    <w:rsid w:val="00050FA3"/>
    <w:rsid w:val="00050FC9"/>
    <w:rsid w:val="000510AA"/>
    <w:rsid w:val="0005121B"/>
    <w:rsid w:val="000512E1"/>
    <w:rsid w:val="00051599"/>
    <w:rsid w:val="000516E8"/>
    <w:rsid w:val="000516FB"/>
    <w:rsid w:val="000519BF"/>
    <w:rsid w:val="000519FA"/>
    <w:rsid w:val="00051C9D"/>
    <w:rsid w:val="000525A2"/>
    <w:rsid w:val="0005268E"/>
    <w:rsid w:val="00052B91"/>
    <w:rsid w:val="00052DE0"/>
    <w:rsid w:val="00052EEA"/>
    <w:rsid w:val="00052F42"/>
    <w:rsid w:val="00052FA8"/>
    <w:rsid w:val="000532D0"/>
    <w:rsid w:val="00053310"/>
    <w:rsid w:val="00053380"/>
    <w:rsid w:val="000534A7"/>
    <w:rsid w:val="0005383C"/>
    <w:rsid w:val="00053C6E"/>
    <w:rsid w:val="00053D77"/>
    <w:rsid w:val="00053E9B"/>
    <w:rsid w:val="00054036"/>
    <w:rsid w:val="00054139"/>
    <w:rsid w:val="00054411"/>
    <w:rsid w:val="000544AA"/>
    <w:rsid w:val="00054515"/>
    <w:rsid w:val="0005452C"/>
    <w:rsid w:val="00054697"/>
    <w:rsid w:val="000546FC"/>
    <w:rsid w:val="00054B3A"/>
    <w:rsid w:val="00054B5D"/>
    <w:rsid w:val="00054C91"/>
    <w:rsid w:val="00054CF8"/>
    <w:rsid w:val="00054D10"/>
    <w:rsid w:val="0005509A"/>
    <w:rsid w:val="0005525A"/>
    <w:rsid w:val="00055377"/>
    <w:rsid w:val="000554B9"/>
    <w:rsid w:val="00055561"/>
    <w:rsid w:val="0005559D"/>
    <w:rsid w:val="00055760"/>
    <w:rsid w:val="00055B41"/>
    <w:rsid w:val="00055BE7"/>
    <w:rsid w:val="00055D48"/>
    <w:rsid w:val="0005636F"/>
    <w:rsid w:val="00056CA2"/>
    <w:rsid w:val="00056D04"/>
    <w:rsid w:val="00056DFF"/>
    <w:rsid w:val="0005709E"/>
    <w:rsid w:val="000572C8"/>
    <w:rsid w:val="000573DD"/>
    <w:rsid w:val="0005752A"/>
    <w:rsid w:val="0005752B"/>
    <w:rsid w:val="0005754C"/>
    <w:rsid w:val="00057D7D"/>
    <w:rsid w:val="00057DA5"/>
    <w:rsid w:val="00060324"/>
    <w:rsid w:val="00060632"/>
    <w:rsid w:val="00060958"/>
    <w:rsid w:val="00060A60"/>
    <w:rsid w:val="00060D53"/>
    <w:rsid w:val="00060DF0"/>
    <w:rsid w:val="00060E0F"/>
    <w:rsid w:val="000611D1"/>
    <w:rsid w:val="0006166A"/>
    <w:rsid w:val="00061677"/>
    <w:rsid w:val="000616A0"/>
    <w:rsid w:val="0006173E"/>
    <w:rsid w:val="00061CEB"/>
    <w:rsid w:val="0006227E"/>
    <w:rsid w:val="0006231E"/>
    <w:rsid w:val="0006254D"/>
    <w:rsid w:val="000626A1"/>
    <w:rsid w:val="00062843"/>
    <w:rsid w:val="00062947"/>
    <w:rsid w:val="00062D80"/>
    <w:rsid w:val="00062E78"/>
    <w:rsid w:val="0006303C"/>
    <w:rsid w:val="00063062"/>
    <w:rsid w:val="000630AF"/>
    <w:rsid w:val="000630C2"/>
    <w:rsid w:val="00063170"/>
    <w:rsid w:val="00063373"/>
    <w:rsid w:val="000634FF"/>
    <w:rsid w:val="00063ED4"/>
    <w:rsid w:val="0006406C"/>
    <w:rsid w:val="0006450B"/>
    <w:rsid w:val="0006451D"/>
    <w:rsid w:val="00064CCC"/>
    <w:rsid w:val="00064DE2"/>
    <w:rsid w:val="00064F20"/>
    <w:rsid w:val="00064F76"/>
    <w:rsid w:val="00064F9A"/>
    <w:rsid w:val="000650BE"/>
    <w:rsid w:val="00065167"/>
    <w:rsid w:val="00065177"/>
    <w:rsid w:val="00065246"/>
    <w:rsid w:val="00065781"/>
    <w:rsid w:val="00065992"/>
    <w:rsid w:val="00065B11"/>
    <w:rsid w:val="00065D2F"/>
    <w:rsid w:val="00065D63"/>
    <w:rsid w:val="00065DDC"/>
    <w:rsid w:val="00065E44"/>
    <w:rsid w:val="00065F17"/>
    <w:rsid w:val="00065FEE"/>
    <w:rsid w:val="0006606C"/>
    <w:rsid w:val="000663E8"/>
    <w:rsid w:val="00066564"/>
    <w:rsid w:val="0006686F"/>
    <w:rsid w:val="000669C1"/>
    <w:rsid w:val="00066B76"/>
    <w:rsid w:val="00066D82"/>
    <w:rsid w:val="00066E00"/>
    <w:rsid w:val="00066F4A"/>
    <w:rsid w:val="0006721E"/>
    <w:rsid w:val="000674E1"/>
    <w:rsid w:val="000677D8"/>
    <w:rsid w:val="00067832"/>
    <w:rsid w:val="00067C5E"/>
    <w:rsid w:val="0007017A"/>
    <w:rsid w:val="0007033D"/>
    <w:rsid w:val="00070489"/>
    <w:rsid w:val="0007058B"/>
    <w:rsid w:val="000705CF"/>
    <w:rsid w:val="000707D0"/>
    <w:rsid w:val="00070850"/>
    <w:rsid w:val="000709A3"/>
    <w:rsid w:val="00070A59"/>
    <w:rsid w:val="00070AB9"/>
    <w:rsid w:val="00070B44"/>
    <w:rsid w:val="00070B66"/>
    <w:rsid w:val="00070D10"/>
    <w:rsid w:val="00070E4E"/>
    <w:rsid w:val="000711CE"/>
    <w:rsid w:val="0007129C"/>
    <w:rsid w:val="00071580"/>
    <w:rsid w:val="0007164D"/>
    <w:rsid w:val="000716C1"/>
    <w:rsid w:val="0007170C"/>
    <w:rsid w:val="000718C4"/>
    <w:rsid w:val="00071A43"/>
    <w:rsid w:val="00071BB3"/>
    <w:rsid w:val="00071C79"/>
    <w:rsid w:val="0007207E"/>
    <w:rsid w:val="000720ED"/>
    <w:rsid w:val="000724B4"/>
    <w:rsid w:val="00072961"/>
    <w:rsid w:val="00072A06"/>
    <w:rsid w:val="00072A29"/>
    <w:rsid w:val="00072ADA"/>
    <w:rsid w:val="00072CF9"/>
    <w:rsid w:val="00072D2B"/>
    <w:rsid w:val="00072EE1"/>
    <w:rsid w:val="00073046"/>
    <w:rsid w:val="0007321B"/>
    <w:rsid w:val="00073443"/>
    <w:rsid w:val="00073F57"/>
    <w:rsid w:val="00074206"/>
    <w:rsid w:val="00074230"/>
    <w:rsid w:val="000742D1"/>
    <w:rsid w:val="000743B2"/>
    <w:rsid w:val="00074480"/>
    <w:rsid w:val="000744FF"/>
    <w:rsid w:val="00074501"/>
    <w:rsid w:val="000747D1"/>
    <w:rsid w:val="00074933"/>
    <w:rsid w:val="00074E93"/>
    <w:rsid w:val="00075065"/>
    <w:rsid w:val="0007519F"/>
    <w:rsid w:val="0007547F"/>
    <w:rsid w:val="000754EE"/>
    <w:rsid w:val="00075568"/>
    <w:rsid w:val="000755E2"/>
    <w:rsid w:val="00075862"/>
    <w:rsid w:val="00075B21"/>
    <w:rsid w:val="00075B5F"/>
    <w:rsid w:val="00075BF9"/>
    <w:rsid w:val="00075E07"/>
    <w:rsid w:val="000760ED"/>
    <w:rsid w:val="000762AD"/>
    <w:rsid w:val="000763E8"/>
    <w:rsid w:val="00076418"/>
    <w:rsid w:val="000767DE"/>
    <w:rsid w:val="00076938"/>
    <w:rsid w:val="00076A7B"/>
    <w:rsid w:val="00076B4C"/>
    <w:rsid w:val="00076E4A"/>
    <w:rsid w:val="0007701A"/>
    <w:rsid w:val="00077056"/>
    <w:rsid w:val="00077127"/>
    <w:rsid w:val="000771AC"/>
    <w:rsid w:val="00077222"/>
    <w:rsid w:val="00077304"/>
    <w:rsid w:val="00077386"/>
    <w:rsid w:val="00077474"/>
    <w:rsid w:val="000779DA"/>
    <w:rsid w:val="00077C01"/>
    <w:rsid w:val="00077D1C"/>
    <w:rsid w:val="00077FD7"/>
    <w:rsid w:val="000802D6"/>
    <w:rsid w:val="000802EF"/>
    <w:rsid w:val="0008086B"/>
    <w:rsid w:val="000809F2"/>
    <w:rsid w:val="00080D5E"/>
    <w:rsid w:val="00080F2E"/>
    <w:rsid w:val="00080F48"/>
    <w:rsid w:val="00081023"/>
    <w:rsid w:val="00081226"/>
    <w:rsid w:val="000812C0"/>
    <w:rsid w:val="000812E8"/>
    <w:rsid w:val="000815D2"/>
    <w:rsid w:val="00081644"/>
    <w:rsid w:val="00081999"/>
    <w:rsid w:val="00081B1A"/>
    <w:rsid w:val="00081C7E"/>
    <w:rsid w:val="00082467"/>
    <w:rsid w:val="00082570"/>
    <w:rsid w:val="000828D5"/>
    <w:rsid w:val="00082A70"/>
    <w:rsid w:val="00082B21"/>
    <w:rsid w:val="00082B41"/>
    <w:rsid w:val="00082BAD"/>
    <w:rsid w:val="00082D7F"/>
    <w:rsid w:val="00083030"/>
    <w:rsid w:val="00083500"/>
    <w:rsid w:val="0008388E"/>
    <w:rsid w:val="00083972"/>
    <w:rsid w:val="00083996"/>
    <w:rsid w:val="000839FA"/>
    <w:rsid w:val="00083B60"/>
    <w:rsid w:val="00083C69"/>
    <w:rsid w:val="00083E10"/>
    <w:rsid w:val="00083EFE"/>
    <w:rsid w:val="00084312"/>
    <w:rsid w:val="0008455C"/>
    <w:rsid w:val="00084570"/>
    <w:rsid w:val="000849B4"/>
    <w:rsid w:val="00084F6F"/>
    <w:rsid w:val="00085035"/>
    <w:rsid w:val="00085074"/>
    <w:rsid w:val="000851D8"/>
    <w:rsid w:val="000859C3"/>
    <w:rsid w:val="000859FE"/>
    <w:rsid w:val="00085C00"/>
    <w:rsid w:val="00085DC3"/>
    <w:rsid w:val="00085EF5"/>
    <w:rsid w:val="00086169"/>
    <w:rsid w:val="000861F0"/>
    <w:rsid w:val="0008668D"/>
    <w:rsid w:val="00086A86"/>
    <w:rsid w:val="00086C24"/>
    <w:rsid w:val="00087378"/>
    <w:rsid w:val="000873D9"/>
    <w:rsid w:val="00087456"/>
    <w:rsid w:val="000874FF"/>
    <w:rsid w:val="00087756"/>
    <w:rsid w:val="00087767"/>
    <w:rsid w:val="00087841"/>
    <w:rsid w:val="00087926"/>
    <w:rsid w:val="00087E59"/>
    <w:rsid w:val="00087FAF"/>
    <w:rsid w:val="00090053"/>
    <w:rsid w:val="000900E1"/>
    <w:rsid w:val="00090116"/>
    <w:rsid w:val="000905C3"/>
    <w:rsid w:val="000908E3"/>
    <w:rsid w:val="00090A95"/>
    <w:rsid w:val="00090C5A"/>
    <w:rsid w:val="00090DDB"/>
    <w:rsid w:val="000910B7"/>
    <w:rsid w:val="000910D7"/>
    <w:rsid w:val="000912F4"/>
    <w:rsid w:val="0009142A"/>
    <w:rsid w:val="00091633"/>
    <w:rsid w:val="000916A6"/>
    <w:rsid w:val="00091886"/>
    <w:rsid w:val="00091DB3"/>
    <w:rsid w:val="00091EB5"/>
    <w:rsid w:val="00091F12"/>
    <w:rsid w:val="000925F0"/>
    <w:rsid w:val="00092680"/>
    <w:rsid w:val="00093191"/>
    <w:rsid w:val="00093360"/>
    <w:rsid w:val="0009347B"/>
    <w:rsid w:val="000934E7"/>
    <w:rsid w:val="00093624"/>
    <w:rsid w:val="00093770"/>
    <w:rsid w:val="00093A8A"/>
    <w:rsid w:val="00093B20"/>
    <w:rsid w:val="00093BB0"/>
    <w:rsid w:val="00093BF4"/>
    <w:rsid w:val="00093C2D"/>
    <w:rsid w:val="00093CD8"/>
    <w:rsid w:val="00093E2C"/>
    <w:rsid w:val="00093F05"/>
    <w:rsid w:val="00094029"/>
    <w:rsid w:val="0009460A"/>
    <w:rsid w:val="0009464E"/>
    <w:rsid w:val="0009472B"/>
    <w:rsid w:val="000949D8"/>
    <w:rsid w:val="00094C8F"/>
    <w:rsid w:val="00094D62"/>
    <w:rsid w:val="00094E86"/>
    <w:rsid w:val="000950AE"/>
    <w:rsid w:val="00095117"/>
    <w:rsid w:val="00095175"/>
    <w:rsid w:val="00095322"/>
    <w:rsid w:val="00095593"/>
    <w:rsid w:val="00095705"/>
    <w:rsid w:val="00095AF8"/>
    <w:rsid w:val="00096174"/>
    <w:rsid w:val="0009628C"/>
    <w:rsid w:val="0009665F"/>
    <w:rsid w:val="00096786"/>
    <w:rsid w:val="000968FE"/>
    <w:rsid w:val="00096EE3"/>
    <w:rsid w:val="00097076"/>
    <w:rsid w:val="0009714F"/>
    <w:rsid w:val="000972FB"/>
    <w:rsid w:val="00097418"/>
    <w:rsid w:val="00097729"/>
    <w:rsid w:val="0009774D"/>
    <w:rsid w:val="00097838"/>
    <w:rsid w:val="00097A32"/>
    <w:rsid w:val="00097C2D"/>
    <w:rsid w:val="00097D61"/>
    <w:rsid w:val="00097F84"/>
    <w:rsid w:val="000A0053"/>
    <w:rsid w:val="000A0304"/>
    <w:rsid w:val="000A05D0"/>
    <w:rsid w:val="000A08E6"/>
    <w:rsid w:val="000A0C86"/>
    <w:rsid w:val="000A0EE8"/>
    <w:rsid w:val="000A0F10"/>
    <w:rsid w:val="000A0F62"/>
    <w:rsid w:val="000A110F"/>
    <w:rsid w:val="000A1350"/>
    <w:rsid w:val="000A141D"/>
    <w:rsid w:val="000A1747"/>
    <w:rsid w:val="000A19A8"/>
    <w:rsid w:val="000A19C7"/>
    <w:rsid w:val="000A1FAA"/>
    <w:rsid w:val="000A20DA"/>
    <w:rsid w:val="000A236C"/>
    <w:rsid w:val="000A23D9"/>
    <w:rsid w:val="000A2528"/>
    <w:rsid w:val="000A2537"/>
    <w:rsid w:val="000A275B"/>
    <w:rsid w:val="000A2872"/>
    <w:rsid w:val="000A29C4"/>
    <w:rsid w:val="000A2AE9"/>
    <w:rsid w:val="000A2BAE"/>
    <w:rsid w:val="000A2BD3"/>
    <w:rsid w:val="000A2C46"/>
    <w:rsid w:val="000A2FBF"/>
    <w:rsid w:val="000A32B0"/>
    <w:rsid w:val="000A33FE"/>
    <w:rsid w:val="000A345E"/>
    <w:rsid w:val="000A34C2"/>
    <w:rsid w:val="000A34D6"/>
    <w:rsid w:val="000A3515"/>
    <w:rsid w:val="000A389E"/>
    <w:rsid w:val="000A3BD7"/>
    <w:rsid w:val="000A42DD"/>
    <w:rsid w:val="000A4383"/>
    <w:rsid w:val="000A4482"/>
    <w:rsid w:val="000A46DD"/>
    <w:rsid w:val="000A4736"/>
    <w:rsid w:val="000A497F"/>
    <w:rsid w:val="000A49E8"/>
    <w:rsid w:val="000A49FA"/>
    <w:rsid w:val="000A4C7B"/>
    <w:rsid w:val="000A4DE9"/>
    <w:rsid w:val="000A4E30"/>
    <w:rsid w:val="000A4FAE"/>
    <w:rsid w:val="000A50DD"/>
    <w:rsid w:val="000A5909"/>
    <w:rsid w:val="000A5A48"/>
    <w:rsid w:val="000A5B45"/>
    <w:rsid w:val="000A5E48"/>
    <w:rsid w:val="000A5E8C"/>
    <w:rsid w:val="000A6001"/>
    <w:rsid w:val="000A60AA"/>
    <w:rsid w:val="000A60CF"/>
    <w:rsid w:val="000A62C4"/>
    <w:rsid w:val="000A637E"/>
    <w:rsid w:val="000A64D6"/>
    <w:rsid w:val="000A6909"/>
    <w:rsid w:val="000A6937"/>
    <w:rsid w:val="000A6964"/>
    <w:rsid w:val="000A6B58"/>
    <w:rsid w:val="000A6B8F"/>
    <w:rsid w:val="000A6C6F"/>
    <w:rsid w:val="000A70AE"/>
    <w:rsid w:val="000A736F"/>
    <w:rsid w:val="000A7372"/>
    <w:rsid w:val="000A7452"/>
    <w:rsid w:val="000A7517"/>
    <w:rsid w:val="000A7580"/>
    <w:rsid w:val="000A7687"/>
    <w:rsid w:val="000A775E"/>
    <w:rsid w:val="000A7C7E"/>
    <w:rsid w:val="000A7CA1"/>
    <w:rsid w:val="000A7CA5"/>
    <w:rsid w:val="000A7CF7"/>
    <w:rsid w:val="000A7ECA"/>
    <w:rsid w:val="000A7F07"/>
    <w:rsid w:val="000B017F"/>
    <w:rsid w:val="000B023B"/>
    <w:rsid w:val="000B05A0"/>
    <w:rsid w:val="000B0A03"/>
    <w:rsid w:val="000B0B90"/>
    <w:rsid w:val="000B0BE1"/>
    <w:rsid w:val="000B0F6A"/>
    <w:rsid w:val="000B1911"/>
    <w:rsid w:val="000B1969"/>
    <w:rsid w:val="000B1A9D"/>
    <w:rsid w:val="000B1B53"/>
    <w:rsid w:val="000B1B96"/>
    <w:rsid w:val="000B1D99"/>
    <w:rsid w:val="000B1E94"/>
    <w:rsid w:val="000B2095"/>
    <w:rsid w:val="000B20B6"/>
    <w:rsid w:val="000B20BB"/>
    <w:rsid w:val="000B2514"/>
    <w:rsid w:val="000B27A9"/>
    <w:rsid w:val="000B28C0"/>
    <w:rsid w:val="000B28C2"/>
    <w:rsid w:val="000B2B57"/>
    <w:rsid w:val="000B2CD1"/>
    <w:rsid w:val="000B2D1B"/>
    <w:rsid w:val="000B2E3B"/>
    <w:rsid w:val="000B2EFF"/>
    <w:rsid w:val="000B3120"/>
    <w:rsid w:val="000B314C"/>
    <w:rsid w:val="000B3437"/>
    <w:rsid w:val="000B36CB"/>
    <w:rsid w:val="000B3745"/>
    <w:rsid w:val="000B37C4"/>
    <w:rsid w:val="000B3AE5"/>
    <w:rsid w:val="000B3D7A"/>
    <w:rsid w:val="000B3D9B"/>
    <w:rsid w:val="000B3E33"/>
    <w:rsid w:val="000B40FB"/>
    <w:rsid w:val="000B4139"/>
    <w:rsid w:val="000B41E0"/>
    <w:rsid w:val="000B4204"/>
    <w:rsid w:val="000B42E7"/>
    <w:rsid w:val="000B4309"/>
    <w:rsid w:val="000B436B"/>
    <w:rsid w:val="000B44BE"/>
    <w:rsid w:val="000B469D"/>
    <w:rsid w:val="000B476A"/>
    <w:rsid w:val="000B484C"/>
    <w:rsid w:val="000B48CA"/>
    <w:rsid w:val="000B49A5"/>
    <w:rsid w:val="000B4B79"/>
    <w:rsid w:val="000B5045"/>
    <w:rsid w:val="000B50D7"/>
    <w:rsid w:val="000B547C"/>
    <w:rsid w:val="000B589A"/>
    <w:rsid w:val="000B5A60"/>
    <w:rsid w:val="000B5B03"/>
    <w:rsid w:val="000B6166"/>
    <w:rsid w:val="000B6458"/>
    <w:rsid w:val="000B6472"/>
    <w:rsid w:val="000B67B7"/>
    <w:rsid w:val="000B68C2"/>
    <w:rsid w:val="000B6C01"/>
    <w:rsid w:val="000B6E56"/>
    <w:rsid w:val="000B6EBD"/>
    <w:rsid w:val="000B6F6B"/>
    <w:rsid w:val="000B7214"/>
    <w:rsid w:val="000B7225"/>
    <w:rsid w:val="000B7317"/>
    <w:rsid w:val="000B73A3"/>
    <w:rsid w:val="000B7416"/>
    <w:rsid w:val="000B7438"/>
    <w:rsid w:val="000B74FC"/>
    <w:rsid w:val="000B75DF"/>
    <w:rsid w:val="000B769C"/>
    <w:rsid w:val="000B7BD0"/>
    <w:rsid w:val="000B7EB6"/>
    <w:rsid w:val="000B7FD3"/>
    <w:rsid w:val="000C0011"/>
    <w:rsid w:val="000C0177"/>
    <w:rsid w:val="000C0474"/>
    <w:rsid w:val="000C04E2"/>
    <w:rsid w:val="000C0593"/>
    <w:rsid w:val="000C0876"/>
    <w:rsid w:val="000C08B3"/>
    <w:rsid w:val="000C0A5F"/>
    <w:rsid w:val="000C0A6D"/>
    <w:rsid w:val="000C1214"/>
    <w:rsid w:val="000C173F"/>
    <w:rsid w:val="000C1759"/>
    <w:rsid w:val="000C2025"/>
    <w:rsid w:val="000C23D6"/>
    <w:rsid w:val="000C244F"/>
    <w:rsid w:val="000C2454"/>
    <w:rsid w:val="000C2476"/>
    <w:rsid w:val="000C2932"/>
    <w:rsid w:val="000C2957"/>
    <w:rsid w:val="000C29E6"/>
    <w:rsid w:val="000C3094"/>
    <w:rsid w:val="000C35BD"/>
    <w:rsid w:val="000C3679"/>
    <w:rsid w:val="000C3885"/>
    <w:rsid w:val="000C3A56"/>
    <w:rsid w:val="000C3A7F"/>
    <w:rsid w:val="000C3ACE"/>
    <w:rsid w:val="000C3CE5"/>
    <w:rsid w:val="000C3E5F"/>
    <w:rsid w:val="000C40B0"/>
    <w:rsid w:val="000C41A5"/>
    <w:rsid w:val="000C45B0"/>
    <w:rsid w:val="000C48D3"/>
    <w:rsid w:val="000C48E1"/>
    <w:rsid w:val="000C4913"/>
    <w:rsid w:val="000C4AFB"/>
    <w:rsid w:val="000C4C6E"/>
    <w:rsid w:val="000C51BB"/>
    <w:rsid w:val="000C5326"/>
    <w:rsid w:val="000C557A"/>
    <w:rsid w:val="000C55AE"/>
    <w:rsid w:val="000C55ED"/>
    <w:rsid w:val="000C577E"/>
    <w:rsid w:val="000C58F1"/>
    <w:rsid w:val="000C5942"/>
    <w:rsid w:val="000C59E2"/>
    <w:rsid w:val="000C5EC5"/>
    <w:rsid w:val="000C5FBD"/>
    <w:rsid w:val="000C614D"/>
    <w:rsid w:val="000C6398"/>
    <w:rsid w:val="000C64E3"/>
    <w:rsid w:val="000C6636"/>
    <w:rsid w:val="000C6970"/>
    <w:rsid w:val="000C6F97"/>
    <w:rsid w:val="000C6FE9"/>
    <w:rsid w:val="000C7165"/>
    <w:rsid w:val="000C71E0"/>
    <w:rsid w:val="000C7500"/>
    <w:rsid w:val="000C762C"/>
    <w:rsid w:val="000C7639"/>
    <w:rsid w:val="000C7AE1"/>
    <w:rsid w:val="000C7BA4"/>
    <w:rsid w:val="000C7C06"/>
    <w:rsid w:val="000C7CAE"/>
    <w:rsid w:val="000C7D10"/>
    <w:rsid w:val="000C7D51"/>
    <w:rsid w:val="000D0075"/>
    <w:rsid w:val="000D0616"/>
    <w:rsid w:val="000D0E13"/>
    <w:rsid w:val="000D0F73"/>
    <w:rsid w:val="000D0FBC"/>
    <w:rsid w:val="000D124B"/>
    <w:rsid w:val="000D13C2"/>
    <w:rsid w:val="000D19D6"/>
    <w:rsid w:val="000D1D95"/>
    <w:rsid w:val="000D2173"/>
    <w:rsid w:val="000D26DE"/>
    <w:rsid w:val="000D2913"/>
    <w:rsid w:val="000D2958"/>
    <w:rsid w:val="000D2A6C"/>
    <w:rsid w:val="000D2D40"/>
    <w:rsid w:val="000D2DB8"/>
    <w:rsid w:val="000D2DFF"/>
    <w:rsid w:val="000D2E8A"/>
    <w:rsid w:val="000D30DF"/>
    <w:rsid w:val="000D3153"/>
    <w:rsid w:val="000D327D"/>
    <w:rsid w:val="000D35CF"/>
    <w:rsid w:val="000D382C"/>
    <w:rsid w:val="000D38BD"/>
    <w:rsid w:val="000D3D85"/>
    <w:rsid w:val="000D3E5C"/>
    <w:rsid w:val="000D4029"/>
    <w:rsid w:val="000D41C8"/>
    <w:rsid w:val="000D4352"/>
    <w:rsid w:val="000D4A1E"/>
    <w:rsid w:val="000D4C45"/>
    <w:rsid w:val="000D4EE6"/>
    <w:rsid w:val="000D4F64"/>
    <w:rsid w:val="000D551E"/>
    <w:rsid w:val="000D5667"/>
    <w:rsid w:val="000D585D"/>
    <w:rsid w:val="000D59BD"/>
    <w:rsid w:val="000D5A11"/>
    <w:rsid w:val="000D5AE9"/>
    <w:rsid w:val="000D60AB"/>
    <w:rsid w:val="000D675B"/>
    <w:rsid w:val="000D6B83"/>
    <w:rsid w:val="000D6FBB"/>
    <w:rsid w:val="000D73C7"/>
    <w:rsid w:val="000D7529"/>
    <w:rsid w:val="000D7ADE"/>
    <w:rsid w:val="000D7D4B"/>
    <w:rsid w:val="000D7E7D"/>
    <w:rsid w:val="000E006B"/>
    <w:rsid w:val="000E0076"/>
    <w:rsid w:val="000E01C0"/>
    <w:rsid w:val="000E0207"/>
    <w:rsid w:val="000E03E6"/>
    <w:rsid w:val="000E04B6"/>
    <w:rsid w:val="000E06E1"/>
    <w:rsid w:val="000E0A1D"/>
    <w:rsid w:val="000E0A99"/>
    <w:rsid w:val="000E0ABC"/>
    <w:rsid w:val="000E0ADA"/>
    <w:rsid w:val="000E0B99"/>
    <w:rsid w:val="000E0C66"/>
    <w:rsid w:val="000E0D2B"/>
    <w:rsid w:val="000E0D7D"/>
    <w:rsid w:val="000E0F5E"/>
    <w:rsid w:val="000E1171"/>
    <w:rsid w:val="000E11BF"/>
    <w:rsid w:val="000E1557"/>
    <w:rsid w:val="000E1588"/>
    <w:rsid w:val="000E15D7"/>
    <w:rsid w:val="000E198E"/>
    <w:rsid w:val="000E1A07"/>
    <w:rsid w:val="000E1A37"/>
    <w:rsid w:val="000E1AF9"/>
    <w:rsid w:val="000E1BC0"/>
    <w:rsid w:val="000E1C80"/>
    <w:rsid w:val="000E1DD2"/>
    <w:rsid w:val="000E1FAC"/>
    <w:rsid w:val="000E2346"/>
    <w:rsid w:val="000E2537"/>
    <w:rsid w:val="000E2630"/>
    <w:rsid w:val="000E29A7"/>
    <w:rsid w:val="000E2BDC"/>
    <w:rsid w:val="000E2C4F"/>
    <w:rsid w:val="000E2C5C"/>
    <w:rsid w:val="000E2CC6"/>
    <w:rsid w:val="000E2EB9"/>
    <w:rsid w:val="000E330E"/>
    <w:rsid w:val="000E342E"/>
    <w:rsid w:val="000E35CA"/>
    <w:rsid w:val="000E3D09"/>
    <w:rsid w:val="000E3DDC"/>
    <w:rsid w:val="000E3E0B"/>
    <w:rsid w:val="000E3E88"/>
    <w:rsid w:val="000E432E"/>
    <w:rsid w:val="000E4353"/>
    <w:rsid w:val="000E448F"/>
    <w:rsid w:val="000E4760"/>
    <w:rsid w:val="000E4A4A"/>
    <w:rsid w:val="000E4E53"/>
    <w:rsid w:val="000E4F85"/>
    <w:rsid w:val="000E5486"/>
    <w:rsid w:val="000E54B9"/>
    <w:rsid w:val="000E583F"/>
    <w:rsid w:val="000E58D0"/>
    <w:rsid w:val="000E58EF"/>
    <w:rsid w:val="000E5B2A"/>
    <w:rsid w:val="000E5BD6"/>
    <w:rsid w:val="000E5BD7"/>
    <w:rsid w:val="000E5DD6"/>
    <w:rsid w:val="000E5EE2"/>
    <w:rsid w:val="000E6094"/>
    <w:rsid w:val="000E62FE"/>
    <w:rsid w:val="000E6307"/>
    <w:rsid w:val="000E63B2"/>
    <w:rsid w:val="000E65D9"/>
    <w:rsid w:val="000E6662"/>
    <w:rsid w:val="000E6CB8"/>
    <w:rsid w:val="000E72E0"/>
    <w:rsid w:val="000E745C"/>
    <w:rsid w:val="000E7715"/>
    <w:rsid w:val="000E799E"/>
    <w:rsid w:val="000E7D7E"/>
    <w:rsid w:val="000F007F"/>
    <w:rsid w:val="000F0284"/>
    <w:rsid w:val="000F02D2"/>
    <w:rsid w:val="000F04A4"/>
    <w:rsid w:val="000F051E"/>
    <w:rsid w:val="000F06AF"/>
    <w:rsid w:val="000F0BDD"/>
    <w:rsid w:val="000F12A4"/>
    <w:rsid w:val="000F1327"/>
    <w:rsid w:val="000F1385"/>
    <w:rsid w:val="000F14CE"/>
    <w:rsid w:val="000F1A18"/>
    <w:rsid w:val="000F1BE2"/>
    <w:rsid w:val="000F1CE6"/>
    <w:rsid w:val="000F1CFA"/>
    <w:rsid w:val="000F1E79"/>
    <w:rsid w:val="000F1FC0"/>
    <w:rsid w:val="000F2204"/>
    <w:rsid w:val="000F2548"/>
    <w:rsid w:val="000F2955"/>
    <w:rsid w:val="000F298B"/>
    <w:rsid w:val="000F2ABE"/>
    <w:rsid w:val="000F2C3A"/>
    <w:rsid w:val="000F2E35"/>
    <w:rsid w:val="000F2ED4"/>
    <w:rsid w:val="000F2F50"/>
    <w:rsid w:val="000F2FEE"/>
    <w:rsid w:val="000F3047"/>
    <w:rsid w:val="000F3053"/>
    <w:rsid w:val="000F30D2"/>
    <w:rsid w:val="000F314F"/>
    <w:rsid w:val="000F31DB"/>
    <w:rsid w:val="000F3277"/>
    <w:rsid w:val="000F3391"/>
    <w:rsid w:val="000F3561"/>
    <w:rsid w:val="000F359A"/>
    <w:rsid w:val="000F37EE"/>
    <w:rsid w:val="000F3890"/>
    <w:rsid w:val="000F3AD0"/>
    <w:rsid w:val="000F3B2F"/>
    <w:rsid w:val="000F3EBB"/>
    <w:rsid w:val="000F40D5"/>
    <w:rsid w:val="000F42FD"/>
    <w:rsid w:val="000F4371"/>
    <w:rsid w:val="000F4487"/>
    <w:rsid w:val="000F4864"/>
    <w:rsid w:val="000F4935"/>
    <w:rsid w:val="000F4B7B"/>
    <w:rsid w:val="000F4D2F"/>
    <w:rsid w:val="000F4E17"/>
    <w:rsid w:val="000F4E9E"/>
    <w:rsid w:val="000F4F18"/>
    <w:rsid w:val="000F4F4C"/>
    <w:rsid w:val="000F4FA5"/>
    <w:rsid w:val="000F5227"/>
    <w:rsid w:val="000F58FD"/>
    <w:rsid w:val="000F5A36"/>
    <w:rsid w:val="000F5A4A"/>
    <w:rsid w:val="000F5A75"/>
    <w:rsid w:val="000F5DCC"/>
    <w:rsid w:val="000F5EF4"/>
    <w:rsid w:val="000F6135"/>
    <w:rsid w:val="000F6247"/>
    <w:rsid w:val="000F630B"/>
    <w:rsid w:val="000F65CA"/>
    <w:rsid w:val="000F6782"/>
    <w:rsid w:val="000F692E"/>
    <w:rsid w:val="000F6DE0"/>
    <w:rsid w:val="000F6E01"/>
    <w:rsid w:val="000F73C5"/>
    <w:rsid w:val="000F7648"/>
    <w:rsid w:val="000F7799"/>
    <w:rsid w:val="000F77D5"/>
    <w:rsid w:val="000F79F3"/>
    <w:rsid w:val="000F7A8A"/>
    <w:rsid w:val="0010020B"/>
    <w:rsid w:val="0010032C"/>
    <w:rsid w:val="00100375"/>
    <w:rsid w:val="001003B5"/>
    <w:rsid w:val="001003EA"/>
    <w:rsid w:val="001003FC"/>
    <w:rsid w:val="00100BD0"/>
    <w:rsid w:val="00100E53"/>
    <w:rsid w:val="00101146"/>
    <w:rsid w:val="00101345"/>
    <w:rsid w:val="00101630"/>
    <w:rsid w:val="00101972"/>
    <w:rsid w:val="00101BD0"/>
    <w:rsid w:val="00101C41"/>
    <w:rsid w:val="00101C4D"/>
    <w:rsid w:val="00101D0D"/>
    <w:rsid w:val="00101DD1"/>
    <w:rsid w:val="0010244E"/>
    <w:rsid w:val="001026EC"/>
    <w:rsid w:val="00102708"/>
    <w:rsid w:val="0010294A"/>
    <w:rsid w:val="00102A25"/>
    <w:rsid w:val="00102A67"/>
    <w:rsid w:val="00102A9D"/>
    <w:rsid w:val="00102CDC"/>
    <w:rsid w:val="00103919"/>
    <w:rsid w:val="00103DDD"/>
    <w:rsid w:val="00103F78"/>
    <w:rsid w:val="001042BF"/>
    <w:rsid w:val="001042C6"/>
    <w:rsid w:val="001043FB"/>
    <w:rsid w:val="00104489"/>
    <w:rsid w:val="00104648"/>
    <w:rsid w:val="00104814"/>
    <w:rsid w:val="00104D44"/>
    <w:rsid w:val="00104F72"/>
    <w:rsid w:val="001052AD"/>
    <w:rsid w:val="00105ABA"/>
    <w:rsid w:val="00105FFA"/>
    <w:rsid w:val="001063D8"/>
    <w:rsid w:val="0010655E"/>
    <w:rsid w:val="00106B90"/>
    <w:rsid w:val="00106C6E"/>
    <w:rsid w:val="00106DA2"/>
    <w:rsid w:val="00106E29"/>
    <w:rsid w:val="00106F92"/>
    <w:rsid w:val="00106FCA"/>
    <w:rsid w:val="0010743B"/>
    <w:rsid w:val="0010747E"/>
    <w:rsid w:val="001074E9"/>
    <w:rsid w:val="0010795B"/>
    <w:rsid w:val="00107DA9"/>
    <w:rsid w:val="00107F12"/>
    <w:rsid w:val="00110010"/>
    <w:rsid w:val="001101C1"/>
    <w:rsid w:val="001101F2"/>
    <w:rsid w:val="001104DD"/>
    <w:rsid w:val="001106D4"/>
    <w:rsid w:val="00110789"/>
    <w:rsid w:val="00110796"/>
    <w:rsid w:val="00110C41"/>
    <w:rsid w:val="00110C9D"/>
    <w:rsid w:val="00110E68"/>
    <w:rsid w:val="001111E7"/>
    <w:rsid w:val="001111F8"/>
    <w:rsid w:val="00111230"/>
    <w:rsid w:val="001113D8"/>
    <w:rsid w:val="00111436"/>
    <w:rsid w:val="0011143D"/>
    <w:rsid w:val="00111532"/>
    <w:rsid w:val="0011176A"/>
    <w:rsid w:val="00111980"/>
    <w:rsid w:val="00111AAF"/>
    <w:rsid w:val="00111E3C"/>
    <w:rsid w:val="00111F1D"/>
    <w:rsid w:val="001120BB"/>
    <w:rsid w:val="001122AD"/>
    <w:rsid w:val="00112326"/>
    <w:rsid w:val="00112360"/>
    <w:rsid w:val="0011238D"/>
    <w:rsid w:val="00112619"/>
    <w:rsid w:val="001127E7"/>
    <w:rsid w:val="001128A8"/>
    <w:rsid w:val="001129DF"/>
    <w:rsid w:val="00112C05"/>
    <w:rsid w:val="00112E4A"/>
    <w:rsid w:val="00112EE9"/>
    <w:rsid w:val="00113141"/>
    <w:rsid w:val="0011315B"/>
    <w:rsid w:val="00113218"/>
    <w:rsid w:val="00113398"/>
    <w:rsid w:val="001138F6"/>
    <w:rsid w:val="00113A10"/>
    <w:rsid w:val="001140B2"/>
    <w:rsid w:val="00114118"/>
    <w:rsid w:val="001141BB"/>
    <w:rsid w:val="001142EC"/>
    <w:rsid w:val="00114F3E"/>
    <w:rsid w:val="00114FCD"/>
    <w:rsid w:val="001151EC"/>
    <w:rsid w:val="00115317"/>
    <w:rsid w:val="0011537E"/>
    <w:rsid w:val="00115424"/>
    <w:rsid w:val="001155A4"/>
    <w:rsid w:val="00115748"/>
    <w:rsid w:val="00115DDE"/>
    <w:rsid w:val="00115DFB"/>
    <w:rsid w:val="00116767"/>
    <w:rsid w:val="001169F0"/>
    <w:rsid w:val="00116ABC"/>
    <w:rsid w:val="00116C69"/>
    <w:rsid w:val="0011712C"/>
    <w:rsid w:val="00117191"/>
    <w:rsid w:val="00117466"/>
    <w:rsid w:val="001178EF"/>
    <w:rsid w:val="00117ABD"/>
    <w:rsid w:val="00117ADB"/>
    <w:rsid w:val="00117D3C"/>
    <w:rsid w:val="001205C9"/>
    <w:rsid w:val="0012063B"/>
    <w:rsid w:val="0012077E"/>
    <w:rsid w:val="001209BC"/>
    <w:rsid w:val="00120B48"/>
    <w:rsid w:val="00121012"/>
    <w:rsid w:val="0012110C"/>
    <w:rsid w:val="00121171"/>
    <w:rsid w:val="00121274"/>
    <w:rsid w:val="001216F4"/>
    <w:rsid w:val="0012183C"/>
    <w:rsid w:val="00121958"/>
    <w:rsid w:val="00121B19"/>
    <w:rsid w:val="00121CC6"/>
    <w:rsid w:val="00121E6D"/>
    <w:rsid w:val="00121FA7"/>
    <w:rsid w:val="00122403"/>
    <w:rsid w:val="00122574"/>
    <w:rsid w:val="00122842"/>
    <w:rsid w:val="0012296B"/>
    <w:rsid w:val="00122DAB"/>
    <w:rsid w:val="00122DB4"/>
    <w:rsid w:val="001235B8"/>
    <w:rsid w:val="001237E2"/>
    <w:rsid w:val="00123BD5"/>
    <w:rsid w:val="00124008"/>
    <w:rsid w:val="00124161"/>
    <w:rsid w:val="0012423D"/>
    <w:rsid w:val="00124253"/>
    <w:rsid w:val="00124271"/>
    <w:rsid w:val="00124660"/>
    <w:rsid w:val="00124A49"/>
    <w:rsid w:val="00124D64"/>
    <w:rsid w:val="00124F14"/>
    <w:rsid w:val="0012505D"/>
    <w:rsid w:val="00125088"/>
    <w:rsid w:val="001250EF"/>
    <w:rsid w:val="0012524B"/>
    <w:rsid w:val="00125337"/>
    <w:rsid w:val="00125696"/>
    <w:rsid w:val="00125705"/>
    <w:rsid w:val="00125929"/>
    <w:rsid w:val="00125C02"/>
    <w:rsid w:val="00125DFB"/>
    <w:rsid w:val="00125E26"/>
    <w:rsid w:val="00125EF8"/>
    <w:rsid w:val="00125F6B"/>
    <w:rsid w:val="001260AD"/>
    <w:rsid w:val="0012612A"/>
    <w:rsid w:val="00126157"/>
    <w:rsid w:val="0012629A"/>
    <w:rsid w:val="00126358"/>
    <w:rsid w:val="00126395"/>
    <w:rsid w:val="0012642A"/>
    <w:rsid w:val="001265C0"/>
    <w:rsid w:val="00126660"/>
    <w:rsid w:val="00126683"/>
    <w:rsid w:val="001267FA"/>
    <w:rsid w:val="001268A6"/>
    <w:rsid w:val="00126BFF"/>
    <w:rsid w:val="00126C26"/>
    <w:rsid w:val="00126EEE"/>
    <w:rsid w:val="00126F6A"/>
    <w:rsid w:val="00127102"/>
    <w:rsid w:val="00127360"/>
    <w:rsid w:val="00127373"/>
    <w:rsid w:val="001275C4"/>
    <w:rsid w:val="001277DC"/>
    <w:rsid w:val="001278FC"/>
    <w:rsid w:val="00127EE7"/>
    <w:rsid w:val="00127F4F"/>
    <w:rsid w:val="00130039"/>
    <w:rsid w:val="001300B5"/>
    <w:rsid w:val="0013020D"/>
    <w:rsid w:val="00130465"/>
    <w:rsid w:val="001304A3"/>
    <w:rsid w:val="001304C4"/>
    <w:rsid w:val="0013069A"/>
    <w:rsid w:val="00130BF7"/>
    <w:rsid w:val="00130E92"/>
    <w:rsid w:val="00130F5E"/>
    <w:rsid w:val="0013109D"/>
    <w:rsid w:val="00131168"/>
    <w:rsid w:val="001312CB"/>
    <w:rsid w:val="00131335"/>
    <w:rsid w:val="001315C3"/>
    <w:rsid w:val="00131817"/>
    <w:rsid w:val="00131ABB"/>
    <w:rsid w:val="00131BF5"/>
    <w:rsid w:val="00131DC6"/>
    <w:rsid w:val="00131F21"/>
    <w:rsid w:val="00131FD6"/>
    <w:rsid w:val="00131FEA"/>
    <w:rsid w:val="0013223E"/>
    <w:rsid w:val="0013247B"/>
    <w:rsid w:val="0013251F"/>
    <w:rsid w:val="00132893"/>
    <w:rsid w:val="00132A02"/>
    <w:rsid w:val="00132C18"/>
    <w:rsid w:val="00132C8E"/>
    <w:rsid w:val="00132D19"/>
    <w:rsid w:val="0013343B"/>
    <w:rsid w:val="001336F8"/>
    <w:rsid w:val="0013373E"/>
    <w:rsid w:val="00133844"/>
    <w:rsid w:val="001338DC"/>
    <w:rsid w:val="00133D8D"/>
    <w:rsid w:val="00133DE0"/>
    <w:rsid w:val="00133E14"/>
    <w:rsid w:val="00133E29"/>
    <w:rsid w:val="00133FED"/>
    <w:rsid w:val="00134209"/>
    <w:rsid w:val="0013426F"/>
    <w:rsid w:val="001343E8"/>
    <w:rsid w:val="00134456"/>
    <w:rsid w:val="00134649"/>
    <w:rsid w:val="0013490B"/>
    <w:rsid w:val="00134991"/>
    <w:rsid w:val="00134B87"/>
    <w:rsid w:val="00134B9D"/>
    <w:rsid w:val="00134BD6"/>
    <w:rsid w:val="00134C39"/>
    <w:rsid w:val="00135075"/>
    <w:rsid w:val="00135186"/>
    <w:rsid w:val="001351F5"/>
    <w:rsid w:val="00135339"/>
    <w:rsid w:val="00135396"/>
    <w:rsid w:val="00135532"/>
    <w:rsid w:val="001358C5"/>
    <w:rsid w:val="00135A01"/>
    <w:rsid w:val="00135B83"/>
    <w:rsid w:val="00135CCF"/>
    <w:rsid w:val="00135CE3"/>
    <w:rsid w:val="00135E5B"/>
    <w:rsid w:val="00135F4E"/>
    <w:rsid w:val="00135F5B"/>
    <w:rsid w:val="00135FA3"/>
    <w:rsid w:val="0013615B"/>
    <w:rsid w:val="00136349"/>
    <w:rsid w:val="0013649C"/>
    <w:rsid w:val="001364D4"/>
    <w:rsid w:val="001365F4"/>
    <w:rsid w:val="001366C1"/>
    <w:rsid w:val="001369DD"/>
    <w:rsid w:val="00136E23"/>
    <w:rsid w:val="001370F9"/>
    <w:rsid w:val="00137179"/>
    <w:rsid w:val="0013721F"/>
    <w:rsid w:val="0013724D"/>
    <w:rsid w:val="00137355"/>
    <w:rsid w:val="00137382"/>
    <w:rsid w:val="0013763F"/>
    <w:rsid w:val="0013776B"/>
    <w:rsid w:val="001378D3"/>
    <w:rsid w:val="00137AC3"/>
    <w:rsid w:val="00137AD5"/>
    <w:rsid w:val="00137D31"/>
    <w:rsid w:val="00137DE5"/>
    <w:rsid w:val="00140088"/>
    <w:rsid w:val="0014018C"/>
    <w:rsid w:val="001406A1"/>
    <w:rsid w:val="00140A1D"/>
    <w:rsid w:val="00140BF4"/>
    <w:rsid w:val="00140CF5"/>
    <w:rsid w:val="00140D99"/>
    <w:rsid w:val="0014106B"/>
    <w:rsid w:val="00141107"/>
    <w:rsid w:val="00141269"/>
    <w:rsid w:val="0014131A"/>
    <w:rsid w:val="00141969"/>
    <w:rsid w:val="00141A0F"/>
    <w:rsid w:val="00141A74"/>
    <w:rsid w:val="00141BE0"/>
    <w:rsid w:val="00142031"/>
    <w:rsid w:val="001426AF"/>
    <w:rsid w:val="0014273C"/>
    <w:rsid w:val="00142875"/>
    <w:rsid w:val="00142998"/>
    <w:rsid w:val="00142C17"/>
    <w:rsid w:val="00142D1D"/>
    <w:rsid w:val="00142D55"/>
    <w:rsid w:val="00142E68"/>
    <w:rsid w:val="001430F7"/>
    <w:rsid w:val="001431C6"/>
    <w:rsid w:val="001432C0"/>
    <w:rsid w:val="0014337D"/>
    <w:rsid w:val="00143380"/>
    <w:rsid w:val="001438BE"/>
    <w:rsid w:val="00143900"/>
    <w:rsid w:val="0014392D"/>
    <w:rsid w:val="00143964"/>
    <w:rsid w:val="00143CB0"/>
    <w:rsid w:val="00143E27"/>
    <w:rsid w:val="00143FFC"/>
    <w:rsid w:val="00144071"/>
    <w:rsid w:val="00144297"/>
    <w:rsid w:val="00144415"/>
    <w:rsid w:val="0014483D"/>
    <w:rsid w:val="00144997"/>
    <w:rsid w:val="00144A7D"/>
    <w:rsid w:val="00144B99"/>
    <w:rsid w:val="00144C02"/>
    <w:rsid w:val="00144DC4"/>
    <w:rsid w:val="00145069"/>
    <w:rsid w:val="001452C5"/>
    <w:rsid w:val="001452E9"/>
    <w:rsid w:val="001453B2"/>
    <w:rsid w:val="0014541A"/>
    <w:rsid w:val="00145933"/>
    <w:rsid w:val="00145934"/>
    <w:rsid w:val="00145B4B"/>
    <w:rsid w:val="00145BF0"/>
    <w:rsid w:val="001462C6"/>
    <w:rsid w:val="0014671A"/>
    <w:rsid w:val="0014682B"/>
    <w:rsid w:val="00146EFB"/>
    <w:rsid w:val="00146F0C"/>
    <w:rsid w:val="00147070"/>
    <w:rsid w:val="001470F5"/>
    <w:rsid w:val="00147316"/>
    <w:rsid w:val="00147393"/>
    <w:rsid w:val="0014740A"/>
    <w:rsid w:val="00147439"/>
    <w:rsid w:val="001476EF"/>
    <w:rsid w:val="001478EB"/>
    <w:rsid w:val="0014794D"/>
    <w:rsid w:val="00147AEA"/>
    <w:rsid w:val="00147D14"/>
    <w:rsid w:val="00150828"/>
    <w:rsid w:val="001509FB"/>
    <w:rsid w:val="00150C20"/>
    <w:rsid w:val="00150CB2"/>
    <w:rsid w:val="00151039"/>
    <w:rsid w:val="00151075"/>
    <w:rsid w:val="00151092"/>
    <w:rsid w:val="0015118A"/>
    <w:rsid w:val="001513D7"/>
    <w:rsid w:val="00151447"/>
    <w:rsid w:val="0015183F"/>
    <w:rsid w:val="0015187A"/>
    <w:rsid w:val="00151CAA"/>
    <w:rsid w:val="00151E1B"/>
    <w:rsid w:val="001524C7"/>
    <w:rsid w:val="0015251C"/>
    <w:rsid w:val="001525B8"/>
    <w:rsid w:val="00152B38"/>
    <w:rsid w:val="00152BBC"/>
    <w:rsid w:val="00152F60"/>
    <w:rsid w:val="00153299"/>
    <w:rsid w:val="001535A9"/>
    <w:rsid w:val="00153887"/>
    <w:rsid w:val="001539C5"/>
    <w:rsid w:val="00153B5E"/>
    <w:rsid w:val="00153E1A"/>
    <w:rsid w:val="00153E7D"/>
    <w:rsid w:val="00153F1C"/>
    <w:rsid w:val="001544D5"/>
    <w:rsid w:val="001546C7"/>
    <w:rsid w:val="0015486D"/>
    <w:rsid w:val="00154C34"/>
    <w:rsid w:val="00154DA0"/>
    <w:rsid w:val="0015505E"/>
    <w:rsid w:val="00155085"/>
    <w:rsid w:val="001551C2"/>
    <w:rsid w:val="001551FD"/>
    <w:rsid w:val="00155354"/>
    <w:rsid w:val="001553CE"/>
    <w:rsid w:val="0015540F"/>
    <w:rsid w:val="0015568C"/>
    <w:rsid w:val="00156128"/>
    <w:rsid w:val="0015616F"/>
    <w:rsid w:val="00156276"/>
    <w:rsid w:val="001565C8"/>
    <w:rsid w:val="00156699"/>
    <w:rsid w:val="001567E0"/>
    <w:rsid w:val="0015686D"/>
    <w:rsid w:val="00156AE7"/>
    <w:rsid w:val="00156AE8"/>
    <w:rsid w:val="00156DE2"/>
    <w:rsid w:val="001570E0"/>
    <w:rsid w:val="0015715F"/>
    <w:rsid w:val="00157179"/>
    <w:rsid w:val="001571C9"/>
    <w:rsid w:val="001571CD"/>
    <w:rsid w:val="00157364"/>
    <w:rsid w:val="001573B1"/>
    <w:rsid w:val="00157427"/>
    <w:rsid w:val="001575AF"/>
    <w:rsid w:val="00157659"/>
    <w:rsid w:val="00157684"/>
    <w:rsid w:val="001577E5"/>
    <w:rsid w:val="00160116"/>
    <w:rsid w:val="0016037D"/>
    <w:rsid w:val="00160846"/>
    <w:rsid w:val="00160867"/>
    <w:rsid w:val="001609C3"/>
    <w:rsid w:val="001609E1"/>
    <w:rsid w:val="00160A8F"/>
    <w:rsid w:val="00160DB1"/>
    <w:rsid w:val="00160E1A"/>
    <w:rsid w:val="001614FB"/>
    <w:rsid w:val="00161508"/>
    <w:rsid w:val="0016168E"/>
    <w:rsid w:val="0016169D"/>
    <w:rsid w:val="00161A3C"/>
    <w:rsid w:val="00161C3D"/>
    <w:rsid w:val="00161CB9"/>
    <w:rsid w:val="001620FA"/>
    <w:rsid w:val="00162163"/>
    <w:rsid w:val="00162470"/>
    <w:rsid w:val="00162550"/>
    <w:rsid w:val="001625A1"/>
    <w:rsid w:val="00162796"/>
    <w:rsid w:val="00162DB7"/>
    <w:rsid w:val="00163040"/>
    <w:rsid w:val="00163467"/>
    <w:rsid w:val="00163620"/>
    <w:rsid w:val="00163698"/>
    <w:rsid w:val="001637D8"/>
    <w:rsid w:val="0016395B"/>
    <w:rsid w:val="00163B5B"/>
    <w:rsid w:val="00163CEE"/>
    <w:rsid w:val="00163E0E"/>
    <w:rsid w:val="00163F69"/>
    <w:rsid w:val="00164117"/>
    <w:rsid w:val="0016414B"/>
    <w:rsid w:val="0016421C"/>
    <w:rsid w:val="001644CA"/>
    <w:rsid w:val="0016475A"/>
    <w:rsid w:val="00164949"/>
    <w:rsid w:val="00164B43"/>
    <w:rsid w:val="00164C7B"/>
    <w:rsid w:val="00164D65"/>
    <w:rsid w:val="00164EEF"/>
    <w:rsid w:val="00165018"/>
    <w:rsid w:val="001653BF"/>
    <w:rsid w:val="001655F1"/>
    <w:rsid w:val="00165958"/>
    <w:rsid w:val="00165A56"/>
    <w:rsid w:val="00165E17"/>
    <w:rsid w:val="00165EFF"/>
    <w:rsid w:val="00165FD0"/>
    <w:rsid w:val="0016605E"/>
    <w:rsid w:val="0016622D"/>
    <w:rsid w:val="001664AA"/>
    <w:rsid w:val="0016666E"/>
    <w:rsid w:val="0016687C"/>
    <w:rsid w:val="00166918"/>
    <w:rsid w:val="00166CBD"/>
    <w:rsid w:val="001671E0"/>
    <w:rsid w:val="00167335"/>
    <w:rsid w:val="00167463"/>
    <w:rsid w:val="0016751D"/>
    <w:rsid w:val="0016759B"/>
    <w:rsid w:val="00167ABB"/>
    <w:rsid w:val="00167E3F"/>
    <w:rsid w:val="00167E86"/>
    <w:rsid w:val="00167F17"/>
    <w:rsid w:val="0017005F"/>
    <w:rsid w:val="001700F4"/>
    <w:rsid w:val="00170289"/>
    <w:rsid w:val="00170693"/>
    <w:rsid w:val="0017107D"/>
    <w:rsid w:val="00171233"/>
    <w:rsid w:val="00171240"/>
    <w:rsid w:val="001715AB"/>
    <w:rsid w:val="001717B6"/>
    <w:rsid w:val="001717D9"/>
    <w:rsid w:val="001718A8"/>
    <w:rsid w:val="0017190A"/>
    <w:rsid w:val="0017195A"/>
    <w:rsid w:val="00171ACF"/>
    <w:rsid w:val="00171B3B"/>
    <w:rsid w:val="00171B75"/>
    <w:rsid w:val="00172016"/>
    <w:rsid w:val="00172425"/>
    <w:rsid w:val="001725AC"/>
    <w:rsid w:val="00172653"/>
    <w:rsid w:val="00172728"/>
    <w:rsid w:val="00172883"/>
    <w:rsid w:val="0017291C"/>
    <w:rsid w:val="00172BBE"/>
    <w:rsid w:val="00172C0C"/>
    <w:rsid w:val="0017351E"/>
    <w:rsid w:val="00173D7F"/>
    <w:rsid w:val="00173F8D"/>
    <w:rsid w:val="001741AC"/>
    <w:rsid w:val="001744D4"/>
    <w:rsid w:val="00174618"/>
    <w:rsid w:val="00174629"/>
    <w:rsid w:val="00174662"/>
    <w:rsid w:val="001747D7"/>
    <w:rsid w:val="00174842"/>
    <w:rsid w:val="001749C4"/>
    <w:rsid w:val="00174A61"/>
    <w:rsid w:val="00174B3B"/>
    <w:rsid w:val="00174D70"/>
    <w:rsid w:val="001751AA"/>
    <w:rsid w:val="00175218"/>
    <w:rsid w:val="0017529D"/>
    <w:rsid w:val="001756E2"/>
    <w:rsid w:val="001758B1"/>
    <w:rsid w:val="00175948"/>
    <w:rsid w:val="00175A76"/>
    <w:rsid w:val="00175B32"/>
    <w:rsid w:val="00175B85"/>
    <w:rsid w:val="001760C0"/>
    <w:rsid w:val="00176143"/>
    <w:rsid w:val="00176236"/>
    <w:rsid w:val="00176346"/>
    <w:rsid w:val="0017638E"/>
    <w:rsid w:val="001763F8"/>
    <w:rsid w:val="00176750"/>
    <w:rsid w:val="00176812"/>
    <w:rsid w:val="00176828"/>
    <w:rsid w:val="00176902"/>
    <w:rsid w:val="00176AF5"/>
    <w:rsid w:val="00176BF3"/>
    <w:rsid w:val="00176EB3"/>
    <w:rsid w:val="00176EE2"/>
    <w:rsid w:val="00177105"/>
    <w:rsid w:val="001771C7"/>
    <w:rsid w:val="001771EE"/>
    <w:rsid w:val="0017726B"/>
    <w:rsid w:val="00177581"/>
    <w:rsid w:val="00177745"/>
    <w:rsid w:val="001779DC"/>
    <w:rsid w:val="00177A25"/>
    <w:rsid w:val="00177AE7"/>
    <w:rsid w:val="00177B0F"/>
    <w:rsid w:val="00177B8A"/>
    <w:rsid w:val="00177D6C"/>
    <w:rsid w:val="00177FBD"/>
    <w:rsid w:val="0018006D"/>
    <w:rsid w:val="00180071"/>
    <w:rsid w:val="00180133"/>
    <w:rsid w:val="001802AB"/>
    <w:rsid w:val="00180391"/>
    <w:rsid w:val="0018058C"/>
    <w:rsid w:val="00180842"/>
    <w:rsid w:val="001809FA"/>
    <w:rsid w:val="00180E19"/>
    <w:rsid w:val="00180EC1"/>
    <w:rsid w:val="001813F2"/>
    <w:rsid w:val="00181681"/>
    <w:rsid w:val="001817DF"/>
    <w:rsid w:val="00181859"/>
    <w:rsid w:val="00181A97"/>
    <w:rsid w:val="001821A9"/>
    <w:rsid w:val="001825BB"/>
    <w:rsid w:val="00182682"/>
    <w:rsid w:val="0018275B"/>
    <w:rsid w:val="001827A0"/>
    <w:rsid w:val="00182843"/>
    <w:rsid w:val="001828A1"/>
    <w:rsid w:val="00182BF4"/>
    <w:rsid w:val="00182C3F"/>
    <w:rsid w:val="00182D10"/>
    <w:rsid w:val="00182EC0"/>
    <w:rsid w:val="00182EF1"/>
    <w:rsid w:val="00183122"/>
    <w:rsid w:val="00183249"/>
    <w:rsid w:val="001832F7"/>
    <w:rsid w:val="0018344E"/>
    <w:rsid w:val="001836B8"/>
    <w:rsid w:val="001837B8"/>
    <w:rsid w:val="00183D84"/>
    <w:rsid w:val="00183EF9"/>
    <w:rsid w:val="00183FA9"/>
    <w:rsid w:val="0018444F"/>
    <w:rsid w:val="00184D10"/>
    <w:rsid w:val="00184DBD"/>
    <w:rsid w:val="00185011"/>
    <w:rsid w:val="00185041"/>
    <w:rsid w:val="0018542E"/>
    <w:rsid w:val="00185476"/>
    <w:rsid w:val="001855CF"/>
    <w:rsid w:val="001856FC"/>
    <w:rsid w:val="00185836"/>
    <w:rsid w:val="001859C1"/>
    <w:rsid w:val="00185A7A"/>
    <w:rsid w:val="00185B3E"/>
    <w:rsid w:val="00185BB7"/>
    <w:rsid w:val="00185C65"/>
    <w:rsid w:val="00185CB2"/>
    <w:rsid w:val="001861E0"/>
    <w:rsid w:val="0018627E"/>
    <w:rsid w:val="001864D1"/>
    <w:rsid w:val="00186822"/>
    <w:rsid w:val="00186A01"/>
    <w:rsid w:val="00186A24"/>
    <w:rsid w:val="00186A8C"/>
    <w:rsid w:val="00186BF8"/>
    <w:rsid w:val="00186FC0"/>
    <w:rsid w:val="00187023"/>
    <w:rsid w:val="0018702A"/>
    <w:rsid w:val="001871CD"/>
    <w:rsid w:val="0018725B"/>
    <w:rsid w:val="001873B0"/>
    <w:rsid w:val="00187503"/>
    <w:rsid w:val="00187929"/>
    <w:rsid w:val="00187BBC"/>
    <w:rsid w:val="00187D94"/>
    <w:rsid w:val="0019018D"/>
    <w:rsid w:val="001901E0"/>
    <w:rsid w:val="00190515"/>
    <w:rsid w:val="0019064D"/>
    <w:rsid w:val="001908F7"/>
    <w:rsid w:val="00190DB7"/>
    <w:rsid w:val="00191615"/>
    <w:rsid w:val="00191670"/>
    <w:rsid w:val="00191A48"/>
    <w:rsid w:val="00191EE3"/>
    <w:rsid w:val="00191F2A"/>
    <w:rsid w:val="001920C7"/>
    <w:rsid w:val="0019222D"/>
    <w:rsid w:val="001926F3"/>
    <w:rsid w:val="001929B2"/>
    <w:rsid w:val="00192A78"/>
    <w:rsid w:val="00192CE7"/>
    <w:rsid w:val="00192D88"/>
    <w:rsid w:val="00192E90"/>
    <w:rsid w:val="00192E92"/>
    <w:rsid w:val="00192FF5"/>
    <w:rsid w:val="001936BE"/>
    <w:rsid w:val="001936D8"/>
    <w:rsid w:val="001937DA"/>
    <w:rsid w:val="001938DC"/>
    <w:rsid w:val="00193A79"/>
    <w:rsid w:val="00193C2B"/>
    <w:rsid w:val="00193C6B"/>
    <w:rsid w:val="00193CE8"/>
    <w:rsid w:val="00193E23"/>
    <w:rsid w:val="00193E5E"/>
    <w:rsid w:val="00193E95"/>
    <w:rsid w:val="0019442F"/>
    <w:rsid w:val="00194519"/>
    <w:rsid w:val="00194821"/>
    <w:rsid w:val="00194974"/>
    <w:rsid w:val="001949B1"/>
    <w:rsid w:val="00194B73"/>
    <w:rsid w:val="00194B93"/>
    <w:rsid w:val="00194B9A"/>
    <w:rsid w:val="00194BC8"/>
    <w:rsid w:val="00194C36"/>
    <w:rsid w:val="001950D3"/>
    <w:rsid w:val="00195127"/>
    <w:rsid w:val="00195433"/>
    <w:rsid w:val="001955A4"/>
    <w:rsid w:val="00195652"/>
    <w:rsid w:val="00195A47"/>
    <w:rsid w:val="00195E03"/>
    <w:rsid w:val="00195F24"/>
    <w:rsid w:val="0019603C"/>
    <w:rsid w:val="00196166"/>
    <w:rsid w:val="00196170"/>
    <w:rsid w:val="001963AA"/>
    <w:rsid w:val="001964A9"/>
    <w:rsid w:val="0019694B"/>
    <w:rsid w:val="001969F5"/>
    <w:rsid w:val="00196AEA"/>
    <w:rsid w:val="00196B14"/>
    <w:rsid w:val="00196B4C"/>
    <w:rsid w:val="00196BC0"/>
    <w:rsid w:val="00196E64"/>
    <w:rsid w:val="00197085"/>
    <w:rsid w:val="001971C5"/>
    <w:rsid w:val="0019766E"/>
    <w:rsid w:val="0019788E"/>
    <w:rsid w:val="00197A1C"/>
    <w:rsid w:val="00197B92"/>
    <w:rsid w:val="00197C09"/>
    <w:rsid w:val="001A0071"/>
    <w:rsid w:val="001A047C"/>
    <w:rsid w:val="001A055C"/>
    <w:rsid w:val="001A06F7"/>
    <w:rsid w:val="001A0937"/>
    <w:rsid w:val="001A0CD4"/>
    <w:rsid w:val="001A0DC5"/>
    <w:rsid w:val="001A1129"/>
    <w:rsid w:val="001A1968"/>
    <w:rsid w:val="001A1A4D"/>
    <w:rsid w:val="001A1C8C"/>
    <w:rsid w:val="001A1D96"/>
    <w:rsid w:val="001A1E41"/>
    <w:rsid w:val="001A1F8F"/>
    <w:rsid w:val="001A2140"/>
    <w:rsid w:val="001A24FD"/>
    <w:rsid w:val="001A2888"/>
    <w:rsid w:val="001A2A49"/>
    <w:rsid w:val="001A2A95"/>
    <w:rsid w:val="001A2D6F"/>
    <w:rsid w:val="001A2E0A"/>
    <w:rsid w:val="001A2E25"/>
    <w:rsid w:val="001A2FEA"/>
    <w:rsid w:val="001A33C2"/>
    <w:rsid w:val="001A37B8"/>
    <w:rsid w:val="001A3F69"/>
    <w:rsid w:val="001A3FAD"/>
    <w:rsid w:val="001A43F1"/>
    <w:rsid w:val="001A44DA"/>
    <w:rsid w:val="001A45DE"/>
    <w:rsid w:val="001A46C6"/>
    <w:rsid w:val="001A49D6"/>
    <w:rsid w:val="001A4A2E"/>
    <w:rsid w:val="001A4CD3"/>
    <w:rsid w:val="001A4F33"/>
    <w:rsid w:val="001A5227"/>
    <w:rsid w:val="001A5629"/>
    <w:rsid w:val="001A596A"/>
    <w:rsid w:val="001A5AF7"/>
    <w:rsid w:val="001A5CD7"/>
    <w:rsid w:val="001A5E1A"/>
    <w:rsid w:val="001A6303"/>
    <w:rsid w:val="001A66C9"/>
    <w:rsid w:val="001A6700"/>
    <w:rsid w:val="001A670A"/>
    <w:rsid w:val="001A670C"/>
    <w:rsid w:val="001A68A0"/>
    <w:rsid w:val="001A6AED"/>
    <w:rsid w:val="001A6BA3"/>
    <w:rsid w:val="001A6D4D"/>
    <w:rsid w:val="001A6E21"/>
    <w:rsid w:val="001A7701"/>
    <w:rsid w:val="001A77A2"/>
    <w:rsid w:val="001A77DF"/>
    <w:rsid w:val="001A7884"/>
    <w:rsid w:val="001A78BC"/>
    <w:rsid w:val="001A7911"/>
    <w:rsid w:val="001A7C93"/>
    <w:rsid w:val="001A7D49"/>
    <w:rsid w:val="001B0152"/>
    <w:rsid w:val="001B034F"/>
    <w:rsid w:val="001B0532"/>
    <w:rsid w:val="001B05EF"/>
    <w:rsid w:val="001B0677"/>
    <w:rsid w:val="001B09BD"/>
    <w:rsid w:val="001B0AC0"/>
    <w:rsid w:val="001B0CD4"/>
    <w:rsid w:val="001B0F0C"/>
    <w:rsid w:val="001B1246"/>
    <w:rsid w:val="001B12CB"/>
    <w:rsid w:val="001B14D9"/>
    <w:rsid w:val="001B16C7"/>
    <w:rsid w:val="001B1D57"/>
    <w:rsid w:val="001B1E16"/>
    <w:rsid w:val="001B1FF5"/>
    <w:rsid w:val="001B21FF"/>
    <w:rsid w:val="001B221F"/>
    <w:rsid w:val="001B2306"/>
    <w:rsid w:val="001B2323"/>
    <w:rsid w:val="001B23B4"/>
    <w:rsid w:val="001B271A"/>
    <w:rsid w:val="001B29A0"/>
    <w:rsid w:val="001B2C5F"/>
    <w:rsid w:val="001B2CEF"/>
    <w:rsid w:val="001B2E45"/>
    <w:rsid w:val="001B328D"/>
    <w:rsid w:val="001B3419"/>
    <w:rsid w:val="001B37F3"/>
    <w:rsid w:val="001B38AF"/>
    <w:rsid w:val="001B3984"/>
    <w:rsid w:val="001B3B9A"/>
    <w:rsid w:val="001B3C75"/>
    <w:rsid w:val="001B3E6E"/>
    <w:rsid w:val="001B3E73"/>
    <w:rsid w:val="001B4280"/>
    <w:rsid w:val="001B42A4"/>
    <w:rsid w:val="001B468C"/>
    <w:rsid w:val="001B46A9"/>
    <w:rsid w:val="001B47D6"/>
    <w:rsid w:val="001B4A94"/>
    <w:rsid w:val="001B4AAE"/>
    <w:rsid w:val="001B4DD7"/>
    <w:rsid w:val="001B4EC7"/>
    <w:rsid w:val="001B5313"/>
    <w:rsid w:val="001B5756"/>
    <w:rsid w:val="001B585B"/>
    <w:rsid w:val="001B5901"/>
    <w:rsid w:val="001B5BB4"/>
    <w:rsid w:val="001B5C94"/>
    <w:rsid w:val="001B5D91"/>
    <w:rsid w:val="001B5DE4"/>
    <w:rsid w:val="001B5DF8"/>
    <w:rsid w:val="001B5F72"/>
    <w:rsid w:val="001B5FE7"/>
    <w:rsid w:val="001B629D"/>
    <w:rsid w:val="001B6A85"/>
    <w:rsid w:val="001B6D3D"/>
    <w:rsid w:val="001B6EF0"/>
    <w:rsid w:val="001B72EB"/>
    <w:rsid w:val="001B7443"/>
    <w:rsid w:val="001B76BD"/>
    <w:rsid w:val="001B777E"/>
    <w:rsid w:val="001B7AC1"/>
    <w:rsid w:val="001B7AFB"/>
    <w:rsid w:val="001B7E3A"/>
    <w:rsid w:val="001C002B"/>
    <w:rsid w:val="001C0174"/>
    <w:rsid w:val="001C03F5"/>
    <w:rsid w:val="001C05C1"/>
    <w:rsid w:val="001C069B"/>
    <w:rsid w:val="001C079C"/>
    <w:rsid w:val="001C07DB"/>
    <w:rsid w:val="001C0973"/>
    <w:rsid w:val="001C0A49"/>
    <w:rsid w:val="001C0B00"/>
    <w:rsid w:val="001C0D91"/>
    <w:rsid w:val="001C0E25"/>
    <w:rsid w:val="001C1602"/>
    <w:rsid w:val="001C1639"/>
    <w:rsid w:val="001C17B0"/>
    <w:rsid w:val="001C18BF"/>
    <w:rsid w:val="001C1900"/>
    <w:rsid w:val="001C1938"/>
    <w:rsid w:val="001C1BA8"/>
    <w:rsid w:val="001C1CC2"/>
    <w:rsid w:val="001C2048"/>
    <w:rsid w:val="001C2471"/>
    <w:rsid w:val="001C24AA"/>
    <w:rsid w:val="001C2816"/>
    <w:rsid w:val="001C2C84"/>
    <w:rsid w:val="001C2D53"/>
    <w:rsid w:val="001C2D7D"/>
    <w:rsid w:val="001C2DEF"/>
    <w:rsid w:val="001C2F15"/>
    <w:rsid w:val="001C3378"/>
    <w:rsid w:val="001C3594"/>
    <w:rsid w:val="001C36C4"/>
    <w:rsid w:val="001C38D5"/>
    <w:rsid w:val="001C3B0C"/>
    <w:rsid w:val="001C3DD1"/>
    <w:rsid w:val="001C3F2A"/>
    <w:rsid w:val="001C4112"/>
    <w:rsid w:val="001C43C7"/>
    <w:rsid w:val="001C4694"/>
    <w:rsid w:val="001C4870"/>
    <w:rsid w:val="001C4AF9"/>
    <w:rsid w:val="001C4E07"/>
    <w:rsid w:val="001C4FA2"/>
    <w:rsid w:val="001C5084"/>
    <w:rsid w:val="001C5175"/>
    <w:rsid w:val="001C52AE"/>
    <w:rsid w:val="001C5302"/>
    <w:rsid w:val="001C5740"/>
    <w:rsid w:val="001C580F"/>
    <w:rsid w:val="001C5981"/>
    <w:rsid w:val="001C5D37"/>
    <w:rsid w:val="001C6533"/>
    <w:rsid w:val="001C678F"/>
    <w:rsid w:val="001C6953"/>
    <w:rsid w:val="001C6A81"/>
    <w:rsid w:val="001C6B22"/>
    <w:rsid w:val="001C6D21"/>
    <w:rsid w:val="001C6F1F"/>
    <w:rsid w:val="001C70CD"/>
    <w:rsid w:val="001C74DB"/>
    <w:rsid w:val="001C7562"/>
    <w:rsid w:val="001C7A3B"/>
    <w:rsid w:val="001C7AD8"/>
    <w:rsid w:val="001C7DCC"/>
    <w:rsid w:val="001D05E9"/>
    <w:rsid w:val="001D0924"/>
    <w:rsid w:val="001D0B27"/>
    <w:rsid w:val="001D0CE6"/>
    <w:rsid w:val="001D0E0E"/>
    <w:rsid w:val="001D0F31"/>
    <w:rsid w:val="001D137D"/>
    <w:rsid w:val="001D15F7"/>
    <w:rsid w:val="001D1739"/>
    <w:rsid w:val="001D1978"/>
    <w:rsid w:val="001D1AD0"/>
    <w:rsid w:val="001D1AED"/>
    <w:rsid w:val="001D1B14"/>
    <w:rsid w:val="001D1D30"/>
    <w:rsid w:val="001D207B"/>
    <w:rsid w:val="001D20D9"/>
    <w:rsid w:val="001D2301"/>
    <w:rsid w:val="001D241F"/>
    <w:rsid w:val="001D2467"/>
    <w:rsid w:val="001D2907"/>
    <w:rsid w:val="001D2A53"/>
    <w:rsid w:val="001D2D08"/>
    <w:rsid w:val="001D2F75"/>
    <w:rsid w:val="001D334D"/>
    <w:rsid w:val="001D34E7"/>
    <w:rsid w:val="001D35FB"/>
    <w:rsid w:val="001D3849"/>
    <w:rsid w:val="001D3BC2"/>
    <w:rsid w:val="001D3C37"/>
    <w:rsid w:val="001D3DEE"/>
    <w:rsid w:val="001D3E80"/>
    <w:rsid w:val="001D3F2E"/>
    <w:rsid w:val="001D3F3C"/>
    <w:rsid w:val="001D42E7"/>
    <w:rsid w:val="001D46F8"/>
    <w:rsid w:val="001D475C"/>
    <w:rsid w:val="001D47A0"/>
    <w:rsid w:val="001D4859"/>
    <w:rsid w:val="001D4892"/>
    <w:rsid w:val="001D51F0"/>
    <w:rsid w:val="001D54D3"/>
    <w:rsid w:val="001D5532"/>
    <w:rsid w:val="001D553B"/>
    <w:rsid w:val="001D5606"/>
    <w:rsid w:val="001D5684"/>
    <w:rsid w:val="001D5792"/>
    <w:rsid w:val="001D5825"/>
    <w:rsid w:val="001D5AAC"/>
    <w:rsid w:val="001D5BE3"/>
    <w:rsid w:val="001D5EE4"/>
    <w:rsid w:val="001D6040"/>
    <w:rsid w:val="001D60CC"/>
    <w:rsid w:val="001D6113"/>
    <w:rsid w:val="001D616B"/>
    <w:rsid w:val="001D6577"/>
    <w:rsid w:val="001D6AE7"/>
    <w:rsid w:val="001D6B08"/>
    <w:rsid w:val="001D6F7E"/>
    <w:rsid w:val="001D70C1"/>
    <w:rsid w:val="001D737F"/>
    <w:rsid w:val="001D743C"/>
    <w:rsid w:val="001D77BA"/>
    <w:rsid w:val="001D7A74"/>
    <w:rsid w:val="001D7BB5"/>
    <w:rsid w:val="001D7E59"/>
    <w:rsid w:val="001E0185"/>
    <w:rsid w:val="001E06FB"/>
    <w:rsid w:val="001E0B77"/>
    <w:rsid w:val="001E0F8F"/>
    <w:rsid w:val="001E1159"/>
    <w:rsid w:val="001E1220"/>
    <w:rsid w:val="001E1468"/>
    <w:rsid w:val="001E198D"/>
    <w:rsid w:val="001E1ABF"/>
    <w:rsid w:val="001E1D45"/>
    <w:rsid w:val="001E1D54"/>
    <w:rsid w:val="001E1E53"/>
    <w:rsid w:val="001E1EE7"/>
    <w:rsid w:val="001E2612"/>
    <w:rsid w:val="001E2ADE"/>
    <w:rsid w:val="001E2D8D"/>
    <w:rsid w:val="001E2E71"/>
    <w:rsid w:val="001E31FD"/>
    <w:rsid w:val="001E3425"/>
    <w:rsid w:val="001E3A75"/>
    <w:rsid w:val="001E3C90"/>
    <w:rsid w:val="001E3CA7"/>
    <w:rsid w:val="001E3D37"/>
    <w:rsid w:val="001E407B"/>
    <w:rsid w:val="001E40FD"/>
    <w:rsid w:val="001E42B5"/>
    <w:rsid w:val="001E44D1"/>
    <w:rsid w:val="001E4698"/>
    <w:rsid w:val="001E4AAC"/>
    <w:rsid w:val="001E4C65"/>
    <w:rsid w:val="001E4D73"/>
    <w:rsid w:val="001E4F80"/>
    <w:rsid w:val="001E5002"/>
    <w:rsid w:val="001E5044"/>
    <w:rsid w:val="001E50B1"/>
    <w:rsid w:val="001E50C3"/>
    <w:rsid w:val="001E50C6"/>
    <w:rsid w:val="001E5628"/>
    <w:rsid w:val="001E570C"/>
    <w:rsid w:val="001E5A1A"/>
    <w:rsid w:val="001E5E16"/>
    <w:rsid w:val="001E6037"/>
    <w:rsid w:val="001E6096"/>
    <w:rsid w:val="001E619B"/>
    <w:rsid w:val="001E6373"/>
    <w:rsid w:val="001E64E8"/>
    <w:rsid w:val="001E6622"/>
    <w:rsid w:val="001E6B21"/>
    <w:rsid w:val="001E6B5E"/>
    <w:rsid w:val="001E6E79"/>
    <w:rsid w:val="001E6EF4"/>
    <w:rsid w:val="001E702D"/>
    <w:rsid w:val="001E73A7"/>
    <w:rsid w:val="001E7447"/>
    <w:rsid w:val="001E746C"/>
    <w:rsid w:val="001E74AF"/>
    <w:rsid w:val="001E7508"/>
    <w:rsid w:val="001E7557"/>
    <w:rsid w:val="001E759E"/>
    <w:rsid w:val="001E75F7"/>
    <w:rsid w:val="001E78E1"/>
    <w:rsid w:val="001E7B2F"/>
    <w:rsid w:val="001E7D32"/>
    <w:rsid w:val="001F013B"/>
    <w:rsid w:val="001F029D"/>
    <w:rsid w:val="001F03EF"/>
    <w:rsid w:val="001F045C"/>
    <w:rsid w:val="001F0502"/>
    <w:rsid w:val="001F0793"/>
    <w:rsid w:val="001F0A3F"/>
    <w:rsid w:val="001F0CBF"/>
    <w:rsid w:val="001F10A1"/>
    <w:rsid w:val="001F10DF"/>
    <w:rsid w:val="001F10E9"/>
    <w:rsid w:val="001F12C3"/>
    <w:rsid w:val="001F1411"/>
    <w:rsid w:val="001F169A"/>
    <w:rsid w:val="001F1734"/>
    <w:rsid w:val="001F17DE"/>
    <w:rsid w:val="001F1878"/>
    <w:rsid w:val="001F18D7"/>
    <w:rsid w:val="001F1922"/>
    <w:rsid w:val="001F1995"/>
    <w:rsid w:val="001F1A81"/>
    <w:rsid w:val="001F1B4A"/>
    <w:rsid w:val="001F1B4E"/>
    <w:rsid w:val="001F1CB5"/>
    <w:rsid w:val="001F1E9D"/>
    <w:rsid w:val="001F1F72"/>
    <w:rsid w:val="001F2029"/>
    <w:rsid w:val="001F20CC"/>
    <w:rsid w:val="001F23CC"/>
    <w:rsid w:val="001F258B"/>
    <w:rsid w:val="001F278D"/>
    <w:rsid w:val="001F2C0F"/>
    <w:rsid w:val="001F2F67"/>
    <w:rsid w:val="001F2F6D"/>
    <w:rsid w:val="001F2F73"/>
    <w:rsid w:val="001F3228"/>
    <w:rsid w:val="001F377F"/>
    <w:rsid w:val="001F3907"/>
    <w:rsid w:val="001F3998"/>
    <w:rsid w:val="001F39FA"/>
    <w:rsid w:val="001F3C42"/>
    <w:rsid w:val="001F4012"/>
    <w:rsid w:val="001F40C3"/>
    <w:rsid w:val="001F4188"/>
    <w:rsid w:val="001F44DC"/>
    <w:rsid w:val="001F47C1"/>
    <w:rsid w:val="001F488B"/>
    <w:rsid w:val="001F4CF5"/>
    <w:rsid w:val="001F4F3C"/>
    <w:rsid w:val="001F52AC"/>
    <w:rsid w:val="001F562B"/>
    <w:rsid w:val="001F572B"/>
    <w:rsid w:val="001F57E6"/>
    <w:rsid w:val="001F590C"/>
    <w:rsid w:val="001F593A"/>
    <w:rsid w:val="001F5FCC"/>
    <w:rsid w:val="001F6097"/>
    <w:rsid w:val="001F62B6"/>
    <w:rsid w:val="001F62FF"/>
    <w:rsid w:val="001F63D6"/>
    <w:rsid w:val="001F6617"/>
    <w:rsid w:val="001F66BF"/>
    <w:rsid w:val="001F695B"/>
    <w:rsid w:val="001F6C11"/>
    <w:rsid w:val="001F6C8C"/>
    <w:rsid w:val="001F6CD5"/>
    <w:rsid w:val="001F6F32"/>
    <w:rsid w:val="001F7003"/>
    <w:rsid w:val="001F7054"/>
    <w:rsid w:val="001F7132"/>
    <w:rsid w:val="001F72ED"/>
    <w:rsid w:val="001F79D1"/>
    <w:rsid w:val="002001A4"/>
    <w:rsid w:val="002001D3"/>
    <w:rsid w:val="002003B4"/>
    <w:rsid w:val="00200460"/>
    <w:rsid w:val="00200730"/>
    <w:rsid w:val="002007A5"/>
    <w:rsid w:val="00200A9D"/>
    <w:rsid w:val="00200AB8"/>
    <w:rsid w:val="00200C77"/>
    <w:rsid w:val="00201007"/>
    <w:rsid w:val="002012FA"/>
    <w:rsid w:val="002013B7"/>
    <w:rsid w:val="002013DA"/>
    <w:rsid w:val="002014C0"/>
    <w:rsid w:val="00201600"/>
    <w:rsid w:val="00201626"/>
    <w:rsid w:val="00201B95"/>
    <w:rsid w:val="00201BF3"/>
    <w:rsid w:val="00201CBE"/>
    <w:rsid w:val="00201F51"/>
    <w:rsid w:val="00202029"/>
    <w:rsid w:val="0020211A"/>
    <w:rsid w:val="002022D1"/>
    <w:rsid w:val="0020270D"/>
    <w:rsid w:val="002027B9"/>
    <w:rsid w:val="0020298C"/>
    <w:rsid w:val="00202C6F"/>
    <w:rsid w:val="00202D84"/>
    <w:rsid w:val="00202DF4"/>
    <w:rsid w:val="00202E12"/>
    <w:rsid w:val="00202EDF"/>
    <w:rsid w:val="00202F25"/>
    <w:rsid w:val="0020328C"/>
    <w:rsid w:val="00203544"/>
    <w:rsid w:val="0020365A"/>
    <w:rsid w:val="00203C18"/>
    <w:rsid w:val="00203CCC"/>
    <w:rsid w:val="00203CD1"/>
    <w:rsid w:val="00203DAA"/>
    <w:rsid w:val="00203F42"/>
    <w:rsid w:val="0020402B"/>
    <w:rsid w:val="00204377"/>
    <w:rsid w:val="002043D1"/>
    <w:rsid w:val="002047B8"/>
    <w:rsid w:val="00204854"/>
    <w:rsid w:val="00204BC8"/>
    <w:rsid w:val="00204E2D"/>
    <w:rsid w:val="00204F60"/>
    <w:rsid w:val="002050E3"/>
    <w:rsid w:val="002051CC"/>
    <w:rsid w:val="00205466"/>
    <w:rsid w:val="00205565"/>
    <w:rsid w:val="00205586"/>
    <w:rsid w:val="0020559D"/>
    <w:rsid w:val="002055B9"/>
    <w:rsid w:val="002055DA"/>
    <w:rsid w:val="0020560A"/>
    <w:rsid w:val="00205655"/>
    <w:rsid w:val="00205696"/>
    <w:rsid w:val="002056F0"/>
    <w:rsid w:val="00205766"/>
    <w:rsid w:val="002057AF"/>
    <w:rsid w:val="00205ABE"/>
    <w:rsid w:val="00205ACF"/>
    <w:rsid w:val="00206256"/>
    <w:rsid w:val="00206667"/>
    <w:rsid w:val="00206830"/>
    <w:rsid w:val="00206C20"/>
    <w:rsid w:val="00206D79"/>
    <w:rsid w:val="00206EAC"/>
    <w:rsid w:val="0020708C"/>
    <w:rsid w:val="00207311"/>
    <w:rsid w:val="00207530"/>
    <w:rsid w:val="00207538"/>
    <w:rsid w:val="0020763D"/>
    <w:rsid w:val="00207691"/>
    <w:rsid w:val="00207CC6"/>
    <w:rsid w:val="00207D0E"/>
    <w:rsid w:val="00207D50"/>
    <w:rsid w:val="00207D67"/>
    <w:rsid w:val="00207F12"/>
    <w:rsid w:val="00210157"/>
    <w:rsid w:val="002104E8"/>
    <w:rsid w:val="00210698"/>
    <w:rsid w:val="0021094B"/>
    <w:rsid w:val="00210DAC"/>
    <w:rsid w:val="00210FC7"/>
    <w:rsid w:val="002114D7"/>
    <w:rsid w:val="0021192F"/>
    <w:rsid w:val="00211AAD"/>
    <w:rsid w:val="00211B7A"/>
    <w:rsid w:val="00211E74"/>
    <w:rsid w:val="002121E2"/>
    <w:rsid w:val="00212453"/>
    <w:rsid w:val="0021256E"/>
    <w:rsid w:val="0021266F"/>
    <w:rsid w:val="00212689"/>
    <w:rsid w:val="002129B5"/>
    <w:rsid w:val="00212E23"/>
    <w:rsid w:val="00212F36"/>
    <w:rsid w:val="00212FD3"/>
    <w:rsid w:val="002130B8"/>
    <w:rsid w:val="002130E4"/>
    <w:rsid w:val="00213174"/>
    <w:rsid w:val="002131B0"/>
    <w:rsid w:val="002132BF"/>
    <w:rsid w:val="0021330A"/>
    <w:rsid w:val="0021378F"/>
    <w:rsid w:val="00213D1A"/>
    <w:rsid w:val="00213D97"/>
    <w:rsid w:val="00213EB8"/>
    <w:rsid w:val="00213F6E"/>
    <w:rsid w:val="002142DF"/>
    <w:rsid w:val="002148F5"/>
    <w:rsid w:val="00214938"/>
    <w:rsid w:val="00214B01"/>
    <w:rsid w:val="00214C06"/>
    <w:rsid w:val="00214DAB"/>
    <w:rsid w:val="00214DAF"/>
    <w:rsid w:val="00215089"/>
    <w:rsid w:val="00215098"/>
    <w:rsid w:val="00215311"/>
    <w:rsid w:val="00215316"/>
    <w:rsid w:val="00215802"/>
    <w:rsid w:val="0021593A"/>
    <w:rsid w:val="00215BF5"/>
    <w:rsid w:val="00215E1A"/>
    <w:rsid w:val="00215F9F"/>
    <w:rsid w:val="0021624B"/>
    <w:rsid w:val="00216354"/>
    <w:rsid w:val="0021635F"/>
    <w:rsid w:val="00216652"/>
    <w:rsid w:val="0021712B"/>
    <w:rsid w:val="00217267"/>
    <w:rsid w:val="00217409"/>
    <w:rsid w:val="00217509"/>
    <w:rsid w:val="0021752D"/>
    <w:rsid w:val="00217546"/>
    <w:rsid w:val="002178DB"/>
    <w:rsid w:val="002178E1"/>
    <w:rsid w:val="00217A02"/>
    <w:rsid w:val="00217BB6"/>
    <w:rsid w:val="00217C8D"/>
    <w:rsid w:val="00217E33"/>
    <w:rsid w:val="00220103"/>
    <w:rsid w:val="00220338"/>
    <w:rsid w:val="00220343"/>
    <w:rsid w:val="002203B6"/>
    <w:rsid w:val="00220865"/>
    <w:rsid w:val="00220C51"/>
    <w:rsid w:val="00220CF1"/>
    <w:rsid w:val="00220F9A"/>
    <w:rsid w:val="00221002"/>
    <w:rsid w:val="00221243"/>
    <w:rsid w:val="002212B3"/>
    <w:rsid w:val="002213E1"/>
    <w:rsid w:val="0022149E"/>
    <w:rsid w:val="0022169C"/>
    <w:rsid w:val="0022174F"/>
    <w:rsid w:val="00221A7A"/>
    <w:rsid w:val="00221A96"/>
    <w:rsid w:val="00221D8A"/>
    <w:rsid w:val="00221ECF"/>
    <w:rsid w:val="002221F6"/>
    <w:rsid w:val="0022224B"/>
    <w:rsid w:val="002222D1"/>
    <w:rsid w:val="002223B1"/>
    <w:rsid w:val="00222503"/>
    <w:rsid w:val="0022260B"/>
    <w:rsid w:val="002226A0"/>
    <w:rsid w:val="00222C00"/>
    <w:rsid w:val="0022335C"/>
    <w:rsid w:val="0022338B"/>
    <w:rsid w:val="002233E3"/>
    <w:rsid w:val="002238CB"/>
    <w:rsid w:val="00223A45"/>
    <w:rsid w:val="00223E45"/>
    <w:rsid w:val="00223E56"/>
    <w:rsid w:val="002240BA"/>
    <w:rsid w:val="0022428B"/>
    <w:rsid w:val="002245D3"/>
    <w:rsid w:val="002247B9"/>
    <w:rsid w:val="00224A1D"/>
    <w:rsid w:val="00224D87"/>
    <w:rsid w:val="00224DDB"/>
    <w:rsid w:val="00224F80"/>
    <w:rsid w:val="00225364"/>
    <w:rsid w:val="00225C94"/>
    <w:rsid w:val="00225D7E"/>
    <w:rsid w:val="00225DCE"/>
    <w:rsid w:val="00225EEF"/>
    <w:rsid w:val="00226160"/>
    <w:rsid w:val="002264C3"/>
    <w:rsid w:val="00226B24"/>
    <w:rsid w:val="0022708D"/>
    <w:rsid w:val="002270D0"/>
    <w:rsid w:val="0022715C"/>
    <w:rsid w:val="00227382"/>
    <w:rsid w:val="00227388"/>
    <w:rsid w:val="00227397"/>
    <w:rsid w:val="0022756A"/>
    <w:rsid w:val="002275E7"/>
    <w:rsid w:val="00227C15"/>
    <w:rsid w:val="002300C7"/>
    <w:rsid w:val="002304C1"/>
    <w:rsid w:val="00230618"/>
    <w:rsid w:val="002307ED"/>
    <w:rsid w:val="00230C86"/>
    <w:rsid w:val="00230E50"/>
    <w:rsid w:val="00230F4F"/>
    <w:rsid w:val="00231729"/>
    <w:rsid w:val="0023192E"/>
    <w:rsid w:val="00231A8A"/>
    <w:rsid w:val="00231D36"/>
    <w:rsid w:val="00231EAF"/>
    <w:rsid w:val="00232254"/>
    <w:rsid w:val="002322FC"/>
    <w:rsid w:val="00232352"/>
    <w:rsid w:val="0023237C"/>
    <w:rsid w:val="002328DB"/>
    <w:rsid w:val="00232B18"/>
    <w:rsid w:val="00232BBA"/>
    <w:rsid w:val="00232D33"/>
    <w:rsid w:val="00232E98"/>
    <w:rsid w:val="00232F66"/>
    <w:rsid w:val="00233174"/>
    <w:rsid w:val="002331F8"/>
    <w:rsid w:val="00233237"/>
    <w:rsid w:val="002335A0"/>
    <w:rsid w:val="002335EA"/>
    <w:rsid w:val="0023396B"/>
    <w:rsid w:val="002339AF"/>
    <w:rsid w:val="002339F0"/>
    <w:rsid w:val="00233CBA"/>
    <w:rsid w:val="00233D3B"/>
    <w:rsid w:val="00233EDD"/>
    <w:rsid w:val="00233FFD"/>
    <w:rsid w:val="00234014"/>
    <w:rsid w:val="002340CE"/>
    <w:rsid w:val="00234172"/>
    <w:rsid w:val="002341F9"/>
    <w:rsid w:val="0023439C"/>
    <w:rsid w:val="002344A9"/>
    <w:rsid w:val="0023453B"/>
    <w:rsid w:val="002345E2"/>
    <w:rsid w:val="00234650"/>
    <w:rsid w:val="002349BE"/>
    <w:rsid w:val="00234BE3"/>
    <w:rsid w:val="00234E77"/>
    <w:rsid w:val="00235492"/>
    <w:rsid w:val="00235536"/>
    <w:rsid w:val="002355FA"/>
    <w:rsid w:val="00235681"/>
    <w:rsid w:val="002359E0"/>
    <w:rsid w:val="00235D50"/>
    <w:rsid w:val="002363F7"/>
    <w:rsid w:val="002363FE"/>
    <w:rsid w:val="00236837"/>
    <w:rsid w:val="002368CB"/>
    <w:rsid w:val="00236B40"/>
    <w:rsid w:val="00236BB5"/>
    <w:rsid w:val="002370CA"/>
    <w:rsid w:val="002372C4"/>
    <w:rsid w:val="002373AA"/>
    <w:rsid w:val="00237B94"/>
    <w:rsid w:val="00237F68"/>
    <w:rsid w:val="002400F4"/>
    <w:rsid w:val="00240196"/>
    <w:rsid w:val="002406E0"/>
    <w:rsid w:val="00240A5F"/>
    <w:rsid w:val="00240AFD"/>
    <w:rsid w:val="00240DAA"/>
    <w:rsid w:val="0024113B"/>
    <w:rsid w:val="00241878"/>
    <w:rsid w:val="00241A14"/>
    <w:rsid w:val="00241B01"/>
    <w:rsid w:val="00241D0D"/>
    <w:rsid w:val="00241D49"/>
    <w:rsid w:val="00241D57"/>
    <w:rsid w:val="00241E55"/>
    <w:rsid w:val="00241F5B"/>
    <w:rsid w:val="002424C0"/>
    <w:rsid w:val="0024253D"/>
    <w:rsid w:val="00242724"/>
    <w:rsid w:val="002428EE"/>
    <w:rsid w:val="00242AA0"/>
    <w:rsid w:val="00242B78"/>
    <w:rsid w:val="00242E79"/>
    <w:rsid w:val="00242F8C"/>
    <w:rsid w:val="00243145"/>
    <w:rsid w:val="00243542"/>
    <w:rsid w:val="00243637"/>
    <w:rsid w:val="0024374A"/>
    <w:rsid w:val="0024385A"/>
    <w:rsid w:val="00243BD0"/>
    <w:rsid w:val="00243DE0"/>
    <w:rsid w:val="00243F18"/>
    <w:rsid w:val="00243F92"/>
    <w:rsid w:val="00244188"/>
    <w:rsid w:val="00244410"/>
    <w:rsid w:val="002444E1"/>
    <w:rsid w:val="00244522"/>
    <w:rsid w:val="0024471B"/>
    <w:rsid w:val="002447C4"/>
    <w:rsid w:val="00244807"/>
    <w:rsid w:val="00244931"/>
    <w:rsid w:val="00244BB9"/>
    <w:rsid w:val="00244CB5"/>
    <w:rsid w:val="00244DCE"/>
    <w:rsid w:val="00244F63"/>
    <w:rsid w:val="0024534B"/>
    <w:rsid w:val="002457E7"/>
    <w:rsid w:val="002459A0"/>
    <w:rsid w:val="00245B20"/>
    <w:rsid w:val="00245B87"/>
    <w:rsid w:val="00245C5A"/>
    <w:rsid w:val="00245C6B"/>
    <w:rsid w:val="00245FF9"/>
    <w:rsid w:val="00246278"/>
    <w:rsid w:val="0024629A"/>
    <w:rsid w:val="00246602"/>
    <w:rsid w:val="00246695"/>
    <w:rsid w:val="002467CA"/>
    <w:rsid w:val="00246944"/>
    <w:rsid w:val="002469C9"/>
    <w:rsid w:val="00246E3B"/>
    <w:rsid w:val="002470E0"/>
    <w:rsid w:val="0024749C"/>
    <w:rsid w:val="0024755A"/>
    <w:rsid w:val="002477B7"/>
    <w:rsid w:val="00247914"/>
    <w:rsid w:val="00247BD3"/>
    <w:rsid w:val="00247C20"/>
    <w:rsid w:val="00247CD3"/>
    <w:rsid w:val="00247FB3"/>
    <w:rsid w:val="002500D7"/>
    <w:rsid w:val="002503E6"/>
    <w:rsid w:val="002505E6"/>
    <w:rsid w:val="0025062D"/>
    <w:rsid w:val="00250719"/>
    <w:rsid w:val="00250A53"/>
    <w:rsid w:val="00250CD8"/>
    <w:rsid w:val="00250D57"/>
    <w:rsid w:val="00250D58"/>
    <w:rsid w:val="00250EC3"/>
    <w:rsid w:val="00250F74"/>
    <w:rsid w:val="002511E0"/>
    <w:rsid w:val="002512B3"/>
    <w:rsid w:val="0025131C"/>
    <w:rsid w:val="00251324"/>
    <w:rsid w:val="00251832"/>
    <w:rsid w:val="00251C75"/>
    <w:rsid w:val="00251CCD"/>
    <w:rsid w:val="002521D1"/>
    <w:rsid w:val="0025240E"/>
    <w:rsid w:val="00252447"/>
    <w:rsid w:val="00252470"/>
    <w:rsid w:val="00252571"/>
    <w:rsid w:val="002526DB"/>
    <w:rsid w:val="002527C1"/>
    <w:rsid w:val="00252C0B"/>
    <w:rsid w:val="00252D20"/>
    <w:rsid w:val="00252ECE"/>
    <w:rsid w:val="0025315E"/>
    <w:rsid w:val="002531EC"/>
    <w:rsid w:val="002533FC"/>
    <w:rsid w:val="002538A9"/>
    <w:rsid w:val="00253A95"/>
    <w:rsid w:val="00253AE7"/>
    <w:rsid w:val="00253C49"/>
    <w:rsid w:val="00253C6A"/>
    <w:rsid w:val="00254422"/>
    <w:rsid w:val="002545B6"/>
    <w:rsid w:val="00254617"/>
    <w:rsid w:val="00254910"/>
    <w:rsid w:val="0025496C"/>
    <w:rsid w:val="0025498D"/>
    <w:rsid w:val="00255299"/>
    <w:rsid w:val="002552FC"/>
    <w:rsid w:val="00255374"/>
    <w:rsid w:val="002554AE"/>
    <w:rsid w:val="002554B4"/>
    <w:rsid w:val="00255512"/>
    <w:rsid w:val="002557FA"/>
    <w:rsid w:val="0025598E"/>
    <w:rsid w:val="0025634C"/>
    <w:rsid w:val="00256669"/>
    <w:rsid w:val="002566FA"/>
    <w:rsid w:val="00256888"/>
    <w:rsid w:val="00256889"/>
    <w:rsid w:val="00256A1E"/>
    <w:rsid w:val="00256A71"/>
    <w:rsid w:val="00256B39"/>
    <w:rsid w:val="00256B91"/>
    <w:rsid w:val="00256FD4"/>
    <w:rsid w:val="00257043"/>
    <w:rsid w:val="002570CD"/>
    <w:rsid w:val="002573E8"/>
    <w:rsid w:val="00257638"/>
    <w:rsid w:val="00257A96"/>
    <w:rsid w:val="00257B5F"/>
    <w:rsid w:val="00257CAB"/>
    <w:rsid w:val="00257D58"/>
    <w:rsid w:val="00257F74"/>
    <w:rsid w:val="0026002F"/>
    <w:rsid w:val="0026032A"/>
    <w:rsid w:val="0026042F"/>
    <w:rsid w:val="002605D6"/>
    <w:rsid w:val="0026081E"/>
    <w:rsid w:val="002609A4"/>
    <w:rsid w:val="00260D66"/>
    <w:rsid w:val="00260EAA"/>
    <w:rsid w:val="00261223"/>
    <w:rsid w:val="0026122F"/>
    <w:rsid w:val="002613FE"/>
    <w:rsid w:val="00261433"/>
    <w:rsid w:val="00261635"/>
    <w:rsid w:val="00261C3D"/>
    <w:rsid w:val="00261FEA"/>
    <w:rsid w:val="0026200A"/>
    <w:rsid w:val="0026207B"/>
    <w:rsid w:val="002621E6"/>
    <w:rsid w:val="0026224D"/>
    <w:rsid w:val="002623B5"/>
    <w:rsid w:val="002624E5"/>
    <w:rsid w:val="00262A1F"/>
    <w:rsid w:val="00262ABE"/>
    <w:rsid w:val="00262AD6"/>
    <w:rsid w:val="00262B8F"/>
    <w:rsid w:val="00262CE8"/>
    <w:rsid w:val="00262DE6"/>
    <w:rsid w:val="00262F94"/>
    <w:rsid w:val="00263009"/>
    <w:rsid w:val="0026319E"/>
    <w:rsid w:val="00263268"/>
    <w:rsid w:val="002632AD"/>
    <w:rsid w:val="002632DD"/>
    <w:rsid w:val="0026333F"/>
    <w:rsid w:val="0026336D"/>
    <w:rsid w:val="002633D1"/>
    <w:rsid w:val="002635A0"/>
    <w:rsid w:val="00263788"/>
    <w:rsid w:val="00263884"/>
    <w:rsid w:val="00263923"/>
    <w:rsid w:val="00263AD9"/>
    <w:rsid w:val="00263D48"/>
    <w:rsid w:val="00263E33"/>
    <w:rsid w:val="00264572"/>
    <w:rsid w:val="002645D2"/>
    <w:rsid w:val="00264888"/>
    <w:rsid w:val="00264B3A"/>
    <w:rsid w:val="00264E88"/>
    <w:rsid w:val="00264FCF"/>
    <w:rsid w:val="002650E6"/>
    <w:rsid w:val="00265185"/>
    <w:rsid w:val="002652D2"/>
    <w:rsid w:val="00265471"/>
    <w:rsid w:val="002655F6"/>
    <w:rsid w:val="00265980"/>
    <w:rsid w:val="00265C0E"/>
    <w:rsid w:val="00265C52"/>
    <w:rsid w:val="00265C63"/>
    <w:rsid w:val="00265CA4"/>
    <w:rsid w:val="00265D15"/>
    <w:rsid w:val="0026606F"/>
    <w:rsid w:val="00266125"/>
    <w:rsid w:val="002669C0"/>
    <w:rsid w:val="00266D95"/>
    <w:rsid w:val="00266DBE"/>
    <w:rsid w:val="00266FB1"/>
    <w:rsid w:val="002670A1"/>
    <w:rsid w:val="002673FE"/>
    <w:rsid w:val="00267638"/>
    <w:rsid w:val="0026775D"/>
    <w:rsid w:val="00267B97"/>
    <w:rsid w:val="00267BBD"/>
    <w:rsid w:val="002704C4"/>
    <w:rsid w:val="00270687"/>
    <w:rsid w:val="00270A2B"/>
    <w:rsid w:val="00270A7B"/>
    <w:rsid w:val="00270AF4"/>
    <w:rsid w:val="00270ECD"/>
    <w:rsid w:val="00270FE5"/>
    <w:rsid w:val="00271425"/>
    <w:rsid w:val="00271438"/>
    <w:rsid w:val="0027150C"/>
    <w:rsid w:val="00271601"/>
    <w:rsid w:val="0027178F"/>
    <w:rsid w:val="002717EC"/>
    <w:rsid w:val="00271E0C"/>
    <w:rsid w:val="00271EE0"/>
    <w:rsid w:val="0027244A"/>
    <w:rsid w:val="002724FE"/>
    <w:rsid w:val="00272730"/>
    <w:rsid w:val="002727A1"/>
    <w:rsid w:val="00272CF4"/>
    <w:rsid w:val="0027304E"/>
    <w:rsid w:val="0027305B"/>
    <w:rsid w:val="00273068"/>
    <w:rsid w:val="002732A9"/>
    <w:rsid w:val="00273570"/>
    <w:rsid w:val="002737C2"/>
    <w:rsid w:val="00273998"/>
    <w:rsid w:val="002739C4"/>
    <w:rsid w:val="00273AD7"/>
    <w:rsid w:val="00273CCB"/>
    <w:rsid w:val="00273D3E"/>
    <w:rsid w:val="00273E62"/>
    <w:rsid w:val="00273EED"/>
    <w:rsid w:val="00273F16"/>
    <w:rsid w:val="002740A5"/>
    <w:rsid w:val="00274160"/>
    <w:rsid w:val="0027449C"/>
    <w:rsid w:val="0027472F"/>
    <w:rsid w:val="00274737"/>
    <w:rsid w:val="002747B4"/>
    <w:rsid w:val="0027498D"/>
    <w:rsid w:val="00274A0F"/>
    <w:rsid w:val="00274CF3"/>
    <w:rsid w:val="0027523C"/>
    <w:rsid w:val="00275269"/>
    <w:rsid w:val="00275292"/>
    <w:rsid w:val="002756A4"/>
    <w:rsid w:val="0027594E"/>
    <w:rsid w:val="00275BAF"/>
    <w:rsid w:val="00275CEC"/>
    <w:rsid w:val="00275D00"/>
    <w:rsid w:val="00275D5D"/>
    <w:rsid w:val="00275EF5"/>
    <w:rsid w:val="00276072"/>
    <w:rsid w:val="00276302"/>
    <w:rsid w:val="0027636F"/>
    <w:rsid w:val="002769B4"/>
    <w:rsid w:val="00276D97"/>
    <w:rsid w:val="0027778A"/>
    <w:rsid w:val="002777F7"/>
    <w:rsid w:val="00277A66"/>
    <w:rsid w:val="00277BF9"/>
    <w:rsid w:val="00277DA5"/>
    <w:rsid w:val="002803B8"/>
    <w:rsid w:val="002805F9"/>
    <w:rsid w:val="00280912"/>
    <w:rsid w:val="00280920"/>
    <w:rsid w:val="0028094B"/>
    <w:rsid w:val="00280B19"/>
    <w:rsid w:val="00280DA6"/>
    <w:rsid w:val="00280DEF"/>
    <w:rsid w:val="00280F07"/>
    <w:rsid w:val="002810D3"/>
    <w:rsid w:val="002812E5"/>
    <w:rsid w:val="0028141D"/>
    <w:rsid w:val="00281438"/>
    <w:rsid w:val="00281759"/>
    <w:rsid w:val="002819D6"/>
    <w:rsid w:val="00281A04"/>
    <w:rsid w:val="00281ADA"/>
    <w:rsid w:val="00281B97"/>
    <w:rsid w:val="00281C82"/>
    <w:rsid w:val="00281D06"/>
    <w:rsid w:val="00281D07"/>
    <w:rsid w:val="0028203A"/>
    <w:rsid w:val="0028204E"/>
    <w:rsid w:val="0028223A"/>
    <w:rsid w:val="00282295"/>
    <w:rsid w:val="00282755"/>
    <w:rsid w:val="00282E63"/>
    <w:rsid w:val="00282EE4"/>
    <w:rsid w:val="00282FF3"/>
    <w:rsid w:val="0028320C"/>
    <w:rsid w:val="0028326C"/>
    <w:rsid w:val="00283310"/>
    <w:rsid w:val="002839EB"/>
    <w:rsid w:val="00283AB6"/>
    <w:rsid w:val="00283DC1"/>
    <w:rsid w:val="002841F0"/>
    <w:rsid w:val="0028436A"/>
    <w:rsid w:val="002846E4"/>
    <w:rsid w:val="002849AE"/>
    <w:rsid w:val="00284AE1"/>
    <w:rsid w:val="00284FA0"/>
    <w:rsid w:val="002850CE"/>
    <w:rsid w:val="002854AD"/>
    <w:rsid w:val="002855BF"/>
    <w:rsid w:val="002855D3"/>
    <w:rsid w:val="0028571F"/>
    <w:rsid w:val="00285C21"/>
    <w:rsid w:val="00285CE3"/>
    <w:rsid w:val="002861C5"/>
    <w:rsid w:val="00286515"/>
    <w:rsid w:val="002865CA"/>
    <w:rsid w:val="002866F9"/>
    <w:rsid w:val="00286989"/>
    <w:rsid w:val="00286ACF"/>
    <w:rsid w:val="00286B53"/>
    <w:rsid w:val="00286DF6"/>
    <w:rsid w:val="00286F77"/>
    <w:rsid w:val="0028722D"/>
    <w:rsid w:val="002873B2"/>
    <w:rsid w:val="002876DD"/>
    <w:rsid w:val="002877BF"/>
    <w:rsid w:val="002878D1"/>
    <w:rsid w:val="00287C49"/>
    <w:rsid w:val="00287DC7"/>
    <w:rsid w:val="0029008A"/>
    <w:rsid w:val="002901FD"/>
    <w:rsid w:val="00290342"/>
    <w:rsid w:val="00290378"/>
    <w:rsid w:val="002903C4"/>
    <w:rsid w:val="00291095"/>
    <w:rsid w:val="00291461"/>
    <w:rsid w:val="00291893"/>
    <w:rsid w:val="00292010"/>
    <w:rsid w:val="00292028"/>
    <w:rsid w:val="00292241"/>
    <w:rsid w:val="00292593"/>
    <w:rsid w:val="00292D01"/>
    <w:rsid w:val="00292D88"/>
    <w:rsid w:val="00293257"/>
    <w:rsid w:val="002933DF"/>
    <w:rsid w:val="00293529"/>
    <w:rsid w:val="002939D0"/>
    <w:rsid w:val="00293A90"/>
    <w:rsid w:val="00293A9C"/>
    <w:rsid w:val="00293BD6"/>
    <w:rsid w:val="00293F6A"/>
    <w:rsid w:val="0029435E"/>
    <w:rsid w:val="0029453C"/>
    <w:rsid w:val="002945A0"/>
    <w:rsid w:val="00294874"/>
    <w:rsid w:val="00294D9F"/>
    <w:rsid w:val="00294ECD"/>
    <w:rsid w:val="00294F95"/>
    <w:rsid w:val="0029526F"/>
    <w:rsid w:val="0029528F"/>
    <w:rsid w:val="002954B3"/>
    <w:rsid w:val="0029556C"/>
    <w:rsid w:val="002955E2"/>
    <w:rsid w:val="002957F5"/>
    <w:rsid w:val="00295871"/>
    <w:rsid w:val="002959B5"/>
    <w:rsid w:val="002959D9"/>
    <w:rsid w:val="00295A0B"/>
    <w:rsid w:val="00295AF8"/>
    <w:rsid w:val="00295BA4"/>
    <w:rsid w:val="00295D0D"/>
    <w:rsid w:val="00295DF0"/>
    <w:rsid w:val="00295E69"/>
    <w:rsid w:val="00295EF1"/>
    <w:rsid w:val="002965DE"/>
    <w:rsid w:val="0029669D"/>
    <w:rsid w:val="002969C2"/>
    <w:rsid w:val="002969C3"/>
    <w:rsid w:val="00296FAE"/>
    <w:rsid w:val="0029700A"/>
    <w:rsid w:val="00297094"/>
    <w:rsid w:val="002971EA"/>
    <w:rsid w:val="0029727A"/>
    <w:rsid w:val="00297426"/>
    <w:rsid w:val="002974FD"/>
    <w:rsid w:val="00297761"/>
    <w:rsid w:val="002977D3"/>
    <w:rsid w:val="00297ADD"/>
    <w:rsid w:val="00297F35"/>
    <w:rsid w:val="002A0331"/>
    <w:rsid w:val="002A05BF"/>
    <w:rsid w:val="002A0766"/>
    <w:rsid w:val="002A08C1"/>
    <w:rsid w:val="002A0988"/>
    <w:rsid w:val="002A0B25"/>
    <w:rsid w:val="002A0B93"/>
    <w:rsid w:val="002A0E44"/>
    <w:rsid w:val="002A1018"/>
    <w:rsid w:val="002A1143"/>
    <w:rsid w:val="002A1269"/>
    <w:rsid w:val="002A13EE"/>
    <w:rsid w:val="002A1764"/>
    <w:rsid w:val="002A176D"/>
    <w:rsid w:val="002A184D"/>
    <w:rsid w:val="002A19FE"/>
    <w:rsid w:val="002A1AAA"/>
    <w:rsid w:val="002A1B73"/>
    <w:rsid w:val="002A1C00"/>
    <w:rsid w:val="002A1DB1"/>
    <w:rsid w:val="002A1DFB"/>
    <w:rsid w:val="002A219E"/>
    <w:rsid w:val="002A220F"/>
    <w:rsid w:val="002A26E4"/>
    <w:rsid w:val="002A27DC"/>
    <w:rsid w:val="002A2B81"/>
    <w:rsid w:val="002A2C42"/>
    <w:rsid w:val="002A2D97"/>
    <w:rsid w:val="002A2F1D"/>
    <w:rsid w:val="002A2F25"/>
    <w:rsid w:val="002A2FBB"/>
    <w:rsid w:val="002A30C9"/>
    <w:rsid w:val="002A30E5"/>
    <w:rsid w:val="002A3105"/>
    <w:rsid w:val="002A31F1"/>
    <w:rsid w:val="002A3448"/>
    <w:rsid w:val="002A37A7"/>
    <w:rsid w:val="002A37C7"/>
    <w:rsid w:val="002A3894"/>
    <w:rsid w:val="002A3A70"/>
    <w:rsid w:val="002A3F1C"/>
    <w:rsid w:val="002A3FEF"/>
    <w:rsid w:val="002A43D8"/>
    <w:rsid w:val="002A4646"/>
    <w:rsid w:val="002A4988"/>
    <w:rsid w:val="002A4B07"/>
    <w:rsid w:val="002A4BA9"/>
    <w:rsid w:val="002A4F2F"/>
    <w:rsid w:val="002A4F6E"/>
    <w:rsid w:val="002A4FBF"/>
    <w:rsid w:val="002A50D3"/>
    <w:rsid w:val="002A580A"/>
    <w:rsid w:val="002A5D55"/>
    <w:rsid w:val="002A5E25"/>
    <w:rsid w:val="002A5E5B"/>
    <w:rsid w:val="002A60F1"/>
    <w:rsid w:val="002A6669"/>
    <w:rsid w:val="002A6F1B"/>
    <w:rsid w:val="002A7336"/>
    <w:rsid w:val="002A73D7"/>
    <w:rsid w:val="002A7427"/>
    <w:rsid w:val="002A74AD"/>
    <w:rsid w:val="002A75BB"/>
    <w:rsid w:val="002A7605"/>
    <w:rsid w:val="002A77D4"/>
    <w:rsid w:val="002B0131"/>
    <w:rsid w:val="002B08B3"/>
    <w:rsid w:val="002B0C34"/>
    <w:rsid w:val="002B0C57"/>
    <w:rsid w:val="002B0CC6"/>
    <w:rsid w:val="002B0F7C"/>
    <w:rsid w:val="002B11B6"/>
    <w:rsid w:val="002B130C"/>
    <w:rsid w:val="002B1451"/>
    <w:rsid w:val="002B15FA"/>
    <w:rsid w:val="002B174F"/>
    <w:rsid w:val="002B1801"/>
    <w:rsid w:val="002B197C"/>
    <w:rsid w:val="002B1D22"/>
    <w:rsid w:val="002B1F35"/>
    <w:rsid w:val="002B22F5"/>
    <w:rsid w:val="002B25B6"/>
    <w:rsid w:val="002B26A5"/>
    <w:rsid w:val="002B2724"/>
    <w:rsid w:val="002B2750"/>
    <w:rsid w:val="002B289F"/>
    <w:rsid w:val="002B2996"/>
    <w:rsid w:val="002B2CC1"/>
    <w:rsid w:val="002B30ED"/>
    <w:rsid w:val="002B333A"/>
    <w:rsid w:val="002B33C0"/>
    <w:rsid w:val="002B39AE"/>
    <w:rsid w:val="002B3FCE"/>
    <w:rsid w:val="002B3FDB"/>
    <w:rsid w:val="002B4267"/>
    <w:rsid w:val="002B444F"/>
    <w:rsid w:val="002B4856"/>
    <w:rsid w:val="002B4896"/>
    <w:rsid w:val="002B48C1"/>
    <w:rsid w:val="002B48CB"/>
    <w:rsid w:val="002B49EA"/>
    <w:rsid w:val="002B4CF2"/>
    <w:rsid w:val="002B5186"/>
    <w:rsid w:val="002B51FA"/>
    <w:rsid w:val="002B52EE"/>
    <w:rsid w:val="002B5338"/>
    <w:rsid w:val="002B5AAD"/>
    <w:rsid w:val="002B5C0E"/>
    <w:rsid w:val="002B5DD8"/>
    <w:rsid w:val="002B5DF1"/>
    <w:rsid w:val="002B5E8C"/>
    <w:rsid w:val="002B6082"/>
    <w:rsid w:val="002B628B"/>
    <w:rsid w:val="002B6452"/>
    <w:rsid w:val="002B65EE"/>
    <w:rsid w:val="002B66BD"/>
    <w:rsid w:val="002B6AD9"/>
    <w:rsid w:val="002B6ADA"/>
    <w:rsid w:val="002B6EAB"/>
    <w:rsid w:val="002B6EE6"/>
    <w:rsid w:val="002B71C7"/>
    <w:rsid w:val="002B7354"/>
    <w:rsid w:val="002B74AB"/>
    <w:rsid w:val="002B755C"/>
    <w:rsid w:val="002B7627"/>
    <w:rsid w:val="002B7987"/>
    <w:rsid w:val="002B7A20"/>
    <w:rsid w:val="002B7B21"/>
    <w:rsid w:val="002B7B4F"/>
    <w:rsid w:val="002B7FC4"/>
    <w:rsid w:val="002C03F5"/>
    <w:rsid w:val="002C0473"/>
    <w:rsid w:val="002C04E0"/>
    <w:rsid w:val="002C057A"/>
    <w:rsid w:val="002C05BC"/>
    <w:rsid w:val="002C05D3"/>
    <w:rsid w:val="002C0859"/>
    <w:rsid w:val="002C0945"/>
    <w:rsid w:val="002C0A8B"/>
    <w:rsid w:val="002C0AA9"/>
    <w:rsid w:val="002C0D11"/>
    <w:rsid w:val="002C0ED7"/>
    <w:rsid w:val="002C13D7"/>
    <w:rsid w:val="002C13E8"/>
    <w:rsid w:val="002C14B9"/>
    <w:rsid w:val="002C14FD"/>
    <w:rsid w:val="002C162E"/>
    <w:rsid w:val="002C1821"/>
    <w:rsid w:val="002C1A76"/>
    <w:rsid w:val="002C1A80"/>
    <w:rsid w:val="002C1B11"/>
    <w:rsid w:val="002C1CB9"/>
    <w:rsid w:val="002C1D45"/>
    <w:rsid w:val="002C210A"/>
    <w:rsid w:val="002C2156"/>
    <w:rsid w:val="002C2227"/>
    <w:rsid w:val="002C2267"/>
    <w:rsid w:val="002C2448"/>
    <w:rsid w:val="002C25E8"/>
    <w:rsid w:val="002C28D2"/>
    <w:rsid w:val="002C2A34"/>
    <w:rsid w:val="002C2AA5"/>
    <w:rsid w:val="002C2BBA"/>
    <w:rsid w:val="002C2BC8"/>
    <w:rsid w:val="002C2BE2"/>
    <w:rsid w:val="002C2BF3"/>
    <w:rsid w:val="002C2C7E"/>
    <w:rsid w:val="002C2F43"/>
    <w:rsid w:val="002C2F9F"/>
    <w:rsid w:val="002C3105"/>
    <w:rsid w:val="002C3173"/>
    <w:rsid w:val="002C31FC"/>
    <w:rsid w:val="002C35AC"/>
    <w:rsid w:val="002C35CA"/>
    <w:rsid w:val="002C378E"/>
    <w:rsid w:val="002C3914"/>
    <w:rsid w:val="002C3A20"/>
    <w:rsid w:val="002C3A5B"/>
    <w:rsid w:val="002C3B87"/>
    <w:rsid w:val="002C3DE9"/>
    <w:rsid w:val="002C3F4C"/>
    <w:rsid w:val="002C405C"/>
    <w:rsid w:val="002C4582"/>
    <w:rsid w:val="002C4843"/>
    <w:rsid w:val="002C4851"/>
    <w:rsid w:val="002C4A4A"/>
    <w:rsid w:val="002C4BD5"/>
    <w:rsid w:val="002C4E7E"/>
    <w:rsid w:val="002C4F99"/>
    <w:rsid w:val="002C5024"/>
    <w:rsid w:val="002C52CF"/>
    <w:rsid w:val="002C52D2"/>
    <w:rsid w:val="002C5398"/>
    <w:rsid w:val="002C5671"/>
    <w:rsid w:val="002C5722"/>
    <w:rsid w:val="002C574C"/>
    <w:rsid w:val="002C5EE6"/>
    <w:rsid w:val="002C5F4B"/>
    <w:rsid w:val="002C5FBC"/>
    <w:rsid w:val="002C5FDF"/>
    <w:rsid w:val="002C6293"/>
    <w:rsid w:val="002C629D"/>
    <w:rsid w:val="002C63EC"/>
    <w:rsid w:val="002C6479"/>
    <w:rsid w:val="002C65D7"/>
    <w:rsid w:val="002C6E0C"/>
    <w:rsid w:val="002C6FAD"/>
    <w:rsid w:val="002C70DC"/>
    <w:rsid w:val="002C72FE"/>
    <w:rsid w:val="002C7712"/>
    <w:rsid w:val="002C79A4"/>
    <w:rsid w:val="002C7B5C"/>
    <w:rsid w:val="002C7D45"/>
    <w:rsid w:val="002D03CE"/>
    <w:rsid w:val="002D04FB"/>
    <w:rsid w:val="002D0916"/>
    <w:rsid w:val="002D0A8D"/>
    <w:rsid w:val="002D0C3F"/>
    <w:rsid w:val="002D0E2F"/>
    <w:rsid w:val="002D115A"/>
    <w:rsid w:val="002D1191"/>
    <w:rsid w:val="002D154A"/>
    <w:rsid w:val="002D15C6"/>
    <w:rsid w:val="002D1769"/>
    <w:rsid w:val="002D1939"/>
    <w:rsid w:val="002D1E25"/>
    <w:rsid w:val="002D1F13"/>
    <w:rsid w:val="002D1F52"/>
    <w:rsid w:val="002D1F8A"/>
    <w:rsid w:val="002D20DB"/>
    <w:rsid w:val="002D2291"/>
    <w:rsid w:val="002D2340"/>
    <w:rsid w:val="002D2689"/>
    <w:rsid w:val="002D29B8"/>
    <w:rsid w:val="002D2A93"/>
    <w:rsid w:val="002D2EC1"/>
    <w:rsid w:val="002D2F41"/>
    <w:rsid w:val="002D34E2"/>
    <w:rsid w:val="002D384E"/>
    <w:rsid w:val="002D3A65"/>
    <w:rsid w:val="002D3B89"/>
    <w:rsid w:val="002D3E04"/>
    <w:rsid w:val="002D3F12"/>
    <w:rsid w:val="002D4047"/>
    <w:rsid w:val="002D4328"/>
    <w:rsid w:val="002D4596"/>
    <w:rsid w:val="002D4637"/>
    <w:rsid w:val="002D4680"/>
    <w:rsid w:val="002D4690"/>
    <w:rsid w:val="002D4B08"/>
    <w:rsid w:val="002D4B5A"/>
    <w:rsid w:val="002D4F8B"/>
    <w:rsid w:val="002D5057"/>
    <w:rsid w:val="002D55C2"/>
    <w:rsid w:val="002D5602"/>
    <w:rsid w:val="002D576D"/>
    <w:rsid w:val="002D5AF6"/>
    <w:rsid w:val="002D5B1C"/>
    <w:rsid w:val="002D5B41"/>
    <w:rsid w:val="002D5CCA"/>
    <w:rsid w:val="002D613F"/>
    <w:rsid w:val="002D6154"/>
    <w:rsid w:val="002D62C7"/>
    <w:rsid w:val="002D62D9"/>
    <w:rsid w:val="002D6420"/>
    <w:rsid w:val="002D6AA5"/>
    <w:rsid w:val="002D6C22"/>
    <w:rsid w:val="002D6C61"/>
    <w:rsid w:val="002D6D13"/>
    <w:rsid w:val="002D6DC9"/>
    <w:rsid w:val="002D6F8C"/>
    <w:rsid w:val="002D6FAA"/>
    <w:rsid w:val="002D73EC"/>
    <w:rsid w:val="002D75A3"/>
    <w:rsid w:val="002D78BD"/>
    <w:rsid w:val="002D7B5F"/>
    <w:rsid w:val="002D7E2E"/>
    <w:rsid w:val="002D7F7C"/>
    <w:rsid w:val="002E01FB"/>
    <w:rsid w:val="002E0470"/>
    <w:rsid w:val="002E054A"/>
    <w:rsid w:val="002E0908"/>
    <w:rsid w:val="002E0A7B"/>
    <w:rsid w:val="002E0C58"/>
    <w:rsid w:val="002E0D60"/>
    <w:rsid w:val="002E0FCA"/>
    <w:rsid w:val="002E11F5"/>
    <w:rsid w:val="002E1248"/>
    <w:rsid w:val="002E15D0"/>
    <w:rsid w:val="002E1842"/>
    <w:rsid w:val="002E199C"/>
    <w:rsid w:val="002E1C64"/>
    <w:rsid w:val="002E1E52"/>
    <w:rsid w:val="002E1EF0"/>
    <w:rsid w:val="002E2374"/>
    <w:rsid w:val="002E2529"/>
    <w:rsid w:val="002E2578"/>
    <w:rsid w:val="002E27A3"/>
    <w:rsid w:val="002E2A7F"/>
    <w:rsid w:val="002E2B49"/>
    <w:rsid w:val="002E2D2C"/>
    <w:rsid w:val="002E2DEA"/>
    <w:rsid w:val="002E2E83"/>
    <w:rsid w:val="002E31E9"/>
    <w:rsid w:val="002E32EF"/>
    <w:rsid w:val="002E33A9"/>
    <w:rsid w:val="002E34CF"/>
    <w:rsid w:val="002E3511"/>
    <w:rsid w:val="002E3897"/>
    <w:rsid w:val="002E38C4"/>
    <w:rsid w:val="002E3CE1"/>
    <w:rsid w:val="002E3DA8"/>
    <w:rsid w:val="002E3DCB"/>
    <w:rsid w:val="002E40E1"/>
    <w:rsid w:val="002E42B0"/>
    <w:rsid w:val="002E42CD"/>
    <w:rsid w:val="002E46EF"/>
    <w:rsid w:val="002E4719"/>
    <w:rsid w:val="002E4975"/>
    <w:rsid w:val="002E4BCC"/>
    <w:rsid w:val="002E4C80"/>
    <w:rsid w:val="002E4DDD"/>
    <w:rsid w:val="002E51C4"/>
    <w:rsid w:val="002E5272"/>
    <w:rsid w:val="002E55EB"/>
    <w:rsid w:val="002E5630"/>
    <w:rsid w:val="002E578A"/>
    <w:rsid w:val="002E5873"/>
    <w:rsid w:val="002E58F2"/>
    <w:rsid w:val="002E599B"/>
    <w:rsid w:val="002E5AC1"/>
    <w:rsid w:val="002E6190"/>
    <w:rsid w:val="002E685D"/>
    <w:rsid w:val="002E6A37"/>
    <w:rsid w:val="002E6AFA"/>
    <w:rsid w:val="002E6C3D"/>
    <w:rsid w:val="002E6D60"/>
    <w:rsid w:val="002E736A"/>
    <w:rsid w:val="002E741A"/>
    <w:rsid w:val="002E76B3"/>
    <w:rsid w:val="002F0139"/>
    <w:rsid w:val="002F022D"/>
    <w:rsid w:val="002F03CB"/>
    <w:rsid w:val="002F05D2"/>
    <w:rsid w:val="002F0632"/>
    <w:rsid w:val="002F0B65"/>
    <w:rsid w:val="002F0CF5"/>
    <w:rsid w:val="002F0D52"/>
    <w:rsid w:val="002F0D9B"/>
    <w:rsid w:val="002F0EF5"/>
    <w:rsid w:val="002F12C8"/>
    <w:rsid w:val="002F1410"/>
    <w:rsid w:val="002F162A"/>
    <w:rsid w:val="002F184C"/>
    <w:rsid w:val="002F1AF5"/>
    <w:rsid w:val="002F1BD7"/>
    <w:rsid w:val="002F1C20"/>
    <w:rsid w:val="002F1D7C"/>
    <w:rsid w:val="002F1E48"/>
    <w:rsid w:val="002F2074"/>
    <w:rsid w:val="002F20C5"/>
    <w:rsid w:val="002F216D"/>
    <w:rsid w:val="002F2447"/>
    <w:rsid w:val="002F24F3"/>
    <w:rsid w:val="002F27BD"/>
    <w:rsid w:val="002F2890"/>
    <w:rsid w:val="002F28E2"/>
    <w:rsid w:val="002F36CD"/>
    <w:rsid w:val="002F3774"/>
    <w:rsid w:val="002F3ACC"/>
    <w:rsid w:val="002F3B69"/>
    <w:rsid w:val="002F3BC7"/>
    <w:rsid w:val="002F3BDF"/>
    <w:rsid w:val="002F3D30"/>
    <w:rsid w:val="002F3F9D"/>
    <w:rsid w:val="002F483B"/>
    <w:rsid w:val="002F485D"/>
    <w:rsid w:val="002F4D23"/>
    <w:rsid w:val="002F4D9D"/>
    <w:rsid w:val="002F5031"/>
    <w:rsid w:val="002F5200"/>
    <w:rsid w:val="002F529C"/>
    <w:rsid w:val="002F52E3"/>
    <w:rsid w:val="002F5600"/>
    <w:rsid w:val="002F5687"/>
    <w:rsid w:val="002F56C7"/>
    <w:rsid w:val="002F56E3"/>
    <w:rsid w:val="002F598A"/>
    <w:rsid w:val="002F59BF"/>
    <w:rsid w:val="002F5ACF"/>
    <w:rsid w:val="002F5AE8"/>
    <w:rsid w:val="002F5DAB"/>
    <w:rsid w:val="002F5FE5"/>
    <w:rsid w:val="002F6211"/>
    <w:rsid w:val="002F626E"/>
    <w:rsid w:val="002F649C"/>
    <w:rsid w:val="002F687B"/>
    <w:rsid w:val="002F6979"/>
    <w:rsid w:val="002F6DB4"/>
    <w:rsid w:val="002F6FC3"/>
    <w:rsid w:val="002F732E"/>
    <w:rsid w:val="002F73D0"/>
    <w:rsid w:val="002F76CA"/>
    <w:rsid w:val="002F773F"/>
    <w:rsid w:val="002F7954"/>
    <w:rsid w:val="002F79ED"/>
    <w:rsid w:val="002F7BE0"/>
    <w:rsid w:val="002F7C95"/>
    <w:rsid w:val="002F7C9B"/>
    <w:rsid w:val="00300236"/>
    <w:rsid w:val="003003CD"/>
    <w:rsid w:val="0030067B"/>
    <w:rsid w:val="00300992"/>
    <w:rsid w:val="003009E4"/>
    <w:rsid w:val="00300B5F"/>
    <w:rsid w:val="00300B8F"/>
    <w:rsid w:val="00300BE9"/>
    <w:rsid w:val="00300D4C"/>
    <w:rsid w:val="00300D91"/>
    <w:rsid w:val="003012AB"/>
    <w:rsid w:val="00301461"/>
    <w:rsid w:val="00301480"/>
    <w:rsid w:val="003015AA"/>
    <w:rsid w:val="003016CA"/>
    <w:rsid w:val="0030185F"/>
    <w:rsid w:val="00301CDB"/>
    <w:rsid w:val="00301F57"/>
    <w:rsid w:val="00302290"/>
    <w:rsid w:val="00302321"/>
    <w:rsid w:val="003024A4"/>
    <w:rsid w:val="003026D1"/>
    <w:rsid w:val="0030281A"/>
    <w:rsid w:val="00302A1E"/>
    <w:rsid w:val="00302ECE"/>
    <w:rsid w:val="0030306A"/>
    <w:rsid w:val="003032DE"/>
    <w:rsid w:val="0030351B"/>
    <w:rsid w:val="0030354D"/>
    <w:rsid w:val="003036C4"/>
    <w:rsid w:val="0030379F"/>
    <w:rsid w:val="00303B1E"/>
    <w:rsid w:val="00303B8D"/>
    <w:rsid w:val="00304028"/>
    <w:rsid w:val="00304327"/>
    <w:rsid w:val="00304470"/>
    <w:rsid w:val="003044CD"/>
    <w:rsid w:val="0030488A"/>
    <w:rsid w:val="00304A08"/>
    <w:rsid w:val="00304ACD"/>
    <w:rsid w:val="00304BC4"/>
    <w:rsid w:val="00305092"/>
    <w:rsid w:val="0030509F"/>
    <w:rsid w:val="00305179"/>
    <w:rsid w:val="0030534D"/>
    <w:rsid w:val="003055C5"/>
    <w:rsid w:val="00305A80"/>
    <w:rsid w:val="00305BC2"/>
    <w:rsid w:val="00305EC8"/>
    <w:rsid w:val="00305F23"/>
    <w:rsid w:val="00306295"/>
    <w:rsid w:val="00306741"/>
    <w:rsid w:val="00306F68"/>
    <w:rsid w:val="00307331"/>
    <w:rsid w:val="0030737A"/>
    <w:rsid w:val="00307639"/>
    <w:rsid w:val="00307957"/>
    <w:rsid w:val="00307E27"/>
    <w:rsid w:val="00307F36"/>
    <w:rsid w:val="00307FAE"/>
    <w:rsid w:val="00310054"/>
    <w:rsid w:val="00310070"/>
    <w:rsid w:val="0031019E"/>
    <w:rsid w:val="003102A5"/>
    <w:rsid w:val="003104AD"/>
    <w:rsid w:val="003104FA"/>
    <w:rsid w:val="00310532"/>
    <w:rsid w:val="00310652"/>
    <w:rsid w:val="0031071B"/>
    <w:rsid w:val="003108BD"/>
    <w:rsid w:val="00310CCD"/>
    <w:rsid w:val="00311112"/>
    <w:rsid w:val="0031122A"/>
    <w:rsid w:val="00311239"/>
    <w:rsid w:val="003113A8"/>
    <w:rsid w:val="00311407"/>
    <w:rsid w:val="00311D38"/>
    <w:rsid w:val="00312090"/>
    <w:rsid w:val="00312521"/>
    <w:rsid w:val="003125BF"/>
    <w:rsid w:val="003128B3"/>
    <w:rsid w:val="003128C8"/>
    <w:rsid w:val="00312903"/>
    <w:rsid w:val="003129EF"/>
    <w:rsid w:val="00312B2B"/>
    <w:rsid w:val="00312D6D"/>
    <w:rsid w:val="00312F1E"/>
    <w:rsid w:val="00312F8E"/>
    <w:rsid w:val="00312FA9"/>
    <w:rsid w:val="00312FB6"/>
    <w:rsid w:val="00313497"/>
    <w:rsid w:val="00313AF1"/>
    <w:rsid w:val="00313B6A"/>
    <w:rsid w:val="00313C2E"/>
    <w:rsid w:val="00313D84"/>
    <w:rsid w:val="00314384"/>
    <w:rsid w:val="0031448F"/>
    <w:rsid w:val="00314514"/>
    <w:rsid w:val="0031467F"/>
    <w:rsid w:val="00314A7B"/>
    <w:rsid w:val="00314AAD"/>
    <w:rsid w:val="00314BDC"/>
    <w:rsid w:val="00314CCC"/>
    <w:rsid w:val="003150BC"/>
    <w:rsid w:val="00315225"/>
    <w:rsid w:val="0031561F"/>
    <w:rsid w:val="0031596A"/>
    <w:rsid w:val="003159CF"/>
    <w:rsid w:val="00315DD7"/>
    <w:rsid w:val="0031608D"/>
    <w:rsid w:val="003162C5"/>
    <w:rsid w:val="00316303"/>
    <w:rsid w:val="00316553"/>
    <w:rsid w:val="003165CF"/>
    <w:rsid w:val="00316713"/>
    <w:rsid w:val="003168EC"/>
    <w:rsid w:val="00316988"/>
    <w:rsid w:val="00316A3E"/>
    <w:rsid w:val="00316BBB"/>
    <w:rsid w:val="00316E08"/>
    <w:rsid w:val="00316E68"/>
    <w:rsid w:val="00316FE2"/>
    <w:rsid w:val="00317440"/>
    <w:rsid w:val="003175B5"/>
    <w:rsid w:val="003175D9"/>
    <w:rsid w:val="00317601"/>
    <w:rsid w:val="00317771"/>
    <w:rsid w:val="003179E7"/>
    <w:rsid w:val="00320022"/>
    <w:rsid w:val="003200B2"/>
    <w:rsid w:val="00320119"/>
    <w:rsid w:val="003204D4"/>
    <w:rsid w:val="00320533"/>
    <w:rsid w:val="003206C0"/>
    <w:rsid w:val="00320773"/>
    <w:rsid w:val="00320A28"/>
    <w:rsid w:val="00320B8F"/>
    <w:rsid w:val="00320B9C"/>
    <w:rsid w:val="00320C99"/>
    <w:rsid w:val="0032118E"/>
    <w:rsid w:val="00321324"/>
    <w:rsid w:val="00321367"/>
    <w:rsid w:val="0032154A"/>
    <w:rsid w:val="00321669"/>
    <w:rsid w:val="00321939"/>
    <w:rsid w:val="0032199C"/>
    <w:rsid w:val="00321AA7"/>
    <w:rsid w:val="00321C03"/>
    <w:rsid w:val="00321D4C"/>
    <w:rsid w:val="00321F09"/>
    <w:rsid w:val="0032212A"/>
    <w:rsid w:val="00322232"/>
    <w:rsid w:val="0032259D"/>
    <w:rsid w:val="003226C7"/>
    <w:rsid w:val="0032273E"/>
    <w:rsid w:val="00322BFA"/>
    <w:rsid w:val="00322C3E"/>
    <w:rsid w:val="00322EBB"/>
    <w:rsid w:val="00323011"/>
    <w:rsid w:val="003232AE"/>
    <w:rsid w:val="003234D2"/>
    <w:rsid w:val="003237BA"/>
    <w:rsid w:val="00323B39"/>
    <w:rsid w:val="00323C90"/>
    <w:rsid w:val="00323D77"/>
    <w:rsid w:val="00323EC3"/>
    <w:rsid w:val="00324308"/>
    <w:rsid w:val="00324309"/>
    <w:rsid w:val="00324446"/>
    <w:rsid w:val="0032444C"/>
    <w:rsid w:val="003246C2"/>
    <w:rsid w:val="003248AF"/>
    <w:rsid w:val="003248C0"/>
    <w:rsid w:val="003249FF"/>
    <w:rsid w:val="00324A71"/>
    <w:rsid w:val="00324AE0"/>
    <w:rsid w:val="00324B51"/>
    <w:rsid w:val="00324BEF"/>
    <w:rsid w:val="00324C11"/>
    <w:rsid w:val="00324D3F"/>
    <w:rsid w:val="00324D42"/>
    <w:rsid w:val="00324DEC"/>
    <w:rsid w:val="00324FC6"/>
    <w:rsid w:val="0032562C"/>
    <w:rsid w:val="003258A4"/>
    <w:rsid w:val="00325CC5"/>
    <w:rsid w:val="0032608F"/>
    <w:rsid w:val="003260C1"/>
    <w:rsid w:val="00326649"/>
    <w:rsid w:val="00326F7B"/>
    <w:rsid w:val="00327062"/>
    <w:rsid w:val="00327178"/>
    <w:rsid w:val="0032722B"/>
    <w:rsid w:val="003275C7"/>
    <w:rsid w:val="003276D0"/>
    <w:rsid w:val="00327719"/>
    <w:rsid w:val="00327B8F"/>
    <w:rsid w:val="00327B9D"/>
    <w:rsid w:val="003301D2"/>
    <w:rsid w:val="003302A6"/>
    <w:rsid w:val="0033045C"/>
    <w:rsid w:val="00330612"/>
    <w:rsid w:val="00330B04"/>
    <w:rsid w:val="00330D90"/>
    <w:rsid w:val="003314D7"/>
    <w:rsid w:val="00331565"/>
    <w:rsid w:val="00331648"/>
    <w:rsid w:val="00331684"/>
    <w:rsid w:val="00331703"/>
    <w:rsid w:val="00331728"/>
    <w:rsid w:val="0033176B"/>
    <w:rsid w:val="003318C4"/>
    <w:rsid w:val="00331A8B"/>
    <w:rsid w:val="00331C9B"/>
    <w:rsid w:val="003320A3"/>
    <w:rsid w:val="003328F2"/>
    <w:rsid w:val="00332A06"/>
    <w:rsid w:val="00332B06"/>
    <w:rsid w:val="00332B21"/>
    <w:rsid w:val="00332C21"/>
    <w:rsid w:val="0033315B"/>
    <w:rsid w:val="003332AF"/>
    <w:rsid w:val="003334B1"/>
    <w:rsid w:val="0033393B"/>
    <w:rsid w:val="00333A71"/>
    <w:rsid w:val="00333B01"/>
    <w:rsid w:val="00333BDC"/>
    <w:rsid w:val="00333E62"/>
    <w:rsid w:val="00333F15"/>
    <w:rsid w:val="00334011"/>
    <w:rsid w:val="00334238"/>
    <w:rsid w:val="00334239"/>
    <w:rsid w:val="003342B9"/>
    <w:rsid w:val="00334645"/>
    <w:rsid w:val="003348AA"/>
    <w:rsid w:val="00334C9B"/>
    <w:rsid w:val="00334D46"/>
    <w:rsid w:val="00334F49"/>
    <w:rsid w:val="00334F97"/>
    <w:rsid w:val="00335000"/>
    <w:rsid w:val="00335269"/>
    <w:rsid w:val="003352FC"/>
    <w:rsid w:val="0033542B"/>
    <w:rsid w:val="00335634"/>
    <w:rsid w:val="00335C62"/>
    <w:rsid w:val="0033608A"/>
    <w:rsid w:val="0033639D"/>
    <w:rsid w:val="0033651D"/>
    <w:rsid w:val="0033667B"/>
    <w:rsid w:val="003368EB"/>
    <w:rsid w:val="00336A96"/>
    <w:rsid w:val="00336A9A"/>
    <w:rsid w:val="00336BE6"/>
    <w:rsid w:val="00336C63"/>
    <w:rsid w:val="00336D3C"/>
    <w:rsid w:val="00337147"/>
    <w:rsid w:val="00337249"/>
    <w:rsid w:val="00337514"/>
    <w:rsid w:val="003375F9"/>
    <w:rsid w:val="00337A85"/>
    <w:rsid w:val="00337C77"/>
    <w:rsid w:val="00337C8E"/>
    <w:rsid w:val="00337CE7"/>
    <w:rsid w:val="00337EE0"/>
    <w:rsid w:val="00337F3D"/>
    <w:rsid w:val="0034088D"/>
    <w:rsid w:val="00340A7D"/>
    <w:rsid w:val="00340BB4"/>
    <w:rsid w:val="00340D72"/>
    <w:rsid w:val="00340D76"/>
    <w:rsid w:val="00340F94"/>
    <w:rsid w:val="00340FAB"/>
    <w:rsid w:val="00341054"/>
    <w:rsid w:val="0034114D"/>
    <w:rsid w:val="003412E7"/>
    <w:rsid w:val="00341768"/>
    <w:rsid w:val="00341A79"/>
    <w:rsid w:val="00341A85"/>
    <w:rsid w:val="00341C09"/>
    <w:rsid w:val="00341CEA"/>
    <w:rsid w:val="00342509"/>
    <w:rsid w:val="00342813"/>
    <w:rsid w:val="00342823"/>
    <w:rsid w:val="00342889"/>
    <w:rsid w:val="003428B2"/>
    <w:rsid w:val="003428E0"/>
    <w:rsid w:val="00342B0A"/>
    <w:rsid w:val="00342DB7"/>
    <w:rsid w:val="00342E11"/>
    <w:rsid w:val="00342FF8"/>
    <w:rsid w:val="00343090"/>
    <w:rsid w:val="003432A6"/>
    <w:rsid w:val="003432FD"/>
    <w:rsid w:val="00343570"/>
    <w:rsid w:val="003435B1"/>
    <w:rsid w:val="0034374B"/>
    <w:rsid w:val="00343D24"/>
    <w:rsid w:val="00343EFE"/>
    <w:rsid w:val="00344199"/>
    <w:rsid w:val="00344353"/>
    <w:rsid w:val="003444F7"/>
    <w:rsid w:val="00344506"/>
    <w:rsid w:val="003445F8"/>
    <w:rsid w:val="00344700"/>
    <w:rsid w:val="0034495C"/>
    <w:rsid w:val="00344B7C"/>
    <w:rsid w:val="00344E83"/>
    <w:rsid w:val="00344FFD"/>
    <w:rsid w:val="003450AA"/>
    <w:rsid w:val="003453E1"/>
    <w:rsid w:val="00345534"/>
    <w:rsid w:val="0034558F"/>
    <w:rsid w:val="0034565C"/>
    <w:rsid w:val="00345794"/>
    <w:rsid w:val="00345974"/>
    <w:rsid w:val="00345AF7"/>
    <w:rsid w:val="00345B17"/>
    <w:rsid w:val="00345C51"/>
    <w:rsid w:val="00345DA6"/>
    <w:rsid w:val="003461C6"/>
    <w:rsid w:val="00346698"/>
    <w:rsid w:val="00346760"/>
    <w:rsid w:val="003467B2"/>
    <w:rsid w:val="00346AEB"/>
    <w:rsid w:val="00346BB3"/>
    <w:rsid w:val="00346C1A"/>
    <w:rsid w:val="00346C1F"/>
    <w:rsid w:val="00346FBE"/>
    <w:rsid w:val="003470AB"/>
    <w:rsid w:val="003471D6"/>
    <w:rsid w:val="003473F1"/>
    <w:rsid w:val="00347400"/>
    <w:rsid w:val="00347638"/>
    <w:rsid w:val="003476D0"/>
    <w:rsid w:val="0034787B"/>
    <w:rsid w:val="0034799F"/>
    <w:rsid w:val="00347B03"/>
    <w:rsid w:val="00347BDD"/>
    <w:rsid w:val="00347E56"/>
    <w:rsid w:val="00350BD1"/>
    <w:rsid w:val="00350DB2"/>
    <w:rsid w:val="00350E5D"/>
    <w:rsid w:val="00350E98"/>
    <w:rsid w:val="00351003"/>
    <w:rsid w:val="00351251"/>
    <w:rsid w:val="003512A0"/>
    <w:rsid w:val="003517AC"/>
    <w:rsid w:val="00351B3F"/>
    <w:rsid w:val="00351C8A"/>
    <w:rsid w:val="00352005"/>
    <w:rsid w:val="00352007"/>
    <w:rsid w:val="003523F0"/>
    <w:rsid w:val="00352468"/>
    <w:rsid w:val="00352534"/>
    <w:rsid w:val="00352607"/>
    <w:rsid w:val="003527CC"/>
    <w:rsid w:val="00352A92"/>
    <w:rsid w:val="00352DB1"/>
    <w:rsid w:val="00352F50"/>
    <w:rsid w:val="00353700"/>
    <w:rsid w:val="00353C2E"/>
    <w:rsid w:val="00353DA9"/>
    <w:rsid w:val="00353FA4"/>
    <w:rsid w:val="00354207"/>
    <w:rsid w:val="003542F7"/>
    <w:rsid w:val="0035459D"/>
    <w:rsid w:val="0035480B"/>
    <w:rsid w:val="00354A0F"/>
    <w:rsid w:val="00354B8C"/>
    <w:rsid w:val="00354C7A"/>
    <w:rsid w:val="0035509D"/>
    <w:rsid w:val="003553F0"/>
    <w:rsid w:val="003556D4"/>
    <w:rsid w:val="00355714"/>
    <w:rsid w:val="0035597B"/>
    <w:rsid w:val="00355A8D"/>
    <w:rsid w:val="00355D04"/>
    <w:rsid w:val="00355DDE"/>
    <w:rsid w:val="00355E15"/>
    <w:rsid w:val="00356361"/>
    <w:rsid w:val="00356423"/>
    <w:rsid w:val="003564B7"/>
    <w:rsid w:val="003565E0"/>
    <w:rsid w:val="003569D7"/>
    <w:rsid w:val="00356C31"/>
    <w:rsid w:val="00356EC7"/>
    <w:rsid w:val="00356F2A"/>
    <w:rsid w:val="003570FF"/>
    <w:rsid w:val="003572BC"/>
    <w:rsid w:val="0035731A"/>
    <w:rsid w:val="00357628"/>
    <w:rsid w:val="003579F5"/>
    <w:rsid w:val="00357A5C"/>
    <w:rsid w:val="00357AA4"/>
    <w:rsid w:val="00357D83"/>
    <w:rsid w:val="00357E70"/>
    <w:rsid w:val="00357E8E"/>
    <w:rsid w:val="00360277"/>
    <w:rsid w:val="00360596"/>
    <w:rsid w:val="0036068D"/>
    <w:rsid w:val="00360840"/>
    <w:rsid w:val="0036084B"/>
    <w:rsid w:val="00360887"/>
    <w:rsid w:val="003609A6"/>
    <w:rsid w:val="00360A3A"/>
    <w:rsid w:val="00360D66"/>
    <w:rsid w:val="00360FBA"/>
    <w:rsid w:val="003617F6"/>
    <w:rsid w:val="00361D86"/>
    <w:rsid w:val="003620C6"/>
    <w:rsid w:val="003624B4"/>
    <w:rsid w:val="0036283D"/>
    <w:rsid w:val="0036292D"/>
    <w:rsid w:val="00362B34"/>
    <w:rsid w:val="00362CAB"/>
    <w:rsid w:val="00362DFC"/>
    <w:rsid w:val="00362F5A"/>
    <w:rsid w:val="00362FC5"/>
    <w:rsid w:val="00363362"/>
    <w:rsid w:val="00363375"/>
    <w:rsid w:val="00363796"/>
    <w:rsid w:val="00363826"/>
    <w:rsid w:val="00363B90"/>
    <w:rsid w:val="00363CC0"/>
    <w:rsid w:val="00363CD6"/>
    <w:rsid w:val="00363DF5"/>
    <w:rsid w:val="00363E78"/>
    <w:rsid w:val="003646A7"/>
    <w:rsid w:val="00364A57"/>
    <w:rsid w:val="00364F23"/>
    <w:rsid w:val="00365221"/>
    <w:rsid w:val="00365352"/>
    <w:rsid w:val="003653D1"/>
    <w:rsid w:val="0036553E"/>
    <w:rsid w:val="00365939"/>
    <w:rsid w:val="00365B83"/>
    <w:rsid w:val="00365C7F"/>
    <w:rsid w:val="00365D1F"/>
    <w:rsid w:val="00365F67"/>
    <w:rsid w:val="0036652B"/>
    <w:rsid w:val="003665AA"/>
    <w:rsid w:val="00366911"/>
    <w:rsid w:val="00366A66"/>
    <w:rsid w:val="00366AFC"/>
    <w:rsid w:val="00366B06"/>
    <w:rsid w:val="00366C85"/>
    <w:rsid w:val="0036715C"/>
    <w:rsid w:val="003671D2"/>
    <w:rsid w:val="0036725A"/>
    <w:rsid w:val="003672BD"/>
    <w:rsid w:val="0036760D"/>
    <w:rsid w:val="00367726"/>
    <w:rsid w:val="003679AC"/>
    <w:rsid w:val="00367A5B"/>
    <w:rsid w:val="00367AC0"/>
    <w:rsid w:val="00367B2A"/>
    <w:rsid w:val="003701D4"/>
    <w:rsid w:val="003702FC"/>
    <w:rsid w:val="003707B7"/>
    <w:rsid w:val="00370814"/>
    <w:rsid w:val="0037086D"/>
    <w:rsid w:val="00370B42"/>
    <w:rsid w:val="00370F07"/>
    <w:rsid w:val="00370F3D"/>
    <w:rsid w:val="00371000"/>
    <w:rsid w:val="003713B0"/>
    <w:rsid w:val="003713E1"/>
    <w:rsid w:val="003718A3"/>
    <w:rsid w:val="00371C09"/>
    <w:rsid w:val="00371D08"/>
    <w:rsid w:val="00371D4F"/>
    <w:rsid w:val="00371D83"/>
    <w:rsid w:val="00371F76"/>
    <w:rsid w:val="00371F9C"/>
    <w:rsid w:val="003724C2"/>
    <w:rsid w:val="00372793"/>
    <w:rsid w:val="0037298F"/>
    <w:rsid w:val="003729EA"/>
    <w:rsid w:val="00372ADE"/>
    <w:rsid w:val="00372B8E"/>
    <w:rsid w:val="00372FEB"/>
    <w:rsid w:val="00373087"/>
    <w:rsid w:val="003732B1"/>
    <w:rsid w:val="0037330D"/>
    <w:rsid w:val="00373335"/>
    <w:rsid w:val="00373980"/>
    <w:rsid w:val="00373AC3"/>
    <w:rsid w:val="00373CAC"/>
    <w:rsid w:val="00373CE2"/>
    <w:rsid w:val="00373EDB"/>
    <w:rsid w:val="00374336"/>
    <w:rsid w:val="00374710"/>
    <w:rsid w:val="00374808"/>
    <w:rsid w:val="00374941"/>
    <w:rsid w:val="00374949"/>
    <w:rsid w:val="0037495E"/>
    <w:rsid w:val="00374AD0"/>
    <w:rsid w:val="00374C41"/>
    <w:rsid w:val="00374E1B"/>
    <w:rsid w:val="00374F91"/>
    <w:rsid w:val="00375088"/>
    <w:rsid w:val="003752D7"/>
    <w:rsid w:val="003753A8"/>
    <w:rsid w:val="003755D3"/>
    <w:rsid w:val="003756EE"/>
    <w:rsid w:val="00375E7C"/>
    <w:rsid w:val="00375E80"/>
    <w:rsid w:val="00375F29"/>
    <w:rsid w:val="00376431"/>
    <w:rsid w:val="00376642"/>
    <w:rsid w:val="00376B31"/>
    <w:rsid w:val="00376B9E"/>
    <w:rsid w:val="00376D03"/>
    <w:rsid w:val="00376D07"/>
    <w:rsid w:val="00376DC7"/>
    <w:rsid w:val="00376FEC"/>
    <w:rsid w:val="00377293"/>
    <w:rsid w:val="0037732D"/>
    <w:rsid w:val="003774F1"/>
    <w:rsid w:val="00377D93"/>
    <w:rsid w:val="00377DE3"/>
    <w:rsid w:val="00377F65"/>
    <w:rsid w:val="00380173"/>
    <w:rsid w:val="003804F9"/>
    <w:rsid w:val="0038079A"/>
    <w:rsid w:val="0038084E"/>
    <w:rsid w:val="00380B23"/>
    <w:rsid w:val="00380B50"/>
    <w:rsid w:val="00380C76"/>
    <w:rsid w:val="00380D02"/>
    <w:rsid w:val="003810D2"/>
    <w:rsid w:val="0038117E"/>
    <w:rsid w:val="0038121B"/>
    <w:rsid w:val="0038154D"/>
    <w:rsid w:val="003815EB"/>
    <w:rsid w:val="0038195E"/>
    <w:rsid w:val="00381A7E"/>
    <w:rsid w:val="00381C99"/>
    <w:rsid w:val="00381CAA"/>
    <w:rsid w:val="00381F4C"/>
    <w:rsid w:val="00382005"/>
    <w:rsid w:val="003824DC"/>
    <w:rsid w:val="003826ED"/>
    <w:rsid w:val="003827A0"/>
    <w:rsid w:val="00382A87"/>
    <w:rsid w:val="00382F14"/>
    <w:rsid w:val="0038301B"/>
    <w:rsid w:val="0038316A"/>
    <w:rsid w:val="00383497"/>
    <w:rsid w:val="0038357F"/>
    <w:rsid w:val="003835F7"/>
    <w:rsid w:val="00383602"/>
    <w:rsid w:val="00383903"/>
    <w:rsid w:val="00383A09"/>
    <w:rsid w:val="00383B58"/>
    <w:rsid w:val="00383C3B"/>
    <w:rsid w:val="00383D36"/>
    <w:rsid w:val="00383E12"/>
    <w:rsid w:val="00383EBC"/>
    <w:rsid w:val="00383EC0"/>
    <w:rsid w:val="003846F8"/>
    <w:rsid w:val="003848B6"/>
    <w:rsid w:val="00384B93"/>
    <w:rsid w:val="00384CCC"/>
    <w:rsid w:val="00384EF6"/>
    <w:rsid w:val="00384FC8"/>
    <w:rsid w:val="003850E7"/>
    <w:rsid w:val="0038545D"/>
    <w:rsid w:val="00385477"/>
    <w:rsid w:val="0038548A"/>
    <w:rsid w:val="00385795"/>
    <w:rsid w:val="00385ACB"/>
    <w:rsid w:val="00385CA9"/>
    <w:rsid w:val="00385D0F"/>
    <w:rsid w:val="00385EC4"/>
    <w:rsid w:val="003862D4"/>
    <w:rsid w:val="00386683"/>
    <w:rsid w:val="003867FB"/>
    <w:rsid w:val="00386831"/>
    <w:rsid w:val="00386854"/>
    <w:rsid w:val="003868DB"/>
    <w:rsid w:val="00386920"/>
    <w:rsid w:val="00386C7A"/>
    <w:rsid w:val="00386CBC"/>
    <w:rsid w:val="00386D50"/>
    <w:rsid w:val="00386EAA"/>
    <w:rsid w:val="00386F66"/>
    <w:rsid w:val="00387041"/>
    <w:rsid w:val="0038723E"/>
    <w:rsid w:val="00387445"/>
    <w:rsid w:val="00387A97"/>
    <w:rsid w:val="00387ABE"/>
    <w:rsid w:val="00387B8F"/>
    <w:rsid w:val="00387C20"/>
    <w:rsid w:val="00387F9E"/>
    <w:rsid w:val="00390047"/>
    <w:rsid w:val="003901FE"/>
    <w:rsid w:val="003902CF"/>
    <w:rsid w:val="00390793"/>
    <w:rsid w:val="003907D0"/>
    <w:rsid w:val="00390800"/>
    <w:rsid w:val="0039082F"/>
    <w:rsid w:val="003909A2"/>
    <w:rsid w:val="00390C77"/>
    <w:rsid w:val="00390DC3"/>
    <w:rsid w:val="00390DCF"/>
    <w:rsid w:val="00390F61"/>
    <w:rsid w:val="00391010"/>
    <w:rsid w:val="00391293"/>
    <w:rsid w:val="00391353"/>
    <w:rsid w:val="0039138A"/>
    <w:rsid w:val="003914D1"/>
    <w:rsid w:val="003918F7"/>
    <w:rsid w:val="0039190C"/>
    <w:rsid w:val="00391B39"/>
    <w:rsid w:val="00391B55"/>
    <w:rsid w:val="00391B93"/>
    <w:rsid w:val="00391DF5"/>
    <w:rsid w:val="00391F24"/>
    <w:rsid w:val="0039216C"/>
    <w:rsid w:val="003923DB"/>
    <w:rsid w:val="0039251A"/>
    <w:rsid w:val="0039289E"/>
    <w:rsid w:val="003928B8"/>
    <w:rsid w:val="00392B21"/>
    <w:rsid w:val="00392BF0"/>
    <w:rsid w:val="00392ED7"/>
    <w:rsid w:val="00393110"/>
    <w:rsid w:val="0039316C"/>
    <w:rsid w:val="00393192"/>
    <w:rsid w:val="003933E2"/>
    <w:rsid w:val="003934AB"/>
    <w:rsid w:val="003935E4"/>
    <w:rsid w:val="003937BB"/>
    <w:rsid w:val="00393922"/>
    <w:rsid w:val="00393A35"/>
    <w:rsid w:val="00393D38"/>
    <w:rsid w:val="0039404E"/>
    <w:rsid w:val="003940BE"/>
    <w:rsid w:val="0039444C"/>
    <w:rsid w:val="00394527"/>
    <w:rsid w:val="003945B6"/>
    <w:rsid w:val="003948AF"/>
    <w:rsid w:val="003949CC"/>
    <w:rsid w:val="00394B23"/>
    <w:rsid w:val="00394BC3"/>
    <w:rsid w:val="00394E5B"/>
    <w:rsid w:val="00395477"/>
    <w:rsid w:val="003955D4"/>
    <w:rsid w:val="00395671"/>
    <w:rsid w:val="00395862"/>
    <w:rsid w:val="0039589B"/>
    <w:rsid w:val="003958EE"/>
    <w:rsid w:val="00395962"/>
    <w:rsid w:val="00395A9F"/>
    <w:rsid w:val="00395D81"/>
    <w:rsid w:val="00395D88"/>
    <w:rsid w:val="00395DF0"/>
    <w:rsid w:val="0039611C"/>
    <w:rsid w:val="00396864"/>
    <w:rsid w:val="003968B5"/>
    <w:rsid w:val="003969BC"/>
    <w:rsid w:val="00396A2E"/>
    <w:rsid w:val="00396FBB"/>
    <w:rsid w:val="0039706E"/>
    <w:rsid w:val="00397117"/>
    <w:rsid w:val="0039727E"/>
    <w:rsid w:val="0039751A"/>
    <w:rsid w:val="003975AB"/>
    <w:rsid w:val="00397E41"/>
    <w:rsid w:val="00397ED2"/>
    <w:rsid w:val="00397FC9"/>
    <w:rsid w:val="003A004B"/>
    <w:rsid w:val="003A0093"/>
    <w:rsid w:val="003A03BB"/>
    <w:rsid w:val="003A0A3F"/>
    <w:rsid w:val="003A0A54"/>
    <w:rsid w:val="003A0D6D"/>
    <w:rsid w:val="003A12E7"/>
    <w:rsid w:val="003A17D7"/>
    <w:rsid w:val="003A17DE"/>
    <w:rsid w:val="003A1848"/>
    <w:rsid w:val="003A193F"/>
    <w:rsid w:val="003A24A6"/>
    <w:rsid w:val="003A28B6"/>
    <w:rsid w:val="003A2B6B"/>
    <w:rsid w:val="003A2C87"/>
    <w:rsid w:val="003A2EFF"/>
    <w:rsid w:val="003A31BA"/>
    <w:rsid w:val="003A3403"/>
    <w:rsid w:val="003A34F3"/>
    <w:rsid w:val="003A35AA"/>
    <w:rsid w:val="003A35C8"/>
    <w:rsid w:val="003A3AA5"/>
    <w:rsid w:val="003A4375"/>
    <w:rsid w:val="003A4504"/>
    <w:rsid w:val="003A474F"/>
    <w:rsid w:val="003A478D"/>
    <w:rsid w:val="003A4A32"/>
    <w:rsid w:val="003A4B6D"/>
    <w:rsid w:val="003A4BF1"/>
    <w:rsid w:val="003A4CA7"/>
    <w:rsid w:val="003A4D83"/>
    <w:rsid w:val="003A4DD7"/>
    <w:rsid w:val="003A4F99"/>
    <w:rsid w:val="003A505A"/>
    <w:rsid w:val="003A5110"/>
    <w:rsid w:val="003A522E"/>
    <w:rsid w:val="003A555E"/>
    <w:rsid w:val="003A56E7"/>
    <w:rsid w:val="003A5E09"/>
    <w:rsid w:val="003A6892"/>
    <w:rsid w:val="003A697F"/>
    <w:rsid w:val="003A6A18"/>
    <w:rsid w:val="003A72ED"/>
    <w:rsid w:val="003A74BD"/>
    <w:rsid w:val="003A7930"/>
    <w:rsid w:val="003A7A0A"/>
    <w:rsid w:val="003A7BCD"/>
    <w:rsid w:val="003A7CFE"/>
    <w:rsid w:val="003A7DAD"/>
    <w:rsid w:val="003A7E04"/>
    <w:rsid w:val="003B00F0"/>
    <w:rsid w:val="003B01E5"/>
    <w:rsid w:val="003B022D"/>
    <w:rsid w:val="003B049B"/>
    <w:rsid w:val="003B05A3"/>
    <w:rsid w:val="003B0744"/>
    <w:rsid w:val="003B074B"/>
    <w:rsid w:val="003B07ED"/>
    <w:rsid w:val="003B08B0"/>
    <w:rsid w:val="003B106B"/>
    <w:rsid w:val="003B1112"/>
    <w:rsid w:val="003B12F0"/>
    <w:rsid w:val="003B13EF"/>
    <w:rsid w:val="003B1751"/>
    <w:rsid w:val="003B1785"/>
    <w:rsid w:val="003B1C91"/>
    <w:rsid w:val="003B1D63"/>
    <w:rsid w:val="003B1E27"/>
    <w:rsid w:val="003B1F43"/>
    <w:rsid w:val="003B2195"/>
    <w:rsid w:val="003B244C"/>
    <w:rsid w:val="003B2578"/>
    <w:rsid w:val="003B25C1"/>
    <w:rsid w:val="003B27F4"/>
    <w:rsid w:val="003B2805"/>
    <w:rsid w:val="003B2EC8"/>
    <w:rsid w:val="003B311C"/>
    <w:rsid w:val="003B34B2"/>
    <w:rsid w:val="003B34B4"/>
    <w:rsid w:val="003B36BA"/>
    <w:rsid w:val="003B3737"/>
    <w:rsid w:val="003B3C0B"/>
    <w:rsid w:val="003B3D24"/>
    <w:rsid w:val="003B3DA7"/>
    <w:rsid w:val="003B3F57"/>
    <w:rsid w:val="003B3F89"/>
    <w:rsid w:val="003B415F"/>
    <w:rsid w:val="003B484C"/>
    <w:rsid w:val="003B4CD6"/>
    <w:rsid w:val="003B5271"/>
    <w:rsid w:val="003B52AC"/>
    <w:rsid w:val="003B5958"/>
    <w:rsid w:val="003B5EF6"/>
    <w:rsid w:val="003B656F"/>
    <w:rsid w:val="003B65A5"/>
    <w:rsid w:val="003B69E7"/>
    <w:rsid w:val="003B7142"/>
    <w:rsid w:val="003B71CD"/>
    <w:rsid w:val="003B729C"/>
    <w:rsid w:val="003B746C"/>
    <w:rsid w:val="003B76A3"/>
    <w:rsid w:val="003B77BF"/>
    <w:rsid w:val="003B7B6B"/>
    <w:rsid w:val="003B7DCE"/>
    <w:rsid w:val="003B7E76"/>
    <w:rsid w:val="003B7EDD"/>
    <w:rsid w:val="003B7F72"/>
    <w:rsid w:val="003C0313"/>
    <w:rsid w:val="003C059D"/>
    <w:rsid w:val="003C0608"/>
    <w:rsid w:val="003C061C"/>
    <w:rsid w:val="003C0B89"/>
    <w:rsid w:val="003C0BD6"/>
    <w:rsid w:val="003C0F69"/>
    <w:rsid w:val="003C0FAB"/>
    <w:rsid w:val="003C10A5"/>
    <w:rsid w:val="003C116F"/>
    <w:rsid w:val="003C118B"/>
    <w:rsid w:val="003C11FA"/>
    <w:rsid w:val="003C132A"/>
    <w:rsid w:val="003C143C"/>
    <w:rsid w:val="003C158A"/>
    <w:rsid w:val="003C1819"/>
    <w:rsid w:val="003C198A"/>
    <w:rsid w:val="003C2275"/>
    <w:rsid w:val="003C23CA"/>
    <w:rsid w:val="003C26C5"/>
    <w:rsid w:val="003C27E5"/>
    <w:rsid w:val="003C29D8"/>
    <w:rsid w:val="003C2B6E"/>
    <w:rsid w:val="003C2D6B"/>
    <w:rsid w:val="003C33A6"/>
    <w:rsid w:val="003C36A6"/>
    <w:rsid w:val="003C39EC"/>
    <w:rsid w:val="003C3AFD"/>
    <w:rsid w:val="003C3E11"/>
    <w:rsid w:val="003C3EC4"/>
    <w:rsid w:val="003C4326"/>
    <w:rsid w:val="003C43B5"/>
    <w:rsid w:val="003C45D0"/>
    <w:rsid w:val="003C45EE"/>
    <w:rsid w:val="003C4625"/>
    <w:rsid w:val="003C47BE"/>
    <w:rsid w:val="003C490B"/>
    <w:rsid w:val="003C4BC3"/>
    <w:rsid w:val="003C4DA7"/>
    <w:rsid w:val="003C5083"/>
    <w:rsid w:val="003C5617"/>
    <w:rsid w:val="003C60C8"/>
    <w:rsid w:val="003C64E2"/>
    <w:rsid w:val="003C6907"/>
    <w:rsid w:val="003C69A3"/>
    <w:rsid w:val="003C6A08"/>
    <w:rsid w:val="003C6B0F"/>
    <w:rsid w:val="003C703A"/>
    <w:rsid w:val="003C738A"/>
    <w:rsid w:val="003C739B"/>
    <w:rsid w:val="003C73BD"/>
    <w:rsid w:val="003C7573"/>
    <w:rsid w:val="003C75D0"/>
    <w:rsid w:val="003C75E3"/>
    <w:rsid w:val="003C7981"/>
    <w:rsid w:val="003C7AB9"/>
    <w:rsid w:val="003C7C85"/>
    <w:rsid w:val="003C7D10"/>
    <w:rsid w:val="003C7FD1"/>
    <w:rsid w:val="003D0510"/>
    <w:rsid w:val="003D0C5E"/>
    <w:rsid w:val="003D0C6B"/>
    <w:rsid w:val="003D0F42"/>
    <w:rsid w:val="003D109F"/>
    <w:rsid w:val="003D1113"/>
    <w:rsid w:val="003D12F2"/>
    <w:rsid w:val="003D14AB"/>
    <w:rsid w:val="003D153F"/>
    <w:rsid w:val="003D15E9"/>
    <w:rsid w:val="003D1723"/>
    <w:rsid w:val="003D1874"/>
    <w:rsid w:val="003D1896"/>
    <w:rsid w:val="003D1A53"/>
    <w:rsid w:val="003D1C49"/>
    <w:rsid w:val="003D1E88"/>
    <w:rsid w:val="003D1ED3"/>
    <w:rsid w:val="003D1FCC"/>
    <w:rsid w:val="003D1FFF"/>
    <w:rsid w:val="003D235D"/>
    <w:rsid w:val="003D2509"/>
    <w:rsid w:val="003D26D4"/>
    <w:rsid w:val="003D2718"/>
    <w:rsid w:val="003D3068"/>
    <w:rsid w:val="003D3789"/>
    <w:rsid w:val="003D38AC"/>
    <w:rsid w:val="003D399A"/>
    <w:rsid w:val="003D3AED"/>
    <w:rsid w:val="003D3F17"/>
    <w:rsid w:val="003D3F51"/>
    <w:rsid w:val="003D40EA"/>
    <w:rsid w:val="003D4365"/>
    <w:rsid w:val="003D4981"/>
    <w:rsid w:val="003D4998"/>
    <w:rsid w:val="003D4A58"/>
    <w:rsid w:val="003D4C18"/>
    <w:rsid w:val="003D4C48"/>
    <w:rsid w:val="003D4FCE"/>
    <w:rsid w:val="003D509F"/>
    <w:rsid w:val="003D539E"/>
    <w:rsid w:val="003D54D6"/>
    <w:rsid w:val="003D5631"/>
    <w:rsid w:val="003D580D"/>
    <w:rsid w:val="003D5C27"/>
    <w:rsid w:val="003D5C58"/>
    <w:rsid w:val="003D5CF6"/>
    <w:rsid w:val="003D5F5C"/>
    <w:rsid w:val="003D611C"/>
    <w:rsid w:val="003D61C8"/>
    <w:rsid w:val="003D62EC"/>
    <w:rsid w:val="003D6393"/>
    <w:rsid w:val="003D643B"/>
    <w:rsid w:val="003D6491"/>
    <w:rsid w:val="003D658D"/>
    <w:rsid w:val="003D67B0"/>
    <w:rsid w:val="003D68C8"/>
    <w:rsid w:val="003D6F2B"/>
    <w:rsid w:val="003D6FC6"/>
    <w:rsid w:val="003D72CC"/>
    <w:rsid w:val="003D7418"/>
    <w:rsid w:val="003D777B"/>
    <w:rsid w:val="003D7AF1"/>
    <w:rsid w:val="003D7CA0"/>
    <w:rsid w:val="003D7D8A"/>
    <w:rsid w:val="003E024D"/>
    <w:rsid w:val="003E0293"/>
    <w:rsid w:val="003E02CD"/>
    <w:rsid w:val="003E03C7"/>
    <w:rsid w:val="003E05E5"/>
    <w:rsid w:val="003E0639"/>
    <w:rsid w:val="003E0B23"/>
    <w:rsid w:val="003E0BFF"/>
    <w:rsid w:val="003E0C5F"/>
    <w:rsid w:val="003E0C87"/>
    <w:rsid w:val="003E0CC0"/>
    <w:rsid w:val="003E100D"/>
    <w:rsid w:val="003E1295"/>
    <w:rsid w:val="003E129E"/>
    <w:rsid w:val="003E155D"/>
    <w:rsid w:val="003E1589"/>
    <w:rsid w:val="003E1752"/>
    <w:rsid w:val="003E1789"/>
    <w:rsid w:val="003E18A6"/>
    <w:rsid w:val="003E190E"/>
    <w:rsid w:val="003E1B27"/>
    <w:rsid w:val="003E1B63"/>
    <w:rsid w:val="003E1CAA"/>
    <w:rsid w:val="003E1DE4"/>
    <w:rsid w:val="003E2146"/>
    <w:rsid w:val="003E21EC"/>
    <w:rsid w:val="003E2289"/>
    <w:rsid w:val="003E2577"/>
    <w:rsid w:val="003E2604"/>
    <w:rsid w:val="003E26D4"/>
    <w:rsid w:val="003E2782"/>
    <w:rsid w:val="003E284F"/>
    <w:rsid w:val="003E2A9A"/>
    <w:rsid w:val="003E2BFB"/>
    <w:rsid w:val="003E2D48"/>
    <w:rsid w:val="003E2EBA"/>
    <w:rsid w:val="003E31B7"/>
    <w:rsid w:val="003E3202"/>
    <w:rsid w:val="003E320A"/>
    <w:rsid w:val="003E3260"/>
    <w:rsid w:val="003E36B2"/>
    <w:rsid w:val="003E3B0F"/>
    <w:rsid w:val="003E3DF4"/>
    <w:rsid w:val="003E3E97"/>
    <w:rsid w:val="003E4388"/>
    <w:rsid w:val="003E47EC"/>
    <w:rsid w:val="003E4CE3"/>
    <w:rsid w:val="003E5706"/>
    <w:rsid w:val="003E5A8B"/>
    <w:rsid w:val="003E5C79"/>
    <w:rsid w:val="003E60B8"/>
    <w:rsid w:val="003E6793"/>
    <w:rsid w:val="003E67CE"/>
    <w:rsid w:val="003E695B"/>
    <w:rsid w:val="003E6BB4"/>
    <w:rsid w:val="003E6D8D"/>
    <w:rsid w:val="003E6F87"/>
    <w:rsid w:val="003E7146"/>
    <w:rsid w:val="003E73B0"/>
    <w:rsid w:val="003E7477"/>
    <w:rsid w:val="003E76F1"/>
    <w:rsid w:val="003E7B4C"/>
    <w:rsid w:val="003E7BF6"/>
    <w:rsid w:val="003E7D8B"/>
    <w:rsid w:val="003E7E89"/>
    <w:rsid w:val="003E7EE2"/>
    <w:rsid w:val="003F0112"/>
    <w:rsid w:val="003F0130"/>
    <w:rsid w:val="003F0686"/>
    <w:rsid w:val="003F06DB"/>
    <w:rsid w:val="003F0928"/>
    <w:rsid w:val="003F09F9"/>
    <w:rsid w:val="003F0DB0"/>
    <w:rsid w:val="003F0E26"/>
    <w:rsid w:val="003F0E6B"/>
    <w:rsid w:val="003F0E9B"/>
    <w:rsid w:val="003F0FC9"/>
    <w:rsid w:val="003F11C2"/>
    <w:rsid w:val="003F1350"/>
    <w:rsid w:val="003F15DB"/>
    <w:rsid w:val="003F1648"/>
    <w:rsid w:val="003F179C"/>
    <w:rsid w:val="003F18FC"/>
    <w:rsid w:val="003F1AB8"/>
    <w:rsid w:val="003F1BAC"/>
    <w:rsid w:val="003F1C75"/>
    <w:rsid w:val="003F1ED9"/>
    <w:rsid w:val="003F1F2F"/>
    <w:rsid w:val="003F1F67"/>
    <w:rsid w:val="003F2139"/>
    <w:rsid w:val="003F2249"/>
    <w:rsid w:val="003F24C8"/>
    <w:rsid w:val="003F2522"/>
    <w:rsid w:val="003F270D"/>
    <w:rsid w:val="003F2732"/>
    <w:rsid w:val="003F27B4"/>
    <w:rsid w:val="003F27E6"/>
    <w:rsid w:val="003F2901"/>
    <w:rsid w:val="003F2907"/>
    <w:rsid w:val="003F2B7E"/>
    <w:rsid w:val="003F2F44"/>
    <w:rsid w:val="003F2FA2"/>
    <w:rsid w:val="003F313E"/>
    <w:rsid w:val="003F31BD"/>
    <w:rsid w:val="003F38F8"/>
    <w:rsid w:val="003F3A53"/>
    <w:rsid w:val="003F3BAF"/>
    <w:rsid w:val="003F3D3E"/>
    <w:rsid w:val="003F3DDA"/>
    <w:rsid w:val="003F4078"/>
    <w:rsid w:val="003F426F"/>
    <w:rsid w:val="003F4402"/>
    <w:rsid w:val="003F444E"/>
    <w:rsid w:val="003F4460"/>
    <w:rsid w:val="003F4562"/>
    <w:rsid w:val="003F46BB"/>
    <w:rsid w:val="003F4A3B"/>
    <w:rsid w:val="003F4B6A"/>
    <w:rsid w:val="003F4EDA"/>
    <w:rsid w:val="003F4F57"/>
    <w:rsid w:val="003F50D3"/>
    <w:rsid w:val="003F534E"/>
    <w:rsid w:val="003F59BC"/>
    <w:rsid w:val="003F59D7"/>
    <w:rsid w:val="003F5B30"/>
    <w:rsid w:val="003F6059"/>
    <w:rsid w:val="003F6100"/>
    <w:rsid w:val="003F6368"/>
    <w:rsid w:val="003F64A6"/>
    <w:rsid w:val="003F6776"/>
    <w:rsid w:val="003F6BB0"/>
    <w:rsid w:val="003F715B"/>
    <w:rsid w:val="003F730C"/>
    <w:rsid w:val="003F74EA"/>
    <w:rsid w:val="003F7698"/>
    <w:rsid w:val="003F7840"/>
    <w:rsid w:val="003F7993"/>
    <w:rsid w:val="003F7A98"/>
    <w:rsid w:val="003F7AAC"/>
    <w:rsid w:val="003F7F78"/>
    <w:rsid w:val="0040015D"/>
    <w:rsid w:val="00400487"/>
    <w:rsid w:val="004004B2"/>
    <w:rsid w:val="00400738"/>
    <w:rsid w:val="00400D57"/>
    <w:rsid w:val="00400FAC"/>
    <w:rsid w:val="00401216"/>
    <w:rsid w:val="00401279"/>
    <w:rsid w:val="004012D1"/>
    <w:rsid w:val="004015F7"/>
    <w:rsid w:val="00401890"/>
    <w:rsid w:val="004019A4"/>
    <w:rsid w:val="00401B2E"/>
    <w:rsid w:val="00401C29"/>
    <w:rsid w:val="00401FCD"/>
    <w:rsid w:val="0040237E"/>
    <w:rsid w:val="0040263A"/>
    <w:rsid w:val="004026CC"/>
    <w:rsid w:val="00402894"/>
    <w:rsid w:val="00402C2F"/>
    <w:rsid w:val="00402C34"/>
    <w:rsid w:val="00402D9E"/>
    <w:rsid w:val="00402E3C"/>
    <w:rsid w:val="00403110"/>
    <w:rsid w:val="0040333E"/>
    <w:rsid w:val="00403471"/>
    <w:rsid w:val="0040353F"/>
    <w:rsid w:val="00403542"/>
    <w:rsid w:val="00403680"/>
    <w:rsid w:val="004038F6"/>
    <w:rsid w:val="00403A24"/>
    <w:rsid w:val="00403E0A"/>
    <w:rsid w:val="00403E6E"/>
    <w:rsid w:val="00403F9C"/>
    <w:rsid w:val="00404035"/>
    <w:rsid w:val="00404128"/>
    <w:rsid w:val="004041D1"/>
    <w:rsid w:val="004041EE"/>
    <w:rsid w:val="00404341"/>
    <w:rsid w:val="004043B5"/>
    <w:rsid w:val="00404459"/>
    <w:rsid w:val="004045C9"/>
    <w:rsid w:val="004047DA"/>
    <w:rsid w:val="004048A2"/>
    <w:rsid w:val="00404E21"/>
    <w:rsid w:val="00405107"/>
    <w:rsid w:val="00405134"/>
    <w:rsid w:val="00405136"/>
    <w:rsid w:val="004051EB"/>
    <w:rsid w:val="0040521B"/>
    <w:rsid w:val="0040540F"/>
    <w:rsid w:val="004055D0"/>
    <w:rsid w:val="00405601"/>
    <w:rsid w:val="004056B5"/>
    <w:rsid w:val="00405ABB"/>
    <w:rsid w:val="00405AE5"/>
    <w:rsid w:val="00405B26"/>
    <w:rsid w:val="00405B5A"/>
    <w:rsid w:val="00405DEB"/>
    <w:rsid w:val="00405F11"/>
    <w:rsid w:val="00405F41"/>
    <w:rsid w:val="00405FB0"/>
    <w:rsid w:val="00406344"/>
    <w:rsid w:val="00406452"/>
    <w:rsid w:val="0040659D"/>
    <w:rsid w:val="004066D6"/>
    <w:rsid w:val="004067EE"/>
    <w:rsid w:val="0040682C"/>
    <w:rsid w:val="00406C50"/>
    <w:rsid w:val="00406C66"/>
    <w:rsid w:val="00406C9C"/>
    <w:rsid w:val="00406D5B"/>
    <w:rsid w:val="00406DAD"/>
    <w:rsid w:val="00406EFD"/>
    <w:rsid w:val="00407087"/>
    <w:rsid w:val="00407341"/>
    <w:rsid w:val="00407516"/>
    <w:rsid w:val="0040754A"/>
    <w:rsid w:val="00407619"/>
    <w:rsid w:val="004079C1"/>
    <w:rsid w:val="00407C01"/>
    <w:rsid w:val="00407C49"/>
    <w:rsid w:val="00407F0F"/>
    <w:rsid w:val="004102A2"/>
    <w:rsid w:val="00410318"/>
    <w:rsid w:val="004103F3"/>
    <w:rsid w:val="00410425"/>
    <w:rsid w:val="00410591"/>
    <w:rsid w:val="00410935"/>
    <w:rsid w:val="00410BEC"/>
    <w:rsid w:val="00410D8F"/>
    <w:rsid w:val="00411180"/>
    <w:rsid w:val="0041164D"/>
    <w:rsid w:val="00411660"/>
    <w:rsid w:val="0041188F"/>
    <w:rsid w:val="004119CE"/>
    <w:rsid w:val="00411B78"/>
    <w:rsid w:val="00412103"/>
    <w:rsid w:val="004121DE"/>
    <w:rsid w:val="0041220E"/>
    <w:rsid w:val="0041231B"/>
    <w:rsid w:val="0041238B"/>
    <w:rsid w:val="0041270E"/>
    <w:rsid w:val="004129C7"/>
    <w:rsid w:val="004129E1"/>
    <w:rsid w:val="004129E5"/>
    <w:rsid w:val="00412A39"/>
    <w:rsid w:val="00412A74"/>
    <w:rsid w:val="00412D71"/>
    <w:rsid w:val="00412EAB"/>
    <w:rsid w:val="00412F0F"/>
    <w:rsid w:val="004131EA"/>
    <w:rsid w:val="004133C8"/>
    <w:rsid w:val="0041398F"/>
    <w:rsid w:val="00413C88"/>
    <w:rsid w:val="00414075"/>
    <w:rsid w:val="00414156"/>
    <w:rsid w:val="004143F9"/>
    <w:rsid w:val="00414641"/>
    <w:rsid w:val="004146CA"/>
    <w:rsid w:val="00414843"/>
    <w:rsid w:val="00414F7B"/>
    <w:rsid w:val="00415145"/>
    <w:rsid w:val="0041521C"/>
    <w:rsid w:val="00415418"/>
    <w:rsid w:val="00415427"/>
    <w:rsid w:val="004154DC"/>
    <w:rsid w:val="004155B0"/>
    <w:rsid w:val="0041586C"/>
    <w:rsid w:val="00415A6B"/>
    <w:rsid w:val="00415B54"/>
    <w:rsid w:val="00415B82"/>
    <w:rsid w:val="00415BFF"/>
    <w:rsid w:val="00415CC6"/>
    <w:rsid w:val="00415CFF"/>
    <w:rsid w:val="00415D61"/>
    <w:rsid w:val="00415D80"/>
    <w:rsid w:val="00415EF6"/>
    <w:rsid w:val="00415FC0"/>
    <w:rsid w:val="00416182"/>
    <w:rsid w:val="00416248"/>
    <w:rsid w:val="00416361"/>
    <w:rsid w:val="004165CA"/>
    <w:rsid w:val="004165F2"/>
    <w:rsid w:val="00416743"/>
    <w:rsid w:val="0041674F"/>
    <w:rsid w:val="00416E0E"/>
    <w:rsid w:val="00416FCD"/>
    <w:rsid w:val="00417556"/>
    <w:rsid w:val="004175DC"/>
    <w:rsid w:val="004178B1"/>
    <w:rsid w:val="0041791F"/>
    <w:rsid w:val="00417E4B"/>
    <w:rsid w:val="00420173"/>
    <w:rsid w:val="004205EF"/>
    <w:rsid w:val="004206E0"/>
    <w:rsid w:val="00420D86"/>
    <w:rsid w:val="00420E69"/>
    <w:rsid w:val="00421073"/>
    <w:rsid w:val="004212C8"/>
    <w:rsid w:val="00421314"/>
    <w:rsid w:val="0042148E"/>
    <w:rsid w:val="004217D9"/>
    <w:rsid w:val="00421ADC"/>
    <w:rsid w:val="00421B6A"/>
    <w:rsid w:val="00421BA5"/>
    <w:rsid w:val="00421D18"/>
    <w:rsid w:val="004220BA"/>
    <w:rsid w:val="004221EF"/>
    <w:rsid w:val="0042239E"/>
    <w:rsid w:val="00422531"/>
    <w:rsid w:val="0042254A"/>
    <w:rsid w:val="004229B1"/>
    <w:rsid w:val="00422D14"/>
    <w:rsid w:val="00422D17"/>
    <w:rsid w:val="00422D24"/>
    <w:rsid w:val="00422D5D"/>
    <w:rsid w:val="00423328"/>
    <w:rsid w:val="004233B4"/>
    <w:rsid w:val="0042360E"/>
    <w:rsid w:val="004236C8"/>
    <w:rsid w:val="0042382E"/>
    <w:rsid w:val="00423A77"/>
    <w:rsid w:val="00423DCC"/>
    <w:rsid w:val="0042426C"/>
    <w:rsid w:val="004245AF"/>
    <w:rsid w:val="004247EF"/>
    <w:rsid w:val="004249F4"/>
    <w:rsid w:val="00424D96"/>
    <w:rsid w:val="00424DB3"/>
    <w:rsid w:val="00424DDD"/>
    <w:rsid w:val="004251A1"/>
    <w:rsid w:val="00425291"/>
    <w:rsid w:val="0042558C"/>
    <w:rsid w:val="00425625"/>
    <w:rsid w:val="00425B02"/>
    <w:rsid w:val="00426098"/>
    <w:rsid w:val="00426298"/>
    <w:rsid w:val="004262DE"/>
    <w:rsid w:val="004265A3"/>
    <w:rsid w:val="0042661D"/>
    <w:rsid w:val="00426A3D"/>
    <w:rsid w:val="00426C6F"/>
    <w:rsid w:val="00426D71"/>
    <w:rsid w:val="00426EAD"/>
    <w:rsid w:val="00426F6F"/>
    <w:rsid w:val="0042729A"/>
    <w:rsid w:val="00427346"/>
    <w:rsid w:val="0042750F"/>
    <w:rsid w:val="0042760E"/>
    <w:rsid w:val="00427927"/>
    <w:rsid w:val="00427F56"/>
    <w:rsid w:val="00427FC4"/>
    <w:rsid w:val="004300E2"/>
    <w:rsid w:val="00430557"/>
    <w:rsid w:val="004305A9"/>
    <w:rsid w:val="004306B6"/>
    <w:rsid w:val="00430833"/>
    <w:rsid w:val="004308AF"/>
    <w:rsid w:val="00430B1C"/>
    <w:rsid w:val="00430C72"/>
    <w:rsid w:val="00430FF9"/>
    <w:rsid w:val="004310AF"/>
    <w:rsid w:val="004311C3"/>
    <w:rsid w:val="0043149B"/>
    <w:rsid w:val="00431620"/>
    <w:rsid w:val="00431692"/>
    <w:rsid w:val="004316EF"/>
    <w:rsid w:val="0043183A"/>
    <w:rsid w:val="00431A46"/>
    <w:rsid w:val="00431B3D"/>
    <w:rsid w:val="00431D37"/>
    <w:rsid w:val="00432179"/>
    <w:rsid w:val="004322A6"/>
    <w:rsid w:val="0043245B"/>
    <w:rsid w:val="00432470"/>
    <w:rsid w:val="004325E0"/>
    <w:rsid w:val="004327A1"/>
    <w:rsid w:val="004327E6"/>
    <w:rsid w:val="0043284B"/>
    <w:rsid w:val="00432A0E"/>
    <w:rsid w:val="004330FD"/>
    <w:rsid w:val="00433388"/>
    <w:rsid w:val="00433759"/>
    <w:rsid w:val="00433773"/>
    <w:rsid w:val="004338B7"/>
    <w:rsid w:val="0043398E"/>
    <w:rsid w:val="00433B61"/>
    <w:rsid w:val="00433C2F"/>
    <w:rsid w:val="00433C4E"/>
    <w:rsid w:val="00433CDA"/>
    <w:rsid w:val="00433DFF"/>
    <w:rsid w:val="00433E76"/>
    <w:rsid w:val="00433EB4"/>
    <w:rsid w:val="004342F6"/>
    <w:rsid w:val="0043452F"/>
    <w:rsid w:val="00434757"/>
    <w:rsid w:val="0043479F"/>
    <w:rsid w:val="0043486D"/>
    <w:rsid w:val="00434B8E"/>
    <w:rsid w:val="00435410"/>
    <w:rsid w:val="00435679"/>
    <w:rsid w:val="004356B1"/>
    <w:rsid w:val="004356B3"/>
    <w:rsid w:val="00435838"/>
    <w:rsid w:val="00435865"/>
    <w:rsid w:val="00435940"/>
    <w:rsid w:val="00435948"/>
    <w:rsid w:val="00435D6D"/>
    <w:rsid w:val="00435F36"/>
    <w:rsid w:val="004360C8"/>
    <w:rsid w:val="004361D1"/>
    <w:rsid w:val="0043667F"/>
    <w:rsid w:val="0043673E"/>
    <w:rsid w:val="00437007"/>
    <w:rsid w:val="0043709E"/>
    <w:rsid w:val="00437294"/>
    <w:rsid w:val="004376A2"/>
    <w:rsid w:val="00437AA2"/>
    <w:rsid w:val="00437FE0"/>
    <w:rsid w:val="004400E2"/>
    <w:rsid w:val="00440719"/>
    <w:rsid w:val="0044072F"/>
    <w:rsid w:val="00440C0E"/>
    <w:rsid w:val="00440C1C"/>
    <w:rsid w:val="00440FCE"/>
    <w:rsid w:val="00441415"/>
    <w:rsid w:val="004414FF"/>
    <w:rsid w:val="004418FD"/>
    <w:rsid w:val="00441958"/>
    <w:rsid w:val="00441DA1"/>
    <w:rsid w:val="00441FAF"/>
    <w:rsid w:val="004422B6"/>
    <w:rsid w:val="00442340"/>
    <w:rsid w:val="004426CE"/>
    <w:rsid w:val="00442BBC"/>
    <w:rsid w:val="00442C70"/>
    <w:rsid w:val="00442E57"/>
    <w:rsid w:val="00443660"/>
    <w:rsid w:val="004437FC"/>
    <w:rsid w:val="004438C4"/>
    <w:rsid w:val="00443987"/>
    <w:rsid w:val="00443B12"/>
    <w:rsid w:val="00443C96"/>
    <w:rsid w:val="00443CE9"/>
    <w:rsid w:val="00443FB0"/>
    <w:rsid w:val="00444021"/>
    <w:rsid w:val="00444648"/>
    <w:rsid w:val="004446EC"/>
    <w:rsid w:val="00444838"/>
    <w:rsid w:val="0044489D"/>
    <w:rsid w:val="00444920"/>
    <w:rsid w:val="00444BEC"/>
    <w:rsid w:val="00444DF3"/>
    <w:rsid w:val="0044540D"/>
    <w:rsid w:val="00445497"/>
    <w:rsid w:val="00445581"/>
    <w:rsid w:val="00445615"/>
    <w:rsid w:val="00445876"/>
    <w:rsid w:val="004458CA"/>
    <w:rsid w:val="004459AB"/>
    <w:rsid w:val="00445B0B"/>
    <w:rsid w:val="00445B25"/>
    <w:rsid w:val="00445CAE"/>
    <w:rsid w:val="004460BE"/>
    <w:rsid w:val="004463DD"/>
    <w:rsid w:val="00446528"/>
    <w:rsid w:val="0044653B"/>
    <w:rsid w:val="00446783"/>
    <w:rsid w:val="004467D5"/>
    <w:rsid w:val="00446C5E"/>
    <w:rsid w:val="00446C6C"/>
    <w:rsid w:val="00446FD3"/>
    <w:rsid w:val="00447018"/>
    <w:rsid w:val="004473B3"/>
    <w:rsid w:val="00447811"/>
    <w:rsid w:val="00447C32"/>
    <w:rsid w:val="00450190"/>
    <w:rsid w:val="00450242"/>
    <w:rsid w:val="004502F9"/>
    <w:rsid w:val="004504D6"/>
    <w:rsid w:val="00450518"/>
    <w:rsid w:val="0045054C"/>
    <w:rsid w:val="004506C3"/>
    <w:rsid w:val="0045098A"/>
    <w:rsid w:val="00450ADC"/>
    <w:rsid w:val="00450C4F"/>
    <w:rsid w:val="00450E31"/>
    <w:rsid w:val="0045117D"/>
    <w:rsid w:val="00451270"/>
    <w:rsid w:val="0045152B"/>
    <w:rsid w:val="00451A0B"/>
    <w:rsid w:val="00451B9B"/>
    <w:rsid w:val="0045246D"/>
    <w:rsid w:val="004525AC"/>
    <w:rsid w:val="004526CD"/>
    <w:rsid w:val="0045296F"/>
    <w:rsid w:val="0045297B"/>
    <w:rsid w:val="00452DF1"/>
    <w:rsid w:val="00453263"/>
    <w:rsid w:val="0045359F"/>
    <w:rsid w:val="004535C7"/>
    <w:rsid w:val="00453877"/>
    <w:rsid w:val="004538C1"/>
    <w:rsid w:val="00453B47"/>
    <w:rsid w:val="004541D7"/>
    <w:rsid w:val="00454289"/>
    <w:rsid w:val="00454313"/>
    <w:rsid w:val="00454695"/>
    <w:rsid w:val="004547F0"/>
    <w:rsid w:val="0045483F"/>
    <w:rsid w:val="00454FFD"/>
    <w:rsid w:val="00455211"/>
    <w:rsid w:val="004552EB"/>
    <w:rsid w:val="00455573"/>
    <w:rsid w:val="00455630"/>
    <w:rsid w:val="004556A2"/>
    <w:rsid w:val="004556A5"/>
    <w:rsid w:val="0045596A"/>
    <w:rsid w:val="00455EDB"/>
    <w:rsid w:val="00455FB8"/>
    <w:rsid w:val="004561CF"/>
    <w:rsid w:val="0045670C"/>
    <w:rsid w:val="00456713"/>
    <w:rsid w:val="00456A36"/>
    <w:rsid w:val="00457125"/>
    <w:rsid w:val="00457141"/>
    <w:rsid w:val="0045727E"/>
    <w:rsid w:val="004572BE"/>
    <w:rsid w:val="0045749F"/>
    <w:rsid w:val="004577D6"/>
    <w:rsid w:val="004578AD"/>
    <w:rsid w:val="004578BD"/>
    <w:rsid w:val="00457942"/>
    <w:rsid w:val="00457CA3"/>
    <w:rsid w:val="00457D19"/>
    <w:rsid w:val="00457D23"/>
    <w:rsid w:val="0046034E"/>
    <w:rsid w:val="0046049D"/>
    <w:rsid w:val="004604D7"/>
    <w:rsid w:val="004608B6"/>
    <w:rsid w:val="00460DC8"/>
    <w:rsid w:val="00460EC2"/>
    <w:rsid w:val="0046106C"/>
    <w:rsid w:val="00461081"/>
    <w:rsid w:val="004610E1"/>
    <w:rsid w:val="004611FA"/>
    <w:rsid w:val="00461272"/>
    <w:rsid w:val="0046134D"/>
    <w:rsid w:val="0046139A"/>
    <w:rsid w:val="00461526"/>
    <w:rsid w:val="0046158E"/>
    <w:rsid w:val="00461636"/>
    <w:rsid w:val="0046190E"/>
    <w:rsid w:val="00461E60"/>
    <w:rsid w:val="00461E9E"/>
    <w:rsid w:val="00461F19"/>
    <w:rsid w:val="00462140"/>
    <w:rsid w:val="00462241"/>
    <w:rsid w:val="0046227C"/>
    <w:rsid w:val="0046240D"/>
    <w:rsid w:val="00462502"/>
    <w:rsid w:val="0046277B"/>
    <w:rsid w:val="00462BD0"/>
    <w:rsid w:val="00462C69"/>
    <w:rsid w:val="00462CA3"/>
    <w:rsid w:val="00462CAE"/>
    <w:rsid w:val="00462DF2"/>
    <w:rsid w:val="00463110"/>
    <w:rsid w:val="00463118"/>
    <w:rsid w:val="004631DB"/>
    <w:rsid w:val="00463205"/>
    <w:rsid w:val="0046326F"/>
    <w:rsid w:val="0046361C"/>
    <w:rsid w:val="00463756"/>
    <w:rsid w:val="004637C2"/>
    <w:rsid w:val="004638E1"/>
    <w:rsid w:val="00463996"/>
    <w:rsid w:val="00463AF4"/>
    <w:rsid w:val="00463BA1"/>
    <w:rsid w:val="00463CAC"/>
    <w:rsid w:val="00464544"/>
    <w:rsid w:val="0046475D"/>
    <w:rsid w:val="0046479E"/>
    <w:rsid w:val="00464833"/>
    <w:rsid w:val="0046485D"/>
    <w:rsid w:val="00464957"/>
    <w:rsid w:val="00464971"/>
    <w:rsid w:val="00464F15"/>
    <w:rsid w:val="00464FF3"/>
    <w:rsid w:val="00465086"/>
    <w:rsid w:val="0046551E"/>
    <w:rsid w:val="00465822"/>
    <w:rsid w:val="00465850"/>
    <w:rsid w:val="00465C4A"/>
    <w:rsid w:val="00465EE5"/>
    <w:rsid w:val="00465FC4"/>
    <w:rsid w:val="0046658D"/>
    <w:rsid w:val="004667C9"/>
    <w:rsid w:val="0046683F"/>
    <w:rsid w:val="00466C91"/>
    <w:rsid w:val="0046700A"/>
    <w:rsid w:val="00467068"/>
    <w:rsid w:val="0046748C"/>
    <w:rsid w:val="00467543"/>
    <w:rsid w:val="004675A5"/>
    <w:rsid w:val="004675C3"/>
    <w:rsid w:val="004676DB"/>
    <w:rsid w:val="004676F8"/>
    <w:rsid w:val="00467718"/>
    <w:rsid w:val="004677AB"/>
    <w:rsid w:val="004677CA"/>
    <w:rsid w:val="0046782D"/>
    <w:rsid w:val="004678B4"/>
    <w:rsid w:val="0046799B"/>
    <w:rsid w:val="00467C9D"/>
    <w:rsid w:val="00470039"/>
    <w:rsid w:val="004700F4"/>
    <w:rsid w:val="0047033E"/>
    <w:rsid w:val="0047036A"/>
    <w:rsid w:val="00470649"/>
    <w:rsid w:val="004707B2"/>
    <w:rsid w:val="004708C4"/>
    <w:rsid w:val="00470C3D"/>
    <w:rsid w:val="00470ED0"/>
    <w:rsid w:val="00471231"/>
    <w:rsid w:val="00471492"/>
    <w:rsid w:val="004715E7"/>
    <w:rsid w:val="004717AC"/>
    <w:rsid w:val="00471A45"/>
    <w:rsid w:val="00471AFB"/>
    <w:rsid w:val="00472170"/>
    <w:rsid w:val="004721A2"/>
    <w:rsid w:val="004722C2"/>
    <w:rsid w:val="0047287B"/>
    <w:rsid w:val="00472DD1"/>
    <w:rsid w:val="00472F7F"/>
    <w:rsid w:val="004732EA"/>
    <w:rsid w:val="00473323"/>
    <w:rsid w:val="004735F3"/>
    <w:rsid w:val="004738CA"/>
    <w:rsid w:val="00473AA4"/>
    <w:rsid w:val="004740B9"/>
    <w:rsid w:val="0047410F"/>
    <w:rsid w:val="004742EE"/>
    <w:rsid w:val="0047436D"/>
    <w:rsid w:val="004744E0"/>
    <w:rsid w:val="00474652"/>
    <w:rsid w:val="004746BC"/>
    <w:rsid w:val="00474794"/>
    <w:rsid w:val="00474C3D"/>
    <w:rsid w:val="00474D1B"/>
    <w:rsid w:val="00475051"/>
    <w:rsid w:val="00475630"/>
    <w:rsid w:val="004759FC"/>
    <w:rsid w:val="00475C08"/>
    <w:rsid w:val="00475E78"/>
    <w:rsid w:val="00475F3A"/>
    <w:rsid w:val="0047608B"/>
    <w:rsid w:val="0047610B"/>
    <w:rsid w:val="00476315"/>
    <w:rsid w:val="00476363"/>
    <w:rsid w:val="004763F8"/>
    <w:rsid w:val="00476429"/>
    <w:rsid w:val="00476526"/>
    <w:rsid w:val="00476947"/>
    <w:rsid w:val="00476AB6"/>
    <w:rsid w:val="00476C60"/>
    <w:rsid w:val="00476D1E"/>
    <w:rsid w:val="004772CD"/>
    <w:rsid w:val="00477397"/>
    <w:rsid w:val="0047778C"/>
    <w:rsid w:val="00477BDD"/>
    <w:rsid w:val="00477D2E"/>
    <w:rsid w:val="00477FA1"/>
    <w:rsid w:val="00480067"/>
    <w:rsid w:val="004801CD"/>
    <w:rsid w:val="0048039F"/>
    <w:rsid w:val="004804F4"/>
    <w:rsid w:val="0048101F"/>
    <w:rsid w:val="00481174"/>
    <w:rsid w:val="00481339"/>
    <w:rsid w:val="00481AB3"/>
    <w:rsid w:val="00481C13"/>
    <w:rsid w:val="00481F50"/>
    <w:rsid w:val="004820CB"/>
    <w:rsid w:val="004821CC"/>
    <w:rsid w:val="00482453"/>
    <w:rsid w:val="004828A0"/>
    <w:rsid w:val="004829E6"/>
    <w:rsid w:val="00482C8D"/>
    <w:rsid w:val="004830CC"/>
    <w:rsid w:val="00483296"/>
    <w:rsid w:val="004832D0"/>
    <w:rsid w:val="00483751"/>
    <w:rsid w:val="00483869"/>
    <w:rsid w:val="00483C86"/>
    <w:rsid w:val="00483F6E"/>
    <w:rsid w:val="00484069"/>
    <w:rsid w:val="00484216"/>
    <w:rsid w:val="004846D4"/>
    <w:rsid w:val="00484800"/>
    <w:rsid w:val="0048493F"/>
    <w:rsid w:val="00484B21"/>
    <w:rsid w:val="00484C8D"/>
    <w:rsid w:val="00484D9F"/>
    <w:rsid w:val="00484DAD"/>
    <w:rsid w:val="00484E8F"/>
    <w:rsid w:val="0048508F"/>
    <w:rsid w:val="00485425"/>
    <w:rsid w:val="0048548F"/>
    <w:rsid w:val="00485D00"/>
    <w:rsid w:val="00485E9B"/>
    <w:rsid w:val="00485F41"/>
    <w:rsid w:val="00486395"/>
    <w:rsid w:val="0048644A"/>
    <w:rsid w:val="00486A06"/>
    <w:rsid w:val="00486F95"/>
    <w:rsid w:val="00487225"/>
    <w:rsid w:val="00487246"/>
    <w:rsid w:val="00487433"/>
    <w:rsid w:val="0048745F"/>
    <w:rsid w:val="004876EB"/>
    <w:rsid w:val="00487C97"/>
    <w:rsid w:val="00487D73"/>
    <w:rsid w:val="00487D88"/>
    <w:rsid w:val="00487FE2"/>
    <w:rsid w:val="004905CE"/>
    <w:rsid w:val="00490647"/>
    <w:rsid w:val="00490A11"/>
    <w:rsid w:val="00490B49"/>
    <w:rsid w:val="00491155"/>
    <w:rsid w:val="0049121B"/>
    <w:rsid w:val="0049126A"/>
    <w:rsid w:val="00491309"/>
    <w:rsid w:val="00491829"/>
    <w:rsid w:val="00491C2D"/>
    <w:rsid w:val="00491C9A"/>
    <w:rsid w:val="00491CAD"/>
    <w:rsid w:val="00491CD3"/>
    <w:rsid w:val="00491D23"/>
    <w:rsid w:val="00491E0B"/>
    <w:rsid w:val="00491F7C"/>
    <w:rsid w:val="00491FEC"/>
    <w:rsid w:val="00492134"/>
    <w:rsid w:val="004921D1"/>
    <w:rsid w:val="00492305"/>
    <w:rsid w:val="0049249D"/>
    <w:rsid w:val="004929C4"/>
    <w:rsid w:val="00492E81"/>
    <w:rsid w:val="004930DF"/>
    <w:rsid w:val="0049311C"/>
    <w:rsid w:val="004932F1"/>
    <w:rsid w:val="00493415"/>
    <w:rsid w:val="004936A4"/>
    <w:rsid w:val="004936F4"/>
    <w:rsid w:val="00493723"/>
    <w:rsid w:val="00493846"/>
    <w:rsid w:val="00493A10"/>
    <w:rsid w:val="00493AD8"/>
    <w:rsid w:val="00493C30"/>
    <w:rsid w:val="00493DFB"/>
    <w:rsid w:val="00493E80"/>
    <w:rsid w:val="00494025"/>
    <w:rsid w:val="0049441D"/>
    <w:rsid w:val="00494A97"/>
    <w:rsid w:val="00494E4C"/>
    <w:rsid w:val="00494F1B"/>
    <w:rsid w:val="00495077"/>
    <w:rsid w:val="0049510C"/>
    <w:rsid w:val="004953F8"/>
    <w:rsid w:val="004958FB"/>
    <w:rsid w:val="004959FD"/>
    <w:rsid w:val="00495A60"/>
    <w:rsid w:val="00495AD0"/>
    <w:rsid w:val="00495B4B"/>
    <w:rsid w:val="00495BCB"/>
    <w:rsid w:val="00495C80"/>
    <w:rsid w:val="00495CA3"/>
    <w:rsid w:val="00495F48"/>
    <w:rsid w:val="0049602A"/>
    <w:rsid w:val="004960D9"/>
    <w:rsid w:val="00496187"/>
    <w:rsid w:val="004961E1"/>
    <w:rsid w:val="004966B5"/>
    <w:rsid w:val="00496892"/>
    <w:rsid w:val="0049695F"/>
    <w:rsid w:val="00496D31"/>
    <w:rsid w:val="00496D7D"/>
    <w:rsid w:val="00496E3F"/>
    <w:rsid w:val="00496F93"/>
    <w:rsid w:val="0049728E"/>
    <w:rsid w:val="004972A4"/>
    <w:rsid w:val="00497363"/>
    <w:rsid w:val="004974E2"/>
    <w:rsid w:val="0049750F"/>
    <w:rsid w:val="0049769B"/>
    <w:rsid w:val="0049774F"/>
    <w:rsid w:val="00497A4B"/>
    <w:rsid w:val="00497CAB"/>
    <w:rsid w:val="00497E75"/>
    <w:rsid w:val="00497EE8"/>
    <w:rsid w:val="00497FB0"/>
    <w:rsid w:val="004A0049"/>
    <w:rsid w:val="004A034A"/>
    <w:rsid w:val="004A041C"/>
    <w:rsid w:val="004A05D2"/>
    <w:rsid w:val="004A08B7"/>
    <w:rsid w:val="004A0C9F"/>
    <w:rsid w:val="004A1180"/>
    <w:rsid w:val="004A1370"/>
    <w:rsid w:val="004A1581"/>
    <w:rsid w:val="004A1856"/>
    <w:rsid w:val="004A1978"/>
    <w:rsid w:val="004A198B"/>
    <w:rsid w:val="004A1EA9"/>
    <w:rsid w:val="004A1F08"/>
    <w:rsid w:val="004A2017"/>
    <w:rsid w:val="004A2291"/>
    <w:rsid w:val="004A2AA2"/>
    <w:rsid w:val="004A2B7A"/>
    <w:rsid w:val="004A2EE5"/>
    <w:rsid w:val="004A2FDC"/>
    <w:rsid w:val="004A314D"/>
    <w:rsid w:val="004A317E"/>
    <w:rsid w:val="004A32B7"/>
    <w:rsid w:val="004A32D4"/>
    <w:rsid w:val="004A339D"/>
    <w:rsid w:val="004A363E"/>
    <w:rsid w:val="004A3854"/>
    <w:rsid w:val="004A388C"/>
    <w:rsid w:val="004A38FB"/>
    <w:rsid w:val="004A4082"/>
    <w:rsid w:val="004A40FD"/>
    <w:rsid w:val="004A46E2"/>
    <w:rsid w:val="004A47EB"/>
    <w:rsid w:val="004A4999"/>
    <w:rsid w:val="004A4B1E"/>
    <w:rsid w:val="004A50AA"/>
    <w:rsid w:val="004A5578"/>
    <w:rsid w:val="004A5642"/>
    <w:rsid w:val="004A56E3"/>
    <w:rsid w:val="004A57A1"/>
    <w:rsid w:val="004A57EE"/>
    <w:rsid w:val="004A58EF"/>
    <w:rsid w:val="004A596E"/>
    <w:rsid w:val="004A5C52"/>
    <w:rsid w:val="004A5D2F"/>
    <w:rsid w:val="004A5DA8"/>
    <w:rsid w:val="004A613B"/>
    <w:rsid w:val="004A6166"/>
    <w:rsid w:val="004A65AD"/>
    <w:rsid w:val="004A6847"/>
    <w:rsid w:val="004A6891"/>
    <w:rsid w:val="004A6C6E"/>
    <w:rsid w:val="004A6D7F"/>
    <w:rsid w:val="004A706F"/>
    <w:rsid w:val="004A7162"/>
    <w:rsid w:val="004A721A"/>
    <w:rsid w:val="004A7431"/>
    <w:rsid w:val="004A7929"/>
    <w:rsid w:val="004A79F6"/>
    <w:rsid w:val="004A7A90"/>
    <w:rsid w:val="004A7BD9"/>
    <w:rsid w:val="004A7C6E"/>
    <w:rsid w:val="004A7E2F"/>
    <w:rsid w:val="004A7ED5"/>
    <w:rsid w:val="004B0398"/>
    <w:rsid w:val="004B03EF"/>
    <w:rsid w:val="004B05DD"/>
    <w:rsid w:val="004B0ADA"/>
    <w:rsid w:val="004B0D3F"/>
    <w:rsid w:val="004B1108"/>
    <w:rsid w:val="004B1160"/>
    <w:rsid w:val="004B1271"/>
    <w:rsid w:val="004B1387"/>
    <w:rsid w:val="004B13D5"/>
    <w:rsid w:val="004B143D"/>
    <w:rsid w:val="004B15DA"/>
    <w:rsid w:val="004B1696"/>
    <w:rsid w:val="004B195A"/>
    <w:rsid w:val="004B19DD"/>
    <w:rsid w:val="004B1E1C"/>
    <w:rsid w:val="004B1F26"/>
    <w:rsid w:val="004B2099"/>
    <w:rsid w:val="004B27B9"/>
    <w:rsid w:val="004B28FA"/>
    <w:rsid w:val="004B29F5"/>
    <w:rsid w:val="004B2A14"/>
    <w:rsid w:val="004B2C75"/>
    <w:rsid w:val="004B2F08"/>
    <w:rsid w:val="004B2F11"/>
    <w:rsid w:val="004B2F5E"/>
    <w:rsid w:val="004B2F68"/>
    <w:rsid w:val="004B316D"/>
    <w:rsid w:val="004B319B"/>
    <w:rsid w:val="004B3323"/>
    <w:rsid w:val="004B33A2"/>
    <w:rsid w:val="004B35A4"/>
    <w:rsid w:val="004B36F9"/>
    <w:rsid w:val="004B3747"/>
    <w:rsid w:val="004B3999"/>
    <w:rsid w:val="004B3CA8"/>
    <w:rsid w:val="004B3CDE"/>
    <w:rsid w:val="004B3E15"/>
    <w:rsid w:val="004B3E3C"/>
    <w:rsid w:val="004B3FBE"/>
    <w:rsid w:val="004B4377"/>
    <w:rsid w:val="004B4492"/>
    <w:rsid w:val="004B463C"/>
    <w:rsid w:val="004B46DB"/>
    <w:rsid w:val="004B4712"/>
    <w:rsid w:val="004B4AED"/>
    <w:rsid w:val="004B4DE8"/>
    <w:rsid w:val="004B4E34"/>
    <w:rsid w:val="004B5048"/>
    <w:rsid w:val="004B5095"/>
    <w:rsid w:val="004B522D"/>
    <w:rsid w:val="004B54DC"/>
    <w:rsid w:val="004B582D"/>
    <w:rsid w:val="004B5863"/>
    <w:rsid w:val="004B58FC"/>
    <w:rsid w:val="004B595B"/>
    <w:rsid w:val="004B599F"/>
    <w:rsid w:val="004B59FC"/>
    <w:rsid w:val="004B5C6D"/>
    <w:rsid w:val="004B5EDE"/>
    <w:rsid w:val="004B5F26"/>
    <w:rsid w:val="004B63E1"/>
    <w:rsid w:val="004B68BA"/>
    <w:rsid w:val="004B6990"/>
    <w:rsid w:val="004B6D9E"/>
    <w:rsid w:val="004B6DB1"/>
    <w:rsid w:val="004B6EC6"/>
    <w:rsid w:val="004B6EED"/>
    <w:rsid w:val="004B728C"/>
    <w:rsid w:val="004B72D4"/>
    <w:rsid w:val="004B7566"/>
    <w:rsid w:val="004B7652"/>
    <w:rsid w:val="004B768D"/>
    <w:rsid w:val="004B796E"/>
    <w:rsid w:val="004B7B2F"/>
    <w:rsid w:val="004B7B37"/>
    <w:rsid w:val="004B7B84"/>
    <w:rsid w:val="004B7D59"/>
    <w:rsid w:val="004B7E30"/>
    <w:rsid w:val="004C0317"/>
    <w:rsid w:val="004C042D"/>
    <w:rsid w:val="004C0542"/>
    <w:rsid w:val="004C07E7"/>
    <w:rsid w:val="004C0855"/>
    <w:rsid w:val="004C090E"/>
    <w:rsid w:val="004C0C3A"/>
    <w:rsid w:val="004C0E39"/>
    <w:rsid w:val="004C0F06"/>
    <w:rsid w:val="004C0F85"/>
    <w:rsid w:val="004C0FAE"/>
    <w:rsid w:val="004C11FB"/>
    <w:rsid w:val="004C1255"/>
    <w:rsid w:val="004C1529"/>
    <w:rsid w:val="004C16A3"/>
    <w:rsid w:val="004C16EB"/>
    <w:rsid w:val="004C1717"/>
    <w:rsid w:val="004C188D"/>
    <w:rsid w:val="004C189B"/>
    <w:rsid w:val="004C1E0A"/>
    <w:rsid w:val="004C1FE6"/>
    <w:rsid w:val="004C2046"/>
    <w:rsid w:val="004C2274"/>
    <w:rsid w:val="004C277D"/>
    <w:rsid w:val="004C28CC"/>
    <w:rsid w:val="004C2A0E"/>
    <w:rsid w:val="004C2C0D"/>
    <w:rsid w:val="004C2E79"/>
    <w:rsid w:val="004C33A9"/>
    <w:rsid w:val="004C3582"/>
    <w:rsid w:val="004C3635"/>
    <w:rsid w:val="004C3A67"/>
    <w:rsid w:val="004C3E31"/>
    <w:rsid w:val="004C400D"/>
    <w:rsid w:val="004C4197"/>
    <w:rsid w:val="004C41A7"/>
    <w:rsid w:val="004C41D9"/>
    <w:rsid w:val="004C47BC"/>
    <w:rsid w:val="004C4DEB"/>
    <w:rsid w:val="004C4FA7"/>
    <w:rsid w:val="004C51FB"/>
    <w:rsid w:val="004C5348"/>
    <w:rsid w:val="004C54E4"/>
    <w:rsid w:val="004C5576"/>
    <w:rsid w:val="004C5577"/>
    <w:rsid w:val="004C5580"/>
    <w:rsid w:val="004C55C3"/>
    <w:rsid w:val="004C55F3"/>
    <w:rsid w:val="004C5632"/>
    <w:rsid w:val="004C5788"/>
    <w:rsid w:val="004C5A65"/>
    <w:rsid w:val="004C5B73"/>
    <w:rsid w:val="004C5BDA"/>
    <w:rsid w:val="004C5C23"/>
    <w:rsid w:val="004C5C94"/>
    <w:rsid w:val="004C5D6C"/>
    <w:rsid w:val="004C6109"/>
    <w:rsid w:val="004C610E"/>
    <w:rsid w:val="004C628F"/>
    <w:rsid w:val="004C6733"/>
    <w:rsid w:val="004C6956"/>
    <w:rsid w:val="004C6A6A"/>
    <w:rsid w:val="004C6B2A"/>
    <w:rsid w:val="004C6D15"/>
    <w:rsid w:val="004C6DE1"/>
    <w:rsid w:val="004C6FDC"/>
    <w:rsid w:val="004C6FE5"/>
    <w:rsid w:val="004C7486"/>
    <w:rsid w:val="004C791B"/>
    <w:rsid w:val="004C7BAA"/>
    <w:rsid w:val="004D00FA"/>
    <w:rsid w:val="004D0145"/>
    <w:rsid w:val="004D031D"/>
    <w:rsid w:val="004D0733"/>
    <w:rsid w:val="004D0763"/>
    <w:rsid w:val="004D0BB0"/>
    <w:rsid w:val="004D0E1E"/>
    <w:rsid w:val="004D0E86"/>
    <w:rsid w:val="004D0EDD"/>
    <w:rsid w:val="004D0F07"/>
    <w:rsid w:val="004D1237"/>
    <w:rsid w:val="004D1409"/>
    <w:rsid w:val="004D14E7"/>
    <w:rsid w:val="004D16FE"/>
    <w:rsid w:val="004D1789"/>
    <w:rsid w:val="004D17DD"/>
    <w:rsid w:val="004D1998"/>
    <w:rsid w:val="004D1A36"/>
    <w:rsid w:val="004D1C2C"/>
    <w:rsid w:val="004D1CA3"/>
    <w:rsid w:val="004D1CA8"/>
    <w:rsid w:val="004D21E1"/>
    <w:rsid w:val="004D263C"/>
    <w:rsid w:val="004D279A"/>
    <w:rsid w:val="004D2A8A"/>
    <w:rsid w:val="004D2D14"/>
    <w:rsid w:val="004D2DCA"/>
    <w:rsid w:val="004D2E22"/>
    <w:rsid w:val="004D2E80"/>
    <w:rsid w:val="004D3021"/>
    <w:rsid w:val="004D30E6"/>
    <w:rsid w:val="004D321C"/>
    <w:rsid w:val="004D368B"/>
    <w:rsid w:val="004D3709"/>
    <w:rsid w:val="004D397E"/>
    <w:rsid w:val="004D3A3D"/>
    <w:rsid w:val="004D3B41"/>
    <w:rsid w:val="004D3BDC"/>
    <w:rsid w:val="004D3D79"/>
    <w:rsid w:val="004D411D"/>
    <w:rsid w:val="004D428E"/>
    <w:rsid w:val="004D4316"/>
    <w:rsid w:val="004D4D29"/>
    <w:rsid w:val="004D4D95"/>
    <w:rsid w:val="004D508C"/>
    <w:rsid w:val="004D5357"/>
    <w:rsid w:val="004D5411"/>
    <w:rsid w:val="004D5A20"/>
    <w:rsid w:val="004D5F45"/>
    <w:rsid w:val="004D6247"/>
    <w:rsid w:val="004D63DB"/>
    <w:rsid w:val="004D63DE"/>
    <w:rsid w:val="004D65BE"/>
    <w:rsid w:val="004D675A"/>
    <w:rsid w:val="004D680A"/>
    <w:rsid w:val="004D6813"/>
    <w:rsid w:val="004D6994"/>
    <w:rsid w:val="004D6CE2"/>
    <w:rsid w:val="004D6F69"/>
    <w:rsid w:val="004D72D8"/>
    <w:rsid w:val="004D72FA"/>
    <w:rsid w:val="004D75A7"/>
    <w:rsid w:val="004D7935"/>
    <w:rsid w:val="004D797B"/>
    <w:rsid w:val="004E0077"/>
    <w:rsid w:val="004E027C"/>
    <w:rsid w:val="004E053A"/>
    <w:rsid w:val="004E05EE"/>
    <w:rsid w:val="004E0855"/>
    <w:rsid w:val="004E0BA5"/>
    <w:rsid w:val="004E0BC3"/>
    <w:rsid w:val="004E1366"/>
    <w:rsid w:val="004E13A8"/>
    <w:rsid w:val="004E13E4"/>
    <w:rsid w:val="004E1513"/>
    <w:rsid w:val="004E183D"/>
    <w:rsid w:val="004E1941"/>
    <w:rsid w:val="004E1958"/>
    <w:rsid w:val="004E1B65"/>
    <w:rsid w:val="004E1E1A"/>
    <w:rsid w:val="004E1F77"/>
    <w:rsid w:val="004E22FE"/>
    <w:rsid w:val="004E232F"/>
    <w:rsid w:val="004E2CBA"/>
    <w:rsid w:val="004E301A"/>
    <w:rsid w:val="004E30BE"/>
    <w:rsid w:val="004E30EF"/>
    <w:rsid w:val="004E3123"/>
    <w:rsid w:val="004E3609"/>
    <w:rsid w:val="004E36C2"/>
    <w:rsid w:val="004E3880"/>
    <w:rsid w:val="004E389A"/>
    <w:rsid w:val="004E3937"/>
    <w:rsid w:val="004E394F"/>
    <w:rsid w:val="004E3AB6"/>
    <w:rsid w:val="004E3BF6"/>
    <w:rsid w:val="004E3C5D"/>
    <w:rsid w:val="004E3FC3"/>
    <w:rsid w:val="004E41C0"/>
    <w:rsid w:val="004E4592"/>
    <w:rsid w:val="004E46AB"/>
    <w:rsid w:val="004E4718"/>
    <w:rsid w:val="004E4A66"/>
    <w:rsid w:val="004E4B20"/>
    <w:rsid w:val="004E4D95"/>
    <w:rsid w:val="004E4F0B"/>
    <w:rsid w:val="004E4F0F"/>
    <w:rsid w:val="004E5425"/>
    <w:rsid w:val="004E5529"/>
    <w:rsid w:val="004E5AC0"/>
    <w:rsid w:val="004E5F8D"/>
    <w:rsid w:val="004E635A"/>
    <w:rsid w:val="004E63F0"/>
    <w:rsid w:val="004E67B5"/>
    <w:rsid w:val="004E683B"/>
    <w:rsid w:val="004E6975"/>
    <w:rsid w:val="004E6B90"/>
    <w:rsid w:val="004E6DCF"/>
    <w:rsid w:val="004E6F90"/>
    <w:rsid w:val="004E73A6"/>
    <w:rsid w:val="004E79BB"/>
    <w:rsid w:val="004E7A68"/>
    <w:rsid w:val="004E7A76"/>
    <w:rsid w:val="004E7A7B"/>
    <w:rsid w:val="004E7AE6"/>
    <w:rsid w:val="004E7BD2"/>
    <w:rsid w:val="004E7D81"/>
    <w:rsid w:val="004E7DFD"/>
    <w:rsid w:val="004E7E4B"/>
    <w:rsid w:val="004E7EE8"/>
    <w:rsid w:val="004E7FC4"/>
    <w:rsid w:val="004F01B8"/>
    <w:rsid w:val="004F0287"/>
    <w:rsid w:val="004F02FE"/>
    <w:rsid w:val="004F053A"/>
    <w:rsid w:val="004F06A9"/>
    <w:rsid w:val="004F07F9"/>
    <w:rsid w:val="004F0A37"/>
    <w:rsid w:val="004F0A8A"/>
    <w:rsid w:val="004F0AD1"/>
    <w:rsid w:val="004F0F75"/>
    <w:rsid w:val="004F1309"/>
    <w:rsid w:val="004F161A"/>
    <w:rsid w:val="004F16AA"/>
    <w:rsid w:val="004F1739"/>
    <w:rsid w:val="004F17DC"/>
    <w:rsid w:val="004F1A07"/>
    <w:rsid w:val="004F1D05"/>
    <w:rsid w:val="004F2593"/>
    <w:rsid w:val="004F2601"/>
    <w:rsid w:val="004F2680"/>
    <w:rsid w:val="004F2851"/>
    <w:rsid w:val="004F2A20"/>
    <w:rsid w:val="004F2A57"/>
    <w:rsid w:val="004F2A7F"/>
    <w:rsid w:val="004F2AD5"/>
    <w:rsid w:val="004F2BCB"/>
    <w:rsid w:val="004F2BEA"/>
    <w:rsid w:val="004F2C96"/>
    <w:rsid w:val="004F2D4C"/>
    <w:rsid w:val="004F2E09"/>
    <w:rsid w:val="004F2FD1"/>
    <w:rsid w:val="004F2FD2"/>
    <w:rsid w:val="004F31C6"/>
    <w:rsid w:val="004F31C7"/>
    <w:rsid w:val="004F346E"/>
    <w:rsid w:val="004F349F"/>
    <w:rsid w:val="004F356E"/>
    <w:rsid w:val="004F36A6"/>
    <w:rsid w:val="004F3756"/>
    <w:rsid w:val="004F381D"/>
    <w:rsid w:val="004F3AA6"/>
    <w:rsid w:val="004F3AFF"/>
    <w:rsid w:val="004F4440"/>
    <w:rsid w:val="004F463F"/>
    <w:rsid w:val="004F466A"/>
    <w:rsid w:val="004F4B81"/>
    <w:rsid w:val="004F4DF9"/>
    <w:rsid w:val="004F50D6"/>
    <w:rsid w:val="004F52BA"/>
    <w:rsid w:val="004F53FA"/>
    <w:rsid w:val="004F5415"/>
    <w:rsid w:val="004F55F1"/>
    <w:rsid w:val="004F5939"/>
    <w:rsid w:val="004F5B95"/>
    <w:rsid w:val="004F5C06"/>
    <w:rsid w:val="004F5C15"/>
    <w:rsid w:val="004F5C52"/>
    <w:rsid w:val="004F5CF1"/>
    <w:rsid w:val="004F5DC2"/>
    <w:rsid w:val="004F5FAB"/>
    <w:rsid w:val="004F6136"/>
    <w:rsid w:val="004F62B8"/>
    <w:rsid w:val="004F630E"/>
    <w:rsid w:val="004F6434"/>
    <w:rsid w:val="004F65B7"/>
    <w:rsid w:val="004F66D0"/>
    <w:rsid w:val="004F672A"/>
    <w:rsid w:val="004F676B"/>
    <w:rsid w:val="004F69EA"/>
    <w:rsid w:val="004F6A49"/>
    <w:rsid w:val="004F6A60"/>
    <w:rsid w:val="004F6ADE"/>
    <w:rsid w:val="004F6B02"/>
    <w:rsid w:val="004F7175"/>
    <w:rsid w:val="004F7322"/>
    <w:rsid w:val="004F7650"/>
    <w:rsid w:val="004F78FF"/>
    <w:rsid w:val="004F79C5"/>
    <w:rsid w:val="004F7B37"/>
    <w:rsid w:val="004F7BE1"/>
    <w:rsid w:val="004F7C27"/>
    <w:rsid w:val="004F7C2A"/>
    <w:rsid w:val="004F7C48"/>
    <w:rsid w:val="004F7C49"/>
    <w:rsid w:val="004F7C99"/>
    <w:rsid w:val="004F7D8E"/>
    <w:rsid w:val="004F7E86"/>
    <w:rsid w:val="004F7F53"/>
    <w:rsid w:val="004F7F64"/>
    <w:rsid w:val="004F7FC5"/>
    <w:rsid w:val="00500036"/>
    <w:rsid w:val="005003FC"/>
    <w:rsid w:val="005006B2"/>
    <w:rsid w:val="00500828"/>
    <w:rsid w:val="0050088A"/>
    <w:rsid w:val="005009E6"/>
    <w:rsid w:val="00500B83"/>
    <w:rsid w:val="00500F17"/>
    <w:rsid w:val="00501190"/>
    <w:rsid w:val="005013D9"/>
    <w:rsid w:val="00501430"/>
    <w:rsid w:val="005019EE"/>
    <w:rsid w:val="00501C33"/>
    <w:rsid w:val="00501C4F"/>
    <w:rsid w:val="00501DA1"/>
    <w:rsid w:val="0050264A"/>
    <w:rsid w:val="00502721"/>
    <w:rsid w:val="0050275B"/>
    <w:rsid w:val="005028FD"/>
    <w:rsid w:val="005029AE"/>
    <w:rsid w:val="00502B30"/>
    <w:rsid w:val="00502D7B"/>
    <w:rsid w:val="00502E58"/>
    <w:rsid w:val="00503147"/>
    <w:rsid w:val="00503218"/>
    <w:rsid w:val="0050342E"/>
    <w:rsid w:val="005034D5"/>
    <w:rsid w:val="00503565"/>
    <w:rsid w:val="005035D6"/>
    <w:rsid w:val="0050363F"/>
    <w:rsid w:val="00503718"/>
    <w:rsid w:val="00503741"/>
    <w:rsid w:val="00503C04"/>
    <w:rsid w:val="00503EDB"/>
    <w:rsid w:val="00503EE0"/>
    <w:rsid w:val="00503F28"/>
    <w:rsid w:val="00503FCE"/>
    <w:rsid w:val="0050402D"/>
    <w:rsid w:val="00504412"/>
    <w:rsid w:val="005044BC"/>
    <w:rsid w:val="005044D5"/>
    <w:rsid w:val="0050474D"/>
    <w:rsid w:val="00504863"/>
    <w:rsid w:val="00504A47"/>
    <w:rsid w:val="005050B6"/>
    <w:rsid w:val="00505146"/>
    <w:rsid w:val="005052F9"/>
    <w:rsid w:val="00505397"/>
    <w:rsid w:val="00505747"/>
    <w:rsid w:val="00505D8D"/>
    <w:rsid w:val="00505D90"/>
    <w:rsid w:val="00505F69"/>
    <w:rsid w:val="005062F0"/>
    <w:rsid w:val="0050632B"/>
    <w:rsid w:val="0050633B"/>
    <w:rsid w:val="00506477"/>
    <w:rsid w:val="00506566"/>
    <w:rsid w:val="005065A0"/>
    <w:rsid w:val="00506607"/>
    <w:rsid w:val="00506663"/>
    <w:rsid w:val="005068CE"/>
    <w:rsid w:val="00506A69"/>
    <w:rsid w:val="00506DA7"/>
    <w:rsid w:val="00507068"/>
    <w:rsid w:val="00507250"/>
    <w:rsid w:val="00507550"/>
    <w:rsid w:val="0050766E"/>
    <w:rsid w:val="00507A71"/>
    <w:rsid w:val="00507FEB"/>
    <w:rsid w:val="0051024E"/>
    <w:rsid w:val="00510AAB"/>
    <w:rsid w:val="00510B3D"/>
    <w:rsid w:val="00510B63"/>
    <w:rsid w:val="00510BA6"/>
    <w:rsid w:val="00510BD7"/>
    <w:rsid w:val="00510D37"/>
    <w:rsid w:val="00510EA1"/>
    <w:rsid w:val="0051166F"/>
    <w:rsid w:val="00511E96"/>
    <w:rsid w:val="00512091"/>
    <w:rsid w:val="005120F8"/>
    <w:rsid w:val="005125EB"/>
    <w:rsid w:val="0051264E"/>
    <w:rsid w:val="005126B5"/>
    <w:rsid w:val="0051288A"/>
    <w:rsid w:val="005128AD"/>
    <w:rsid w:val="0051297A"/>
    <w:rsid w:val="005129AA"/>
    <w:rsid w:val="005129F1"/>
    <w:rsid w:val="00512CCA"/>
    <w:rsid w:val="00512EDF"/>
    <w:rsid w:val="0051303D"/>
    <w:rsid w:val="005130B1"/>
    <w:rsid w:val="00513156"/>
    <w:rsid w:val="00513706"/>
    <w:rsid w:val="005139DC"/>
    <w:rsid w:val="00513BC3"/>
    <w:rsid w:val="00513D77"/>
    <w:rsid w:val="00513F00"/>
    <w:rsid w:val="005142CD"/>
    <w:rsid w:val="005143E0"/>
    <w:rsid w:val="00514411"/>
    <w:rsid w:val="00514709"/>
    <w:rsid w:val="0051473C"/>
    <w:rsid w:val="005147F9"/>
    <w:rsid w:val="0051493D"/>
    <w:rsid w:val="0051498D"/>
    <w:rsid w:val="00514B4A"/>
    <w:rsid w:val="00514CBA"/>
    <w:rsid w:val="00514F85"/>
    <w:rsid w:val="00515038"/>
    <w:rsid w:val="00515754"/>
    <w:rsid w:val="0051584F"/>
    <w:rsid w:val="00515B99"/>
    <w:rsid w:val="00515C2E"/>
    <w:rsid w:val="00515F51"/>
    <w:rsid w:val="00515FBD"/>
    <w:rsid w:val="005160A1"/>
    <w:rsid w:val="00516389"/>
    <w:rsid w:val="005164BB"/>
    <w:rsid w:val="00516786"/>
    <w:rsid w:val="005167D3"/>
    <w:rsid w:val="005169F9"/>
    <w:rsid w:val="00516A90"/>
    <w:rsid w:val="00516AF3"/>
    <w:rsid w:val="00516C70"/>
    <w:rsid w:val="00516D33"/>
    <w:rsid w:val="00516F8C"/>
    <w:rsid w:val="005171A4"/>
    <w:rsid w:val="0051772F"/>
    <w:rsid w:val="005177DD"/>
    <w:rsid w:val="00517850"/>
    <w:rsid w:val="005179BF"/>
    <w:rsid w:val="00517B07"/>
    <w:rsid w:val="00517FC5"/>
    <w:rsid w:val="00520199"/>
    <w:rsid w:val="00520247"/>
    <w:rsid w:val="005202CE"/>
    <w:rsid w:val="005202CF"/>
    <w:rsid w:val="005203AE"/>
    <w:rsid w:val="00520488"/>
    <w:rsid w:val="005207FA"/>
    <w:rsid w:val="005208F0"/>
    <w:rsid w:val="00520AA2"/>
    <w:rsid w:val="00520AE0"/>
    <w:rsid w:val="00520CFD"/>
    <w:rsid w:val="00520DD1"/>
    <w:rsid w:val="00521000"/>
    <w:rsid w:val="00521165"/>
    <w:rsid w:val="0052126D"/>
    <w:rsid w:val="005213D0"/>
    <w:rsid w:val="0052152A"/>
    <w:rsid w:val="005216D7"/>
    <w:rsid w:val="00521A9A"/>
    <w:rsid w:val="00522192"/>
    <w:rsid w:val="0052222B"/>
    <w:rsid w:val="0052225A"/>
    <w:rsid w:val="005224AF"/>
    <w:rsid w:val="00522B74"/>
    <w:rsid w:val="00522D25"/>
    <w:rsid w:val="005231C0"/>
    <w:rsid w:val="0052335A"/>
    <w:rsid w:val="00523634"/>
    <w:rsid w:val="0052375D"/>
    <w:rsid w:val="00523980"/>
    <w:rsid w:val="00523B3E"/>
    <w:rsid w:val="00523BC8"/>
    <w:rsid w:val="00523F16"/>
    <w:rsid w:val="0052400E"/>
    <w:rsid w:val="005244A8"/>
    <w:rsid w:val="0052456E"/>
    <w:rsid w:val="005247EF"/>
    <w:rsid w:val="005248B3"/>
    <w:rsid w:val="00524A78"/>
    <w:rsid w:val="00524B65"/>
    <w:rsid w:val="00524C40"/>
    <w:rsid w:val="00524CEC"/>
    <w:rsid w:val="00525294"/>
    <w:rsid w:val="005254B1"/>
    <w:rsid w:val="005255C6"/>
    <w:rsid w:val="005255E6"/>
    <w:rsid w:val="0052562C"/>
    <w:rsid w:val="00525751"/>
    <w:rsid w:val="005257AD"/>
    <w:rsid w:val="00525837"/>
    <w:rsid w:val="00525882"/>
    <w:rsid w:val="00525AF6"/>
    <w:rsid w:val="00526047"/>
    <w:rsid w:val="0052607C"/>
    <w:rsid w:val="0052621C"/>
    <w:rsid w:val="005262A6"/>
    <w:rsid w:val="005263C7"/>
    <w:rsid w:val="0052678B"/>
    <w:rsid w:val="00526B76"/>
    <w:rsid w:val="00526B9A"/>
    <w:rsid w:val="00526D32"/>
    <w:rsid w:val="00527561"/>
    <w:rsid w:val="00527BE6"/>
    <w:rsid w:val="00527CA5"/>
    <w:rsid w:val="00527F8E"/>
    <w:rsid w:val="00530139"/>
    <w:rsid w:val="00530142"/>
    <w:rsid w:val="0053031A"/>
    <w:rsid w:val="005306CF"/>
    <w:rsid w:val="005308CE"/>
    <w:rsid w:val="0053098A"/>
    <w:rsid w:val="00530BA0"/>
    <w:rsid w:val="00530DFB"/>
    <w:rsid w:val="00530F71"/>
    <w:rsid w:val="00530F77"/>
    <w:rsid w:val="00530FA7"/>
    <w:rsid w:val="005311FD"/>
    <w:rsid w:val="00531523"/>
    <w:rsid w:val="00531A02"/>
    <w:rsid w:val="00531BEC"/>
    <w:rsid w:val="00531C6D"/>
    <w:rsid w:val="00531CFD"/>
    <w:rsid w:val="00531F3C"/>
    <w:rsid w:val="00532426"/>
    <w:rsid w:val="005325FF"/>
    <w:rsid w:val="00532679"/>
    <w:rsid w:val="00532895"/>
    <w:rsid w:val="00532A59"/>
    <w:rsid w:val="00532D5C"/>
    <w:rsid w:val="00532EDE"/>
    <w:rsid w:val="00532F07"/>
    <w:rsid w:val="00532FA8"/>
    <w:rsid w:val="0053324F"/>
    <w:rsid w:val="0053356D"/>
    <w:rsid w:val="0053360D"/>
    <w:rsid w:val="0053367A"/>
    <w:rsid w:val="00533878"/>
    <w:rsid w:val="005338D1"/>
    <w:rsid w:val="005339E9"/>
    <w:rsid w:val="00533D03"/>
    <w:rsid w:val="00533E80"/>
    <w:rsid w:val="00533EB1"/>
    <w:rsid w:val="005341B9"/>
    <w:rsid w:val="005343BA"/>
    <w:rsid w:val="00534582"/>
    <w:rsid w:val="00534821"/>
    <w:rsid w:val="00534BD3"/>
    <w:rsid w:val="00534D1E"/>
    <w:rsid w:val="00534D75"/>
    <w:rsid w:val="00535024"/>
    <w:rsid w:val="0053502C"/>
    <w:rsid w:val="00535089"/>
    <w:rsid w:val="00535163"/>
    <w:rsid w:val="005353B7"/>
    <w:rsid w:val="00535470"/>
    <w:rsid w:val="00535613"/>
    <w:rsid w:val="00535624"/>
    <w:rsid w:val="00535912"/>
    <w:rsid w:val="0053593C"/>
    <w:rsid w:val="00535A56"/>
    <w:rsid w:val="00535B93"/>
    <w:rsid w:val="00535C48"/>
    <w:rsid w:val="00535DD7"/>
    <w:rsid w:val="00535FD8"/>
    <w:rsid w:val="00536234"/>
    <w:rsid w:val="005363D8"/>
    <w:rsid w:val="0053645F"/>
    <w:rsid w:val="00536765"/>
    <w:rsid w:val="0053692B"/>
    <w:rsid w:val="0053695A"/>
    <w:rsid w:val="00536B21"/>
    <w:rsid w:val="00536B30"/>
    <w:rsid w:val="00536BBB"/>
    <w:rsid w:val="00536CA7"/>
    <w:rsid w:val="00536EC8"/>
    <w:rsid w:val="005370D6"/>
    <w:rsid w:val="0053749C"/>
    <w:rsid w:val="005375AB"/>
    <w:rsid w:val="005375EB"/>
    <w:rsid w:val="005377B1"/>
    <w:rsid w:val="00537862"/>
    <w:rsid w:val="00537AB7"/>
    <w:rsid w:val="00537C57"/>
    <w:rsid w:val="00537CB9"/>
    <w:rsid w:val="00537F3A"/>
    <w:rsid w:val="0054036C"/>
    <w:rsid w:val="0054046A"/>
    <w:rsid w:val="00540786"/>
    <w:rsid w:val="005408E0"/>
    <w:rsid w:val="005408F9"/>
    <w:rsid w:val="00540900"/>
    <w:rsid w:val="00541331"/>
    <w:rsid w:val="0054142E"/>
    <w:rsid w:val="005419BD"/>
    <w:rsid w:val="00541AD7"/>
    <w:rsid w:val="00541D98"/>
    <w:rsid w:val="00541E28"/>
    <w:rsid w:val="0054205E"/>
    <w:rsid w:val="00542094"/>
    <w:rsid w:val="005421F6"/>
    <w:rsid w:val="00542484"/>
    <w:rsid w:val="00542487"/>
    <w:rsid w:val="00542874"/>
    <w:rsid w:val="00542CB6"/>
    <w:rsid w:val="00542F08"/>
    <w:rsid w:val="00542FAC"/>
    <w:rsid w:val="005431CB"/>
    <w:rsid w:val="0054342D"/>
    <w:rsid w:val="0054359B"/>
    <w:rsid w:val="0054371B"/>
    <w:rsid w:val="0054388B"/>
    <w:rsid w:val="00543985"/>
    <w:rsid w:val="00543AF5"/>
    <w:rsid w:val="005440FA"/>
    <w:rsid w:val="00544166"/>
    <w:rsid w:val="005441E0"/>
    <w:rsid w:val="005442C1"/>
    <w:rsid w:val="005443A1"/>
    <w:rsid w:val="005443BA"/>
    <w:rsid w:val="005443FD"/>
    <w:rsid w:val="005445B5"/>
    <w:rsid w:val="00544797"/>
    <w:rsid w:val="005450D0"/>
    <w:rsid w:val="005451DF"/>
    <w:rsid w:val="00545342"/>
    <w:rsid w:val="0054545D"/>
    <w:rsid w:val="00545716"/>
    <w:rsid w:val="0054575E"/>
    <w:rsid w:val="00545B53"/>
    <w:rsid w:val="00545B90"/>
    <w:rsid w:val="00545DC9"/>
    <w:rsid w:val="00546145"/>
    <w:rsid w:val="00546486"/>
    <w:rsid w:val="005464AB"/>
    <w:rsid w:val="00546640"/>
    <w:rsid w:val="005469BE"/>
    <w:rsid w:val="00546C42"/>
    <w:rsid w:val="00546D13"/>
    <w:rsid w:val="00546F35"/>
    <w:rsid w:val="00546FF1"/>
    <w:rsid w:val="00547194"/>
    <w:rsid w:val="005472E2"/>
    <w:rsid w:val="00547518"/>
    <w:rsid w:val="0054776D"/>
    <w:rsid w:val="0054785F"/>
    <w:rsid w:val="00547B04"/>
    <w:rsid w:val="00547BC0"/>
    <w:rsid w:val="00547D47"/>
    <w:rsid w:val="00550020"/>
    <w:rsid w:val="005501B9"/>
    <w:rsid w:val="005502F1"/>
    <w:rsid w:val="0055041D"/>
    <w:rsid w:val="00550458"/>
    <w:rsid w:val="00550519"/>
    <w:rsid w:val="005506DB"/>
    <w:rsid w:val="00550A83"/>
    <w:rsid w:val="00550BB3"/>
    <w:rsid w:val="00550D63"/>
    <w:rsid w:val="00550F00"/>
    <w:rsid w:val="00550F0C"/>
    <w:rsid w:val="00550FA7"/>
    <w:rsid w:val="00550FD1"/>
    <w:rsid w:val="00550FD6"/>
    <w:rsid w:val="00551348"/>
    <w:rsid w:val="00551736"/>
    <w:rsid w:val="00551775"/>
    <w:rsid w:val="005518E4"/>
    <w:rsid w:val="00551DE4"/>
    <w:rsid w:val="00552224"/>
    <w:rsid w:val="00552281"/>
    <w:rsid w:val="00552584"/>
    <w:rsid w:val="00552957"/>
    <w:rsid w:val="00552AB7"/>
    <w:rsid w:val="00552BAD"/>
    <w:rsid w:val="00552CF6"/>
    <w:rsid w:val="0055301B"/>
    <w:rsid w:val="00553096"/>
    <w:rsid w:val="0055326E"/>
    <w:rsid w:val="00553359"/>
    <w:rsid w:val="0055337E"/>
    <w:rsid w:val="005533C3"/>
    <w:rsid w:val="00553461"/>
    <w:rsid w:val="005536EF"/>
    <w:rsid w:val="005537AF"/>
    <w:rsid w:val="00553987"/>
    <w:rsid w:val="005539A4"/>
    <w:rsid w:val="00553B30"/>
    <w:rsid w:val="00553BAF"/>
    <w:rsid w:val="00553F04"/>
    <w:rsid w:val="0055418C"/>
    <w:rsid w:val="00554407"/>
    <w:rsid w:val="005545B9"/>
    <w:rsid w:val="005546E2"/>
    <w:rsid w:val="00554716"/>
    <w:rsid w:val="005547D7"/>
    <w:rsid w:val="00554968"/>
    <w:rsid w:val="00554BFE"/>
    <w:rsid w:val="00554C58"/>
    <w:rsid w:val="00554D65"/>
    <w:rsid w:val="00554E0B"/>
    <w:rsid w:val="00554FCE"/>
    <w:rsid w:val="00555002"/>
    <w:rsid w:val="005550AD"/>
    <w:rsid w:val="00555104"/>
    <w:rsid w:val="00555124"/>
    <w:rsid w:val="00555291"/>
    <w:rsid w:val="00555335"/>
    <w:rsid w:val="005553B8"/>
    <w:rsid w:val="00555640"/>
    <w:rsid w:val="005557A3"/>
    <w:rsid w:val="005558E9"/>
    <w:rsid w:val="00555AC0"/>
    <w:rsid w:val="00555AF9"/>
    <w:rsid w:val="00555E1B"/>
    <w:rsid w:val="005562E1"/>
    <w:rsid w:val="0055667D"/>
    <w:rsid w:val="00556850"/>
    <w:rsid w:val="00556A10"/>
    <w:rsid w:val="00556F22"/>
    <w:rsid w:val="00557089"/>
    <w:rsid w:val="0055726F"/>
    <w:rsid w:val="0055763E"/>
    <w:rsid w:val="0055773D"/>
    <w:rsid w:val="00557818"/>
    <w:rsid w:val="00557A74"/>
    <w:rsid w:val="00557C53"/>
    <w:rsid w:val="00557CC3"/>
    <w:rsid w:val="00557E33"/>
    <w:rsid w:val="0056007D"/>
    <w:rsid w:val="005600AF"/>
    <w:rsid w:val="005602AC"/>
    <w:rsid w:val="005605FA"/>
    <w:rsid w:val="0056069D"/>
    <w:rsid w:val="00560797"/>
    <w:rsid w:val="00560A33"/>
    <w:rsid w:val="00560AF2"/>
    <w:rsid w:val="00560E12"/>
    <w:rsid w:val="00561068"/>
    <w:rsid w:val="005611AB"/>
    <w:rsid w:val="005615BD"/>
    <w:rsid w:val="0056186B"/>
    <w:rsid w:val="005619C5"/>
    <w:rsid w:val="00561E99"/>
    <w:rsid w:val="00561ECC"/>
    <w:rsid w:val="00561F67"/>
    <w:rsid w:val="00562124"/>
    <w:rsid w:val="00562258"/>
    <w:rsid w:val="005622BE"/>
    <w:rsid w:val="0056251F"/>
    <w:rsid w:val="0056273D"/>
    <w:rsid w:val="00562779"/>
    <w:rsid w:val="00562CEA"/>
    <w:rsid w:val="00562F96"/>
    <w:rsid w:val="0056303C"/>
    <w:rsid w:val="00563454"/>
    <w:rsid w:val="0056388E"/>
    <w:rsid w:val="00563939"/>
    <w:rsid w:val="00563A53"/>
    <w:rsid w:val="00563B11"/>
    <w:rsid w:val="00563F14"/>
    <w:rsid w:val="00564030"/>
    <w:rsid w:val="00564154"/>
    <w:rsid w:val="005642E7"/>
    <w:rsid w:val="0056437B"/>
    <w:rsid w:val="00564746"/>
    <w:rsid w:val="00564A61"/>
    <w:rsid w:val="00564BB6"/>
    <w:rsid w:val="00564C1D"/>
    <w:rsid w:val="00564D4C"/>
    <w:rsid w:val="00564EB2"/>
    <w:rsid w:val="00564EBF"/>
    <w:rsid w:val="00565350"/>
    <w:rsid w:val="005654C4"/>
    <w:rsid w:val="00565641"/>
    <w:rsid w:val="00565673"/>
    <w:rsid w:val="00565706"/>
    <w:rsid w:val="005658EF"/>
    <w:rsid w:val="00565A7E"/>
    <w:rsid w:val="00565ED0"/>
    <w:rsid w:val="00565EDB"/>
    <w:rsid w:val="00565EE1"/>
    <w:rsid w:val="005662F9"/>
    <w:rsid w:val="00566531"/>
    <w:rsid w:val="005668BF"/>
    <w:rsid w:val="005668E0"/>
    <w:rsid w:val="00566CC7"/>
    <w:rsid w:val="00567199"/>
    <w:rsid w:val="005674CA"/>
    <w:rsid w:val="005677BA"/>
    <w:rsid w:val="00567B4F"/>
    <w:rsid w:val="00567B8A"/>
    <w:rsid w:val="00570088"/>
    <w:rsid w:val="00570241"/>
    <w:rsid w:val="005703AA"/>
    <w:rsid w:val="00570416"/>
    <w:rsid w:val="0057067E"/>
    <w:rsid w:val="00570769"/>
    <w:rsid w:val="00570846"/>
    <w:rsid w:val="00570A0D"/>
    <w:rsid w:val="00570A9F"/>
    <w:rsid w:val="00570B81"/>
    <w:rsid w:val="00570BEB"/>
    <w:rsid w:val="00570C80"/>
    <w:rsid w:val="00570C8D"/>
    <w:rsid w:val="00570CBD"/>
    <w:rsid w:val="00570D26"/>
    <w:rsid w:val="00570DB1"/>
    <w:rsid w:val="00570EA7"/>
    <w:rsid w:val="00570EF6"/>
    <w:rsid w:val="005712C2"/>
    <w:rsid w:val="0057145C"/>
    <w:rsid w:val="005715AD"/>
    <w:rsid w:val="005716C1"/>
    <w:rsid w:val="00571914"/>
    <w:rsid w:val="00571BDE"/>
    <w:rsid w:val="00571D35"/>
    <w:rsid w:val="00571F98"/>
    <w:rsid w:val="0057203A"/>
    <w:rsid w:val="00572045"/>
    <w:rsid w:val="00572523"/>
    <w:rsid w:val="00572ED2"/>
    <w:rsid w:val="0057308F"/>
    <w:rsid w:val="005730FB"/>
    <w:rsid w:val="005731C2"/>
    <w:rsid w:val="005732AA"/>
    <w:rsid w:val="00573ADF"/>
    <w:rsid w:val="00573E82"/>
    <w:rsid w:val="0057416C"/>
    <w:rsid w:val="00574352"/>
    <w:rsid w:val="00574357"/>
    <w:rsid w:val="005744DB"/>
    <w:rsid w:val="005745A8"/>
    <w:rsid w:val="00574DD5"/>
    <w:rsid w:val="00574F76"/>
    <w:rsid w:val="00575122"/>
    <w:rsid w:val="005751F5"/>
    <w:rsid w:val="005751FC"/>
    <w:rsid w:val="0057530B"/>
    <w:rsid w:val="00575312"/>
    <w:rsid w:val="00575590"/>
    <w:rsid w:val="00575936"/>
    <w:rsid w:val="00575A63"/>
    <w:rsid w:val="00575AE0"/>
    <w:rsid w:val="005761D3"/>
    <w:rsid w:val="005763BA"/>
    <w:rsid w:val="00576469"/>
    <w:rsid w:val="00576488"/>
    <w:rsid w:val="00576FB1"/>
    <w:rsid w:val="00577043"/>
    <w:rsid w:val="0057732B"/>
    <w:rsid w:val="005776AD"/>
    <w:rsid w:val="00577708"/>
    <w:rsid w:val="0057778B"/>
    <w:rsid w:val="005778D3"/>
    <w:rsid w:val="00577925"/>
    <w:rsid w:val="00577BC2"/>
    <w:rsid w:val="00577E02"/>
    <w:rsid w:val="00577E91"/>
    <w:rsid w:val="00577EFD"/>
    <w:rsid w:val="00580037"/>
    <w:rsid w:val="005800E5"/>
    <w:rsid w:val="00580286"/>
    <w:rsid w:val="0058060C"/>
    <w:rsid w:val="005806D2"/>
    <w:rsid w:val="00580887"/>
    <w:rsid w:val="0058096D"/>
    <w:rsid w:val="00580A22"/>
    <w:rsid w:val="00580C02"/>
    <w:rsid w:val="00580C10"/>
    <w:rsid w:val="00580C35"/>
    <w:rsid w:val="0058124C"/>
    <w:rsid w:val="00581352"/>
    <w:rsid w:val="0058140C"/>
    <w:rsid w:val="005814AB"/>
    <w:rsid w:val="0058161E"/>
    <w:rsid w:val="00581807"/>
    <w:rsid w:val="00581A3A"/>
    <w:rsid w:val="00581A61"/>
    <w:rsid w:val="00581B4D"/>
    <w:rsid w:val="00581B50"/>
    <w:rsid w:val="00581C44"/>
    <w:rsid w:val="00581CD4"/>
    <w:rsid w:val="00581D0A"/>
    <w:rsid w:val="00581ED7"/>
    <w:rsid w:val="00582055"/>
    <w:rsid w:val="00582233"/>
    <w:rsid w:val="0058242E"/>
    <w:rsid w:val="005825BE"/>
    <w:rsid w:val="00582734"/>
    <w:rsid w:val="00582C4C"/>
    <w:rsid w:val="00582FED"/>
    <w:rsid w:val="00583202"/>
    <w:rsid w:val="0058324C"/>
    <w:rsid w:val="00583585"/>
    <w:rsid w:val="00583587"/>
    <w:rsid w:val="00583A3E"/>
    <w:rsid w:val="00583B67"/>
    <w:rsid w:val="00583FDE"/>
    <w:rsid w:val="00584034"/>
    <w:rsid w:val="005842B9"/>
    <w:rsid w:val="005842CB"/>
    <w:rsid w:val="0058461A"/>
    <w:rsid w:val="005846FD"/>
    <w:rsid w:val="0058470A"/>
    <w:rsid w:val="005847D6"/>
    <w:rsid w:val="005849CD"/>
    <w:rsid w:val="00584B03"/>
    <w:rsid w:val="00584C6C"/>
    <w:rsid w:val="00585035"/>
    <w:rsid w:val="0058573D"/>
    <w:rsid w:val="00585AA6"/>
    <w:rsid w:val="00585AB9"/>
    <w:rsid w:val="00585B23"/>
    <w:rsid w:val="00585C61"/>
    <w:rsid w:val="00585D39"/>
    <w:rsid w:val="00585E61"/>
    <w:rsid w:val="005862B5"/>
    <w:rsid w:val="0058644D"/>
    <w:rsid w:val="0058648C"/>
    <w:rsid w:val="0058683B"/>
    <w:rsid w:val="00586A8D"/>
    <w:rsid w:val="00586BC6"/>
    <w:rsid w:val="00586DC0"/>
    <w:rsid w:val="0058700B"/>
    <w:rsid w:val="0058701D"/>
    <w:rsid w:val="005872F5"/>
    <w:rsid w:val="00587358"/>
    <w:rsid w:val="0058735E"/>
    <w:rsid w:val="0058764D"/>
    <w:rsid w:val="00587695"/>
    <w:rsid w:val="005876B9"/>
    <w:rsid w:val="00587D93"/>
    <w:rsid w:val="005901A5"/>
    <w:rsid w:val="00590454"/>
    <w:rsid w:val="005905E7"/>
    <w:rsid w:val="00590738"/>
    <w:rsid w:val="005907E9"/>
    <w:rsid w:val="0059080B"/>
    <w:rsid w:val="00590820"/>
    <w:rsid w:val="00590953"/>
    <w:rsid w:val="005909FB"/>
    <w:rsid w:val="005912A1"/>
    <w:rsid w:val="0059137B"/>
    <w:rsid w:val="0059138E"/>
    <w:rsid w:val="00591506"/>
    <w:rsid w:val="005916E1"/>
    <w:rsid w:val="00591901"/>
    <w:rsid w:val="00591F80"/>
    <w:rsid w:val="00591FBA"/>
    <w:rsid w:val="0059205D"/>
    <w:rsid w:val="005922CD"/>
    <w:rsid w:val="005922D5"/>
    <w:rsid w:val="0059241D"/>
    <w:rsid w:val="0059259F"/>
    <w:rsid w:val="005925B6"/>
    <w:rsid w:val="005927EF"/>
    <w:rsid w:val="00592A38"/>
    <w:rsid w:val="00592D10"/>
    <w:rsid w:val="00592EA6"/>
    <w:rsid w:val="0059321B"/>
    <w:rsid w:val="005936DA"/>
    <w:rsid w:val="005938FF"/>
    <w:rsid w:val="005939F2"/>
    <w:rsid w:val="00593AE3"/>
    <w:rsid w:val="00593D98"/>
    <w:rsid w:val="00594062"/>
    <w:rsid w:val="005940D3"/>
    <w:rsid w:val="00594491"/>
    <w:rsid w:val="005945BC"/>
    <w:rsid w:val="00594604"/>
    <w:rsid w:val="005946F1"/>
    <w:rsid w:val="00594814"/>
    <w:rsid w:val="00594D63"/>
    <w:rsid w:val="005950D8"/>
    <w:rsid w:val="00595199"/>
    <w:rsid w:val="00595378"/>
    <w:rsid w:val="00595550"/>
    <w:rsid w:val="00595683"/>
    <w:rsid w:val="00595696"/>
    <w:rsid w:val="00595709"/>
    <w:rsid w:val="0059573D"/>
    <w:rsid w:val="0059576A"/>
    <w:rsid w:val="0059598B"/>
    <w:rsid w:val="00595995"/>
    <w:rsid w:val="00595CDF"/>
    <w:rsid w:val="00595D3C"/>
    <w:rsid w:val="00595EA0"/>
    <w:rsid w:val="0059612B"/>
    <w:rsid w:val="0059646A"/>
    <w:rsid w:val="005969E9"/>
    <w:rsid w:val="00596BE6"/>
    <w:rsid w:val="00596C59"/>
    <w:rsid w:val="00596DC6"/>
    <w:rsid w:val="00596E69"/>
    <w:rsid w:val="00596E88"/>
    <w:rsid w:val="00596EED"/>
    <w:rsid w:val="005971B5"/>
    <w:rsid w:val="0059729A"/>
    <w:rsid w:val="00597418"/>
    <w:rsid w:val="00597609"/>
    <w:rsid w:val="00597862"/>
    <w:rsid w:val="00597996"/>
    <w:rsid w:val="00597A3D"/>
    <w:rsid w:val="00597C16"/>
    <w:rsid w:val="005A0002"/>
    <w:rsid w:val="005A02BE"/>
    <w:rsid w:val="005A081C"/>
    <w:rsid w:val="005A083A"/>
    <w:rsid w:val="005A0BAB"/>
    <w:rsid w:val="005A0C94"/>
    <w:rsid w:val="005A0CA3"/>
    <w:rsid w:val="005A0CCF"/>
    <w:rsid w:val="005A0D96"/>
    <w:rsid w:val="005A0DCC"/>
    <w:rsid w:val="005A0F28"/>
    <w:rsid w:val="005A0F36"/>
    <w:rsid w:val="005A12FE"/>
    <w:rsid w:val="005A13B8"/>
    <w:rsid w:val="005A18D2"/>
    <w:rsid w:val="005A195B"/>
    <w:rsid w:val="005A19CC"/>
    <w:rsid w:val="005A1A73"/>
    <w:rsid w:val="005A1B9F"/>
    <w:rsid w:val="005A1BA2"/>
    <w:rsid w:val="005A1C0D"/>
    <w:rsid w:val="005A1C64"/>
    <w:rsid w:val="005A1F19"/>
    <w:rsid w:val="005A2053"/>
    <w:rsid w:val="005A221B"/>
    <w:rsid w:val="005A22DC"/>
    <w:rsid w:val="005A26E2"/>
    <w:rsid w:val="005A2A45"/>
    <w:rsid w:val="005A2AB7"/>
    <w:rsid w:val="005A33C5"/>
    <w:rsid w:val="005A35EF"/>
    <w:rsid w:val="005A3623"/>
    <w:rsid w:val="005A3B9E"/>
    <w:rsid w:val="005A3D5E"/>
    <w:rsid w:val="005A3E2F"/>
    <w:rsid w:val="005A438D"/>
    <w:rsid w:val="005A4476"/>
    <w:rsid w:val="005A461F"/>
    <w:rsid w:val="005A4938"/>
    <w:rsid w:val="005A49B5"/>
    <w:rsid w:val="005A49D0"/>
    <w:rsid w:val="005A4A45"/>
    <w:rsid w:val="005A4C9F"/>
    <w:rsid w:val="005A5683"/>
    <w:rsid w:val="005A568F"/>
    <w:rsid w:val="005A599B"/>
    <w:rsid w:val="005A5E8B"/>
    <w:rsid w:val="005A5F77"/>
    <w:rsid w:val="005A615E"/>
    <w:rsid w:val="005A6403"/>
    <w:rsid w:val="005A6426"/>
    <w:rsid w:val="005A6627"/>
    <w:rsid w:val="005A66A4"/>
    <w:rsid w:val="005A6B45"/>
    <w:rsid w:val="005A6B52"/>
    <w:rsid w:val="005A6E3A"/>
    <w:rsid w:val="005A721F"/>
    <w:rsid w:val="005A72C4"/>
    <w:rsid w:val="005A7372"/>
    <w:rsid w:val="005A7525"/>
    <w:rsid w:val="005A7529"/>
    <w:rsid w:val="005A756C"/>
    <w:rsid w:val="005A77C7"/>
    <w:rsid w:val="005A79C0"/>
    <w:rsid w:val="005A7D2B"/>
    <w:rsid w:val="005A7EF8"/>
    <w:rsid w:val="005B0266"/>
    <w:rsid w:val="005B061C"/>
    <w:rsid w:val="005B0A37"/>
    <w:rsid w:val="005B0E07"/>
    <w:rsid w:val="005B0FC0"/>
    <w:rsid w:val="005B1115"/>
    <w:rsid w:val="005B12E7"/>
    <w:rsid w:val="005B1443"/>
    <w:rsid w:val="005B16F4"/>
    <w:rsid w:val="005B17BE"/>
    <w:rsid w:val="005B1926"/>
    <w:rsid w:val="005B1976"/>
    <w:rsid w:val="005B19BF"/>
    <w:rsid w:val="005B19EC"/>
    <w:rsid w:val="005B1B70"/>
    <w:rsid w:val="005B1FC0"/>
    <w:rsid w:val="005B25A7"/>
    <w:rsid w:val="005B265D"/>
    <w:rsid w:val="005B269C"/>
    <w:rsid w:val="005B2871"/>
    <w:rsid w:val="005B2AC3"/>
    <w:rsid w:val="005B2E4B"/>
    <w:rsid w:val="005B32CF"/>
    <w:rsid w:val="005B32D9"/>
    <w:rsid w:val="005B333C"/>
    <w:rsid w:val="005B3488"/>
    <w:rsid w:val="005B3542"/>
    <w:rsid w:val="005B35E2"/>
    <w:rsid w:val="005B36E7"/>
    <w:rsid w:val="005B36FB"/>
    <w:rsid w:val="005B3737"/>
    <w:rsid w:val="005B3753"/>
    <w:rsid w:val="005B3A62"/>
    <w:rsid w:val="005B3CCC"/>
    <w:rsid w:val="005B3CE2"/>
    <w:rsid w:val="005B3E24"/>
    <w:rsid w:val="005B404E"/>
    <w:rsid w:val="005B4086"/>
    <w:rsid w:val="005B408B"/>
    <w:rsid w:val="005B416D"/>
    <w:rsid w:val="005B42A5"/>
    <w:rsid w:val="005B47EF"/>
    <w:rsid w:val="005B4A26"/>
    <w:rsid w:val="005B4D5B"/>
    <w:rsid w:val="005B4F38"/>
    <w:rsid w:val="005B53CC"/>
    <w:rsid w:val="005B53EF"/>
    <w:rsid w:val="005B547B"/>
    <w:rsid w:val="005B55A5"/>
    <w:rsid w:val="005B595B"/>
    <w:rsid w:val="005B5A3C"/>
    <w:rsid w:val="005B5A8C"/>
    <w:rsid w:val="005B5B74"/>
    <w:rsid w:val="005B5F1C"/>
    <w:rsid w:val="005B62C9"/>
    <w:rsid w:val="005B640B"/>
    <w:rsid w:val="005B65FC"/>
    <w:rsid w:val="005B6C32"/>
    <w:rsid w:val="005B6CE8"/>
    <w:rsid w:val="005B6DCE"/>
    <w:rsid w:val="005B6FDA"/>
    <w:rsid w:val="005B70D6"/>
    <w:rsid w:val="005B724A"/>
    <w:rsid w:val="005B725B"/>
    <w:rsid w:val="005B7385"/>
    <w:rsid w:val="005B7A3C"/>
    <w:rsid w:val="005B7C3E"/>
    <w:rsid w:val="005B7CEF"/>
    <w:rsid w:val="005B7D46"/>
    <w:rsid w:val="005C0114"/>
    <w:rsid w:val="005C0148"/>
    <w:rsid w:val="005C015E"/>
    <w:rsid w:val="005C05FB"/>
    <w:rsid w:val="005C0656"/>
    <w:rsid w:val="005C06AB"/>
    <w:rsid w:val="005C0774"/>
    <w:rsid w:val="005C09E3"/>
    <w:rsid w:val="005C0B7C"/>
    <w:rsid w:val="005C0BE6"/>
    <w:rsid w:val="005C0ED0"/>
    <w:rsid w:val="005C0FE6"/>
    <w:rsid w:val="005C10D3"/>
    <w:rsid w:val="005C10E7"/>
    <w:rsid w:val="005C11FB"/>
    <w:rsid w:val="005C1468"/>
    <w:rsid w:val="005C1D4E"/>
    <w:rsid w:val="005C1E6A"/>
    <w:rsid w:val="005C20EE"/>
    <w:rsid w:val="005C2151"/>
    <w:rsid w:val="005C2376"/>
    <w:rsid w:val="005C260B"/>
    <w:rsid w:val="005C2828"/>
    <w:rsid w:val="005C2977"/>
    <w:rsid w:val="005C2A9D"/>
    <w:rsid w:val="005C2C0F"/>
    <w:rsid w:val="005C2F0B"/>
    <w:rsid w:val="005C36A5"/>
    <w:rsid w:val="005C3785"/>
    <w:rsid w:val="005C3C66"/>
    <w:rsid w:val="005C3CDD"/>
    <w:rsid w:val="005C40AC"/>
    <w:rsid w:val="005C412D"/>
    <w:rsid w:val="005C434B"/>
    <w:rsid w:val="005C45AC"/>
    <w:rsid w:val="005C47D4"/>
    <w:rsid w:val="005C5341"/>
    <w:rsid w:val="005C54F3"/>
    <w:rsid w:val="005C5560"/>
    <w:rsid w:val="005C5949"/>
    <w:rsid w:val="005C59B4"/>
    <w:rsid w:val="005C5BC1"/>
    <w:rsid w:val="005C5D82"/>
    <w:rsid w:val="005C5F07"/>
    <w:rsid w:val="005C62FD"/>
    <w:rsid w:val="005C6348"/>
    <w:rsid w:val="005C6418"/>
    <w:rsid w:val="005C6482"/>
    <w:rsid w:val="005C66D5"/>
    <w:rsid w:val="005C677D"/>
    <w:rsid w:val="005C6791"/>
    <w:rsid w:val="005C6837"/>
    <w:rsid w:val="005C685F"/>
    <w:rsid w:val="005C68DF"/>
    <w:rsid w:val="005C6A7C"/>
    <w:rsid w:val="005C6B5F"/>
    <w:rsid w:val="005C6CCD"/>
    <w:rsid w:val="005C6DDD"/>
    <w:rsid w:val="005C7079"/>
    <w:rsid w:val="005C74CE"/>
    <w:rsid w:val="005C75C4"/>
    <w:rsid w:val="005C780C"/>
    <w:rsid w:val="005C78C7"/>
    <w:rsid w:val="005C7AC1"/>
    <w:rsid w:val="005C7AD0"/>
    <w:rsid w:val="005C7BA9"/>
    <w:rsid w:val="005C7CEB"/>
    <w:rsid w:val="005D002A"/>
    <w:rsid w:val="005D0133"/>
    <w:rsid w:val="005D051F"/>
    <w:rsid w:val="005D06D4"/>
    <w:rsid w:val="005D06F1"/>
    <w:rsid w:val="005D08AE"/>
    <w:rsid w:val="005D0A0E"/>
    <w:rsid w:val="005D0C99"/>
    <w:rsid w:val="005D0DB9"/>
    <w:rsid w:val="005D0DCA"/>
    <w:rsid w:val="005D0F15"/>
    <w:rsid w:val="005D0FCF"/>
    <w:rsid w:val="005D10F1"/>
    <w:rsid w:val="005D12CB"/>
    <w:rsid w:val="005D1367"/>
    <w:rsid w:val="005D13A8"/>
    <w:rsid w:val="005D1636"/>
    <w:rsid w:val="005D1879"/>
    <w:rsid w:val="005D1BA8"/>
    <w:rsid w:val="005D1E1C"/>
    <w:rsid w:val="005D2185"/>
    <w:rsid w:val="005D2541"/>
    <w:rsid w:val="005D2876"/>
    <w:rsid w:val="005D2BBF"/>
    <w:rsid w:val="005D2E07"/>
    <w:rsid w:val="005D2EF7"/>
    <w:rsid w:val="005D304D"/>
    <w:rsid w:val="005D328D"/>
    <w:rsid w:val="005D3395"/>
    <w:rsid w:val="005D3527"/>
    <w:rsid w:val="005D3A0B"/>
    <w:rsid w:val="005D3C50"/>
    <w:rsid w:val="005D3C87"/>
    <w:rsid w:val="005D3C95"/>
    <w:rsid w:val="005D3E12"/>
    <w:rsid w:val="005D3E76"/>
    <w:rsid w:val="005D3EDB"/>
    <w:rsid w:val="005D45E6"/>
    <w:rsid w:val="005D45FC"/>
    <w:rsid w:val="005D46CB"/>
    <w:rsid w:val="005D475E"/>
    <w:rsid w:val="005D49B5"/>
    <w:rsid w:val="005D49D2"/>
    <w:rsid w:val="005D4A3D"/>
    <w:rsid w:val="005D4ADB"/>
    <w:rsid w:val="005D4AED"/>
    <w:rsid w:val="005D4BF9"/>
    <w:rsid w:val="005D5110"/>
    <w:rsid w:val="005D5227"/>
    <w:rsid w:val="005D5248"/>
    <w:rsid w:val="005D5937"/>
    <w:rsid w:val="005D5990"/>
    <w:rsid w:val="005D59DF"/>
    <w:rsid w:val="005D5BB9"/>
    <w:rsid w:val="005D5C8B"/>
    <w:rsid w:val="005D5DB0"/>
    <w:rsid w:val="005D5E57"/>
    <w:rsid w:val="005D5F03"/>
    <w:rsid w:val="005D5F67"/>
    <w:rsid w:val="005D5F77"/>
    <w:rsid w:val="005D64AE"/>
    <w:rsid w:val="005D656A"/>
    <w:rsid w:val="005D6C3F"/>
    <w:rsid w:val="005D6D5B"/>
    <w:rsid w:val="005D6DC8"/>
    <w:rsid w:val="005D6DE7"/>
    <w:rsid w:val="005D6FD5"/>
    <w:rsid w:val="005D7023"/>
    <w:rsid w:val="005D718C"/>
    <w:rsid w:val="005D7238"/>
    <w:rsid w:val="005D7486"/>
    <w:rsid w:val="005D74A5"/>
    <w:rsid w:val="005D75F9"/>
    <w:rsid w:val="005D77B0"/>
    <w:rsid w:val="005D7AA4"/>
    <w:rsid w:val="005D7BBF"/>
    <w:rsid w:val="005D7CE5"/>
    <w:rsid w:val="005D7D8E"/>
    <w:rsid w:val="005D7F10"/>
    <w:rsid w:val="005E002D"/>
    <w:rsid w:val="005E01D5"/>
    <w:rsid w:val="005E0486"/>
    <w:rsid w:val="005E04BA"/>
    <w:rsid w:val="005E04DC"/>
    <w:rsid w:val="005E069C"/>
    <w:rsid w:val="005E06A4"/>
    <w:rsid w:val="005E06E2"/>
    <w:rsid w:val="005E0EBA"/>
    <w:rsid w:val="005E0F92"/>
    <w:rsid w:val="005E10C1"/>
    <w:rsid w:val="005E12B0"/>
    <w:rsid w:val="005E1470"/>
    <w:rsid w:val="005E14DC"/>
    <w:rsid w:val="005E1503"/>
    <w:rsid w:val="005E1611"/>
    <w:rsid w:val="005E184A"/>
    <w:rsid w:val="005E1C92"/>
    <w:rsid w:val="005E1EF9"/>
    <w:rsid w:val="005E210A"/>
    <w:rsid w:val="005E2172"/>
    <w:rsid w:val="005E2225"/>
    <w:rsid w:val="005E222E"/>
    <w:rsid w:val="005E23E0"/>
    <w:rsid w:val="005E244E"/>
    <w:rsid w:val="005E26C2"/>
    <w:rsid w:val="005E2AB4"/>
    <w:rsid w:val="005E2AC3"/>
    <w:rsid w:val="005E2BFF"/>
    <w:rsid w:val="005E2E30"/>
    <w:rsid w:val="005E2FC6"/>
    <w:rsid w:val="005E3010"/>
    <w:rsid w:val="005E32C1"/>
    <w:rsid w:val="005E38E1"/>
    <w:rsid w:val="005E391A"/>
    <w:rsid w:val="005E3A3C"/>
    <w:rsid w:val="005E3AB8"/>
    <w:rsid w:val="005E3B0D"/>
    <w:rsid w:val="005E40E9"/>
    <w:rsid w:val="005E41B5"/>
    <w:rsid w:val="005E4317"/>
    <w:rsid w:val="005E45B3"/>
    <w:rsid w:val="005E46A0"/>
    <w:rsid w:val="005E4847"/>
    <w:rsid w:val="005E4B75"/>
    <w:rsid w:val="005E5369"/>
    <w:rsid w:val="005E5A05"/>
    <w:rsid w:val="005E5B18"/>
    <w:rsid w:val="005E5DBC"/>
    <w:rsid w:val="005E5FD8"/>
    <w:rsid w:val="005E64D8"/>
    <w:rsid w:val="005E674C"/>
    <w:rsid w:val="005E691B"/>
    <w:rsid w:val="005E69CF"/>
    <w:rsid w:val="005E6A2F"/>
    <w:rsid w:val="005E6B62"/>
    <w:rsid w:val="005E6BBF"/>
    <w:rsid w:val="005E6C9E"/>
    <w:rsid w:val="005E6E89"/>
    <w:rsid w:val="005E6ED2"/>
    <w:rsid w:val="005E7233"/>
    <w:rsid w:val="005E7783"/>
    <w:rsid w:val="005E799F"/>
    <w:rsid w:val="005E7AE7"/>
    <w:rsid w:val="005E7B4B"/>
    <w:rsid w:val="005F00B8"/>
    <w:rsid w:val="005F0117"/>
    <w:rsid w:val="005F0120"/>
    <w:rsid w:val="005F0205"/>
    <w:rsid w:val="005F0314"/>
    <w:rsid w:val="005F036E"/>
    <w:rsid w:val="005F03B0"/>
    <w:rsid w:val="005F045E"/>
    <w:rsid w:val="005F06F1"/>
    <w:rsid w:val="005F0738"/>
    <w:rsid w:val="005F0760"/>
    <w:rsid w:val="005F0A5B"/>
    <w:rsid w:val="005F0B14"/>
    <w:rsid w:val="005F0BAE"/>
    <w:rsid w:val="005F0FD7"/>
    <w:rsid w:val="005F11DA"/>
    <w:rsid w:val="005F1322"/>
    <w:rsid w:val="005F17AC"/>
    <w:rsid w:val="005F19B3"/>
    <w:rsid w:val="005F1A5D"/>
    <w:rsid w:val="005F1AB9"/>
    <w:rsid w:val="005F1FB8"/>
    <w:rsid w:val="005F2010"/>
    <w:rsid w:val="005F21E3"/>
    <w:rsid w:val="005F21EF"/>
    <w:rsid w:val="005F22CD"/>
    <w:rsid w:val="005F28FB"/>
    <w:rsid w:val="005F299E"/>
    <w:rsid w:val="005F2A5B"/>
    <w:rsid w:val="005F2D61"/>
    <w:rsid w:val="005F2DD9"/>
    <w:rsid w:val="005F2DF5"/>
    <w:rsid w:val="005F352E"/>
    <w:rsid w:val="005F3584"/>
    <w:rsid w:val="005F3822"/>
    <w:rsid w:val="005F3A54"/>
    <w:rsid w:val="005F3C78"/>
    <w:rsid w:val="005F41B2"/>
    <w:rsid w:val="005F4237"/>
    <w:rsid w:val="005F437B"/>
    <w:rsid w:val="005F450D"/>
    <w:rsid w:val="005F4612"/>
    <w:rsid w:val="005F4B00"/>
    <w:rsid w:val="005F4D8F"/>
    <w:rsid w:val="005F4F4A"/>
    <w:rsid w:val="005F5035"/>
    <w:rsid w:val="005F51EE"/>
    <w:rsid w:val="005F579E"/>
    <w:rsid w:val="005F5AA5"/>
    <w:rsid w:val="005F5F1B"/>
    <w:rsid w:val="005F61C6"/>
    <w:rsid w:val="005F637E"/>
    <w:rsid w:val="005F6395"/>
    <w:rsid w:val="005F6A53"/>
    <w:rsid w:val="005F6B10"/>
    <w:rsid w:val="005F6E41"/>
    <w:rsid w:val="005F6FBB"/>
    <w:rsid w:val="005F7325"/>
    <w:rsid w:val="005F7332"/>
    <w:rsid w:val="005F78F3"/>
    <w:rsid w:val="005F798B"/>
    <w:rsid w:val="005F7DB0"/>
    <w:rsid w:val="006000A2"/>
    <w:rsid w:val="006001BC"/>
    <w:rsid w:val="0060030F"/>
    <w:rsid w:val="006003A7"/>
    <w:rsid w:val="0060045D"/>
    <w:rsid w:val="006006EB"/>
    <w:rsid w:val="00600A8F"/>
    <w:rsid w:val="00600CCF"/>
    <w:rsid w:val="00600D35"/>
    <w:rsid w:val="00600D7E"/>
    <w:rsid w:val="0060164F"/>
    <w:rsid w:val="00601668"/>
    <w:rsid w:val="0060169C"/>
    <w:rsid w:val="00601867"/>
    <w:rsid w:val="0060188F"/>
    <w:rsid w:val="00601912"/>
    <w:rsid w:val="00601AEB"/>
    <w:rsid w:val="00601C5B"/>
    <w:rsid w:val="00601DB1"/>
    <w:rsid w:val="00602067"/>
    <w:rsid w:val="00602299"/>
    <w:rsid w:val="006023E4"/>
    <w:rsid w:val="00602437"/>
    <w:rsid w:val="006025B7"/>
    <w:rsid w:val="0060267D"/>
    <w:rsid w:val="0060270A"/>
    <w:rsid w:val="00602954"/>
    <w:rsid w:val="00602A18"/>
    <w:rsid w:val="00602C59"/>
    <w:rsid w:val="00602F50"/>
    <w:rsid w:val="00602FD7"/>
    <w:rsid w:val="00603126"/>
    <w:rsid w:val="00603243"/>
    <w:rsid w:val="006037AB"/>
    <w:rsid w:val="006037F6"/>
    <w:rsid w:val="00603990"/>
    <w:rsid w:val="00603A82"/>
    <w:rsid w:val="00603E81"/>
    <w:rsid w:val="006041A7"/>
    <w:rsid w:val="0060434F"/>
    <w:rsid w:val="006043FD"/>
    <w:rsid w:val="0060444D"/>
    <w:rsid w:val="00604474"/>
    <w:rsid w:val="0060450C"/>
    <w:rsid w:val="00604624"/>
    <w:rsid w:val="0060477B"/>
    <w:rsid w:val="0060494B"/>
    <w:rsid w:val="00604CC8"/>
    <w:rsid w:val="0060514A"/>
    <w:rsid w:val="006053B4"/>
    <w:rsid w:val="0060542F"/>
    <w:rsid w:val="00605A36"/>
    <w:rsid w:val="00605A49"/>
    <w:rsid w:val="00605BB1"/>
    <w:rsid w:val="00605BC5"/>
    <w:rsid w:val="00605C1C"/>
    <w:rsid w:val="00605C71"/>
    <w:rsid w:val="00605FAD"/>
    <w:rsid w:val="006061A6"/>
    <w:rsid w:val="006061A9"/>
    <w:rsid w:val="006067E0"/>
    <w:rsid w:val="00606B0D"/>
    <w:rsid w:val="00606C46"/>
    <w:rsid w:val="00606E22"/>
    <w:rsid w:val="00606E6B"/>
    <w:rsid w:val="00606EBA"/>
    <w:rsid w:val="00606EFD"/>
    <w:rsid w:val="00607019"/>
    <w:rsid w:val="0060743C"/>
    <w:rsid w:val="0060745D"/>
    <w:rsid w:val="00607601"/>
    <w:rsid w:val="00607ACE"/>
    <w:rsid w:val="00607B0D"/>
    <w:rsid w:val="00607BA8"/>
    <w:rsid w:val="00607C76"/>
    <w:rsid w:val="00607F94"/>
    <w:rsid w:val="00610302"/>
    <w:rsid w:val="0061049E"/>
    <w:rsid w:val="00610555"/>
    <w:rsid w:val="006105F2"/>
    <w:rsid w:val="0061066F"/>
    <w:rsid w:val="00610790"/>
    <w:rsid w:val="0061095E"/>
    <w:rsid w:val="00610A41"/>
    <w:rsid w:val="00610AF4"/>
    <w:rsid w:val="00610E72"/>
    <w:rsid w:val="00610E82"/>
    <w:rsid w:val="0061123B"/>
    <w:rsid w:val="0061149D"/>
    <w:rsid w:val="00611A68"/>
    <w:rsid w:val="00611C23"/>
    <w:rsid w:val="00611C75"/>
    <w:rsid w:val="00611F32"/>
    <w:rsid w:val="00612288"/>
    <w:rsid w:val="00612772"/>
    <w:rsid w:val="00612917"/>
    <w:rsid w:val="00612A99"/>
    <w:rsid w:val="00612CE4"/>
    <w:rsid w:val="00613114"/>
    <w:rsid w:val="00613288"/>
    <w:rsid w:val="0061374E"/>
    <w:rsid w:val="0061379A"/>
    <w:rsid w:val="006137B2"/>
    <w:rsid w:val="00613964"/>
    <w:rsid w:val="00613B89"/>
    <w:rsid w:val="00613F94"/>
    <w:rsid w:val="006143CA"/>
    <w:rsid w:val="00614862"/>
    <w:rsid w:val="006148AE"/>
    <w:rsid w:val="00614A17"/>
    <w:rsid w:val="00614DFE"/>
    <w:rsid w:val="00614EA4"/>
    <w:rsid w:val="00614F49"/>
    <w:rsid w:val="0061528A"/>
    <w:rsid w:val="006152C9"/>
    <w:rsid w:val="0061532C"/>
    <w:rsid w:val="0061591F"/>
    <w:rsid w:val="00615AAC"/>
    <w:rsid w:val="0061611B"/>
    <w:rsid w:val="006163D7"/>
    <w:rsid w:val="00616713"/>
    <w:rsid w:val="00616737"/>
    <w:rsid w:val="0061675E"/>
    <w:rsid w:val="0061677B"/>
    <w:rsid w:val="006168D6"/>
    <w:rsid w:val="00616E4D"/>
    <w:rsid w:val="006172B2"/>
    <w:rsid w:val="00617480"/>
    <w:rsid w:val="00617481"/>
    <w:rsid w:val="00617585"/>
    <w:rsid w:val="006176B8"/>
    <w:rsid w:val="00617856"/>
    <w:rsid w:val="00617B29"/>
    <w:rsid w:val="00617D6D"/>
    <w:rsid w:val="006202E7"/>
    <w:rsid w:val="00620350"/>
    <w:rsid w:val="00620351"/>
    <w:rsid w:val="0062062B"/>
    <w:rsid w:val="00620811"/>
    <w:rsid w:val="00620964"/>
    <w:rsid w:val="00620A37"/>
    <w:rsid w:val="00620ACD"/>
    <w:rsid w:val="00620D6C"/>
    <w:rsid w:val="00620E57"/>
    <w:rsid w:val="00621515"/>
    <w:rsid w:val="0062166E"/>
    <w:rsid w:val="006216C1"/>
    <w:rsid w:val="006219DA"/>
    <w:rsid w:val="00621BC6"/>
    <w:rsid w:val="00621FA2"/>
    <w:rsid w:val="00622054"/>
    <w:rsid w:val="006220F6"/>
    <w:rsid w:val="00622244"/>
    <w:rsid w:val="006222E1"/>
    <w:rsid w:val="0062239F"/>
    <w:rsid w:val="006223F3"/>
    <w:rsid w:val="006228D1"/>
    <w:rsid w:val="00622B28"/>
    <w:rsid w:val="00622CF6"/>
    <w:rsid w:val="00622E86"/>
    <w:rsid w:val="00623383"/>
    <w:rsid w:val="00623404"/>
    <w:rsid w:val="006234FB"/>
    <w:rsid w:val="00623A27"/>
    <w:rsid w:val="00623ACC"/>
    <w:rsid w:val="00623D37"/>
    <w:rsid w:val="00623DC2"/>
    <w:rsid w:val="00623E5D"/>
    <w:rsid w:val="00624024"/>
    <w:rsid w:val="006241DE"/>
    <w:rsid w:val="0062453F"/>
    <w:rsid w:val="0062469D"/>
    <w:rsid w:val="00624809"/>
    <w:rsid w:val="0062482F"/>
    <w:rsid w:val="006249C5"/>
    <w:rsid w:val="00624B60"/>
    <w:rsid w:val="00624E2C"/>
    <w:rsid w:val="00624E5C"/>
    <w:rsid w:val="00625003"/>
    <w:rsid w:val="00625104"/>
    <w:rsid w:val="00625240"/>
    <w:rsid w:val="006254C1"/>
    <w:rsid w:val="00625AD3"/>
    <w:rsid w:val="00625B4E"/>
    <w:rsid w:val="00625CC7"/>
    <w:rsid w:val="00625D31"/>
    <w:rsid w:val="00625FB3"/>
    <w:rsid w:val="006261F8"/>
    <w:rsid w:val="0062659E"/>
    <w:rsid w:val="00626771"/>
    <w:rsid w:val="006268C7"/>
    <w:rsid w:val="00626A48"/>
    <w:rsid w:val="00626BAC"/>
    <w:rsid w:val="00627498"/>
    <w:rsid w:val="00627518"/>
    <w:rsid w:val="00627603"/>
    <w:rsid w:val="006277E0"/>
    <w:rsid w:val="00627BE3"/>
    <w:rsid w:val="00627C0E"/>
    <w:rsid w:val="00627CBA"/>
    <w:rsid w:val="00627DCF"/>
    <w:rsid w:val="00627F30"/>
    <w:rsid w:val="00627F71"/>
    <w:rsid w:val="0062DB16"/>
    <w:rsid w:val="00630163"/>
    <w:rsid w:val="0063028D"/>
    <w:rsid w:val="00630290"/>
    <w:rsid w:val="006303BA"/>
    <w:rsid w:val="0063071D"/>
    <w:rsid w:val="00630CA2"/>
    <w:rsid w:val="00630D4F"/>
    <w:rsid w:val="006312A3"/>
    <w:rsid w:val="00631767"/>
    <w:rsid w:val="0063190F"/>
    <w:rsid w:val="00631957"/>
    <w:rsid w:val="00631A0A"/>
    <w:rsid w:val="00631A42"/>
    <w:rsid w:val="00631B82"/>
    <w:rsid w:val="00631FD2"/>
    <w:rsid w:val="0063219A"/>
    <w:rsid w:val="006322A9"/>
    <w:rsid w:val="00632568"/>
    <w:rsid w:val="006329C8"/>
    <w:rsid w:val="00632BE5"/>
    <w:rsid w:val="00632D4B"/>
    <w:rsid w:val="0063311F"/>
    <w:rsid w:val="006333BC"/>
    <w:rsid w:val="0063365F"/>
    <w:rsid w:val="0063373E"/>
    <w:rsid w:val="006338AE"/>
    <w:rsid w:val="00633CEE"/>
    <w:rsid w:val="00633F07"/>
    <w:rsid w:val="006340A7"/>
    <w:rsid w:val="0063423C"/>
    <w:rsid w:val="006342A3"/>
    <w:rsid w:val="006343CF"/>
    <w:rsid w:val="00634421"/>
    <w:rsid w:val="006345B5"/>
    <w:rsid w:val="006348BC"/>
    <w:rsid w:val="006348F7"/>
    <w:rsid w:val="00634BEE"/>
    <w:rsid w:val="00634C62"/>
    <w:rsid w:val="00634D5F"/>
    <w:rsid w:val="00635244"/>
    <w:rsid w:val="00635262"/>
    <w:rsid w:val="006356B3"/>
    <w:rsid w:val="006358E1"/>
    <w:rsid w:val="006359A8"/>
    <w:rsid w:val="00635FC8"/>
    <w:rsid w:val="0063604D"/>
    <w:rsid w:val="00636054"/>
    <w:rsid w:val="00636393"/>
    <w:rsid w:val="00636688"/>
    <w:rsid w:val="006367DC"/>
    <w:rsid w:val="0063690D"/>
    <w:rsid w:val="006369C5"/>
    <w:rsid w:val="00636B1E"/>
    <w:rsid w:val="00636B60"/>
    <w:rsid w:val="00636D26"/>
    <w:rsid w:val="0063700E"/>
    <w:rsid w:val="006373A9"/>
    <w:rsid w:val="00637449"/>
    <w:rsid w:val="00637484"/>
    <w:rsid w:val="006377C5"/>
    <w:rsid w:val="006378F4"/>
    <w:rsid w:val="00637905"/>
    <w:rsid w:val="00637F16"/>
    <w:rsid w:val="00640167"/>
    <w:rsid w:val="00640175"/>
    <w:rsid w:val="0064020D"/>
    <w:rsid w:val="006404E7"/>
    <w:rsid w:val="0064059A"/>
    <w:rsid w:val="00640A47"/>
    <w:rsid w:val="00640BD3"/>
    <w:rsid w:val="00640C85"/>
    <w:rsid w:val="00640E5E"/>
    <w:rsid w:val="006410F4"/>
    <w:rsid w:val="00641155"/>
    <w:rsid w:val="0064142D"/>
    <w:rsid w:val="0064170B"/>
    <w:rsid w:val="0064170F"/>
    <w:rsid w:val="00641A4B"/>
    <w:rsid w:val="00642382"/>
    <w:rsid w:val="006424F6"/>
    <w:rsid w:val="006427CB"/>
    <w:rsid w:val="00642A68"/>
    <w:rsid w:val="00642BEB"/>
    <w:rsid w:val="00642E5D"/>
    <w:rsid w:val="00642F58"/>
    <w:rsid w:val="006431B7"/>
    <w:rsid w:val="0064335B"/>
    <w:rsid w:val="00643456"/>
    <w:rsid w:val="00643522"/>
    <w:rsid w:val="006436DF"/>
    <w:rsid w:val="006437B7"/>
    <w:rsid w:val="00643936"/>
    <w:rsid w:val="006439CB"/>
    <w:rsid w:val="00643A0B"/>
    <w:rsid w:val="00643A1F"/>
    <w:rsid w:val="00643A5E"/>
    <w:rsid w:val="00643C08"/>
    <w:rsid w:val="00643DD2"/>
    <w:rsid w:val="0064408E"/>
    <w:rsid w:val="006443D3"/>
    <w:rsid w:val="0064483E"/>
    <w:rsid w:val="006448CD"/>
    <w:rsid w:val="00644B7A"/>
    <w:rsid w:val="00644BC4"/>
    <w:rsid w:val="00644C85"/>
    <w:rsid w:val="00644D54"/>
    <w:rsid w:val="00644FB3"/>
    <w:rsid w:val="0064532A"/>
    <w:rsid w:val="006453AF"/>
    <w:rsid w:val="00645C5F"/>
    <w:rsid w:val="00645FD1"/>
    <w:rsid w:val="00646069"/>
    <w:rsid w:val="006461F9"/>
    <w:rsid w:val="00646441"/>
    <w:rsid w:val="00646457"/>
    <w:rsid w:val="00646985"/>
    <w:rsid w:val="00646B1A"/>
    <w:rsid w:val="00646C92"/>
    <w:rsid w:val="00646CC3"/>
    <w:rsid w:val="00646D67"/>
    <w:rsid w:val="00647209"/>
    <w:rsid w:val="006472DF"/>
    <w:rsid w:val="006474FE"/>
    <w:rsid w:val="006475F5"/>
    <w:rsid w:val="00647698"/>
    <w:rsid w:val="006478ED"/>
    <w:rsid w:val="00647AB1"/>
    <w:rsid w:val="00647AD5"/>
    <w:rsid w:val="00650262"/>
    <w:rsid w:val="006503B5"/>
    <w:rsid w:val="006505F1"/>
    <w:rsid w:val="00650655"/>
    <w:rsid w:val="00650B01"/>
    <w:rsid w:val="00650CEC"/>
    <w:rsid w:val="0065111F"/>
    <w:rsid w:val="006513B0"/>
    <w:rsid w:val="006518B5"/>
    <w:rsid w:val="00651925"/>
    <w:rsid w:val="00651DC7"/>
    <w:rsid w:val="00651EE2"/>
    <w:rsid w:val="00651FD2"/>
    <w:rsid w:val="0065204A"/>
    <w:rsid w:val="00652079"/>
    <w:rsid w:val="006522BE"/>
    <w:rsid w:val="0065233C"/>
    <w:rsid w:val="006523BF"/>
    <w:rsid w:val="006527F8"/>
    <w:rsid w:val="00652860"/>
    <w:rsid w:val="006529AB"/>
    <w:rsid w:val="00652A8C"/>
    <w:rsid w:val="0065304B"/>
    <w:rsid w:val="00653248"/>
    <w:rsid w:val="00653888"/>
    <w:rsid w:val="0065398E"/>
    <w:rsid w:val="00653B13"/>
    <w:rsid w:val="00653DC9"/>
    <w:rsid w:val="00653DE9"/>
    <w:rsid w:val="00653F81"/>
    <w:rsid w:val="00654155"/>
    <w:rsid w:val="0065429A"/>
    <w:rsid w:val="006542FC"/>
    <w:rsid w:val="006544D4"/>
    <w:rsid w:val="0065456C"/>
    <w:rsid w:val="006546D3"/>
    <w:rsid w:val="00654971"/>
    <w:rsid w:val="006550B4"/>
    <w:rsid w:val="00655110"/>
    <w:rsid w:val="006552FE"/>
    <w:rsid w:val="00655779"/>
    <w:rsid w:val="006557F9"/>
    <w:rsid w:val="006558D1"/>
    <w:rsid w:val="006560AB"/>
    <w:rsid w:val="006561DF"/>
    <w:rsid w:val="006561E1"/>
    <w:rsid w:val="00656B22"/>
    <w:rsid w:val="00656B50"/>
    <w:rsid w:val="006570A2"/>
    <w:rsid w:val="006570FD"/>
    <w:rsid w:val="00657328"/>
    <w:rsid w:val="0065741D"/>
    <w:rsid w:val="006575A4"/>
    <w:rsid w:val="0065776A"/>
    <w:rsid w:val="00657A2E"/>
    <w:rsid w:val="00657ADD"/>
    <w:rsid w:val="00657DC9"/>
    <w:rsid w:val="006601D6"/>
    <w:rsid w:val="006602FE"/>
    <w:rsid w:val="00660325"/>
    <w:rsid w:val="006609AB"/>
    <w:rsid w:val="00660C11"/>
    <w:rsid w:val="006612E0"/>
    <w:rsid w:val="0066145C"/>
    <w:rsid w:val="0066160B"/>
    <w:rsid w:val="00661820"/>
    <w:rsid w:val="006618E9"/>
    <w:rsid w:val="00661993"/>
    <w:rsid w:val="00661AAD"/>
    <w:rsid w:val="00661B4A"/>
    <w:rsid w:val="00661BDB"/>
    <w:rsid w:val="00661D40"/>
    <w:rsid w:val="00661DDE"/>
    <w:rsid w:val="00661E81"/>
    <w:rsid w:val="00661FC9"/>
    <w:rsid w:val="0066239B"/>
    <w:rsid w:val="006624F7"/>
    <w:rsid w:val="006626E4"/>
    <w:rsid w:val="00662B79"/>
    <w:rsid w:val="00662BDE"/>
    <w:rsid w:val="00662D30"/>
    <w:rsid w:val="00662EA2"/>
    <w:rsid w:val="00663001"/>
    <w:rsid w:val="006631F5"/>
    <w:rsid w:val="00663362"/>
    <w:rsid w:val="006638E2"/>
    <w:rsid w:val="00663D7B"/>
    <w:rsid w:val="00663DC8"/>
    <w:rsid w:val="00663F2E"/>
    <w:rsid w:val="006642A7"/>
    <w:rsid w:val="006642D5"/>
    <w:rsid w:val="006644B5"/>
    <w:rsid w:val="00664767"/>
    <w:rsid w:val="00664A5A"/>
    <w:rsid w:val="00664C37"/>
    <w:rsid w:val="00664C49"/>
    <w:rsid w:val="00664D4D"/>
    <w:rsid w:val="00665230"/>
    <w:rsid w:val="006652BB"/>
    <w:rsid w:val="00665386"/>
    <w:rsid w:val="00665526"/>
    <w:rsid w:val="00665A74"/>
    <w:rsid w:val="00665BF7"/>
    <w:rsid w:val="00666278"/>
    <w:rsid w:val="00666279"/>
    <w:rsid w:val="00666302"/>
    <w:rsid w:val="00666393"/>
    <w:rsid w:val="006663D8"/>
    <w:rsid w:val="00666570"/>
    <w:rsid w:val="006666BD"/>
    <w:rsid w:val="00666766"/>
    <w:rsid w:val="006669E6"/>
    <w:rsid w:val="00666B4C"/>
    <w:rsid w:val="00666D6C"/>
    <w:rsid w:val="00666ED3"/>
    <w:rsid w:val="00666F9E"/>
    <w:rsid w:val="0066711A"/>
    <w:rsid w:val="00667666"/>
    <w:rsid w:val="00667787"/>
    <w:rsid w:val="00667990"/>
    <w:rsid w:val="00667AC9"/>
    <w:rsid w:val="00667BAC"/>
    <w:rsid w:val="00667CDC"/>
    <w:rsid w:val="00667F6F"/>
    <w:rsid w:val="00670519"/>
    <w:rsid w:val="006707B7"/>
    <w:rsid w:val="0067084E"/>
    <w:rsid w:val="00670C0A"/>
    <w:rsid w:val="00670E91"/>
    <w:rsid w:val="006710F3"/>
    <w:rsid w:val="0067131F"/>
    <w:rsid w:val="006716FE"/>
    <w:rsid w:val="00671930"/>
    <w:rsid w:val="00671AB6"/>
    <w:rsid w:val="00671B14"/>
    <w:rsid w:val="00671DDF"/>
    <w:rsid w:val="00671EB0"/>
    <w:rsid w:val="0067204F"/>
    <w:rsid w:val="006721EE"/>
    <w:rsid w:val="00672306"/>
    <w:rsid w:val="0067263E"/>
    <w:rsid w:val="0067270A"/>
    <w:rsid w:val="00672871"/>
    <w:rsid w:val="00672D45"/>
    <w:rsid w:val="0067317F"/>
    <w:rsid w:val="0067324F"/>
    <w:rsid w:val="00673662"/>
    <w:rsid w:val="00673845"/>
    <w:rsid w:val="0067399B"/>
    <w:rsid w:val="00673B4A"/>
    <w:rsid w:val="00673D45"/>
    <w:rsid w:val="00673E06"/>
    <w:rsid w:val="00674335"/>
    <w:rsid w:val="0067462E"/>
    <w:rsid w:val="006746C9"/>
    <w:rsid w:val="00674894"/>
    <w:rsid w:val="00674A37"/>
    <w:rsid w:val="00674B5A"/>
    <w:rsid w:val="00674BBA"/>
    <w:rsid w:val="00674D00"/>
    <w:rsid w:val="00674DCC"/>
    <w:rsid w:val="006751E4"/>
    <w:rsid w:val="00675273"/>
    <w:rsid w:val="006753C5"/>
    <w:rsid w:val="006754FC"/>
    <w:rsid w:val="0067573F"/>
    <w:rsid w:val="00675855"/>
    <w:rsid w:val="006759B9"/>
    <w:rsid w:val="00675A26"/>
    <w:rsid w:val="00675B5F"/>
    <w:rsid w:val="00675C11"/>
    <w:rsid w:val="00676082"/>
    <w:rsid w:val="006760F5"/>
    <w:rsid w:val="00676145"/>
    <w:rsid w:val="00676255"/>
    <w:rsid w:val="0067636A"/>
    <w:rsid w:val="00676411"/>
    <w:rsid w:val="0067654E"/>
    <w:rsid w:val="006766F3"/>
    <w:rsid w:val="0067692B"/>
    <w:rsid w:val="0067695F"/>
    <w:rsid w:val="00676E85"/>
    <w:rsid w:val="006770E5"/>
    <w:rsid w:val="006773DD"/>
    <w:rsid w:val="006776E0"/>
    <w:rsid w:val="0067776F"/>
    <w:rsid w:val="00677E96"/>
    <w:rsid w:val="00680371"/>
    <w:rsid w:val="006808F4"/>
    <w:rsid w:val="006809B9"/>
    <w:rsid w:val="00680EC8"/>
    <w:rsid w:val="00681607"/>
    <w:rsid w:val="00681648"/>
    <w:rsid w:val="00681851"/>
    <w:rsid w:val="00681AE3"/>
    <w:rsid w:val="00681B7B"/>
    <w:rsid w:val="00681C42"/>
    <w:rsid w:val="00681DE8"/>
    <w:rsid w:val="00681E63"/>
    <w:rsid w:val="00681E8F"/>
    <w:rsid w:val="00681F26"/>
    <w:rsid w:val="00682589"/>
    <w:rsid w:val="0068295C"/>
    <w:rsid w:val="00682C7F"/>
    <w:rsid w:val="00682D49"/>
    <w:rsid w:val="00682D97"/>
    <w:rsid w:val="00682E60"/>
    <w:rsid w:val="006835BF"/>
    <w:rsid w:val="0068368B"/>
    <w:rsid w:val="006836BC"/>
    <w:rsid w:val="00683742"/>
    <w:rsid w:val="00683795"/>
    <w:rsid w:val="006837BB"/>
    <w:rsid w:val="00683849"/>
    <w:rsid w:val="0068392B"/>
    <w:rsid w:val="00683ADA"/>
    <w:rsid w:val="00683B40"/>
    <w:rsid w:val="00683EDD"/>
    <w:rsid w:val="00683F08"/>
    <w:rsid w:val="00683F7C"/>
    <w:rsid w:val="00684070"/>
    <w:rsid w:val="00684111"/>
    <w:rsid w:val="00684123"/>
    <w:rsid w:val="006841D7"/>
    <w:rsid w:val="00684329"/>
    <w:rsid w:val="0068432D"/>
    <w:rsid w:val="006843DE"/>
    <w:rsid w:val="006844FE"/>
    <w:rsid w:val="0068482C"/>
    <w:rsid w:val="00684C76"/>
    <w:rsid w:val="00684C99"/>
    <w:rsid w:val="00684EA0"/>
    <w:rsid w:val="00685082"/>
    <w:rsid w:val="0068509D"/>
    <w:rsid w:val="0068517E"/>
    <w:rsid w:val="006852FC"/>
    <w:rsid w:val="006855E4"/>
    <w:rsid w:val="0068563A"/>
    <w:rsid w:val="00685742"/>
    <w:rsid w:val="006857A9"/>
    <w:rsid w:val="00685935"/>
    <w:rsid w:val="00685A06"/>
    <w:rsid w:val="00685A1B"/>
    <w:rsid w:val="00685C39"/>
    <w:rsid w:val="00685E54"/>
    <w:rsid w:val="00685F7F"/>
    <w:rsid w:val="00686114"/>
    <w:rsid w:val="00686360"/>
    <w:rsid w:val="006863CF"/>
    <w:rsid w:val="0068646A"/>
    <w:rsid w:val="0068679A"/>
    <w:rsid w:val="00686912"/>
    <w:rsid w:val="00686BB4"/>
    <w:rsid w:val="0068727A"/>
    <w:rsid w:val="006872F1"/>
    <w:rsid w:val="006874FF"/>
    <w:rsid w:val="00687ACC"/>
    <w:rsid w:val="00687B0E"/>
    <w:rsid w:val="00687BC8"/>
    <w:rsid w:val="00687C65"/>
    <w:rsid w:val="00687F5C"/>
    <w:rsid w:val="00690003"/>
    <w:rsid w:val="0069019F"/>
    <w:rsid w:val="006901A7"/>
    <w:rsid w:val="0069028F"/>
    <w:rsid w:val="00690521"/>
    <w:rsid w:val="0069062B"/>
    <w:rsid w:val="00690875"/>
    <w:rsid w:val="006909B1"/>
    <w:rsid w:val="00690D31"/>
    <w:rsid w:val="00690D94"/>
    <w:rsid w:val="00690E4F"/>
    <w:rsid w:val="00690E56"/>
    <w:rsid w:val="00690F15"/>
    <w:rsid w:val="00690F57"/>
    <w:rsid w:val="00690FBE"/>
    <w:rsid w:val="0069104C"/>
    <w:rsid w:val="006912FC"/>
    <w:rsid w:val="006913F1"/>
    <w:rsid w:val="0069145D"/>
    <w:rsid w:val="006914AA"/>
    <w:rsid w:val="0069156B"/>
    <w:rsid w:val="006916D6"/>
    <w:rsid w:val="00691859"/>
    <w:rsid w:val="00691954"/>
    <w:rsid w:val="00691CA8"/>
    <w:rsid w:val="00691D34"/>
    <w:rsid w:val="00691D7E"/>
    <w:rsid w:val="00691E54"/>
    <w:rsid w:val="00691E5C"/>
    <w:rsid w:val="006924CC"/>
    <w:rsid w:val="006924EE"/>
    <w:rsid w:val="006927AC"/>
    <w:rsid w:val="006927C4"/>
    <w:rsid w:val="00692D03"/>
    <w:rsid w:val="006934EE"/>
    <w:rsid w:val="00693923"/>
    <w:rsid w:val="00693D5A"/>
    <w:rsid w:val="00693E58"/>
    <w:rsid w:val="0069426D"/>
    <w:rsid w:val="006942CA"/>
    <w:rsid w:val="006943BB"/>
    <w:rsid w:val="0069461F"/>
    <w:rsid w:val="006946C3"/>
    <w:rsid w:val="006947DD"/>
    <w:rsid w:val="006949C3"/>
    <w:rsid w:val="00694A5C"/>
    <w:rsid w:val="00695643"/>
    <w:rsid w:val="006956B1"/>
    <w:rsid w:val="006957B2"/>
    <w:rsid w:val="00695B76"/>
    <w:rsid w:val="00695B8A"/>
    <w:rsid w:val="00695E88"/>
    <w:rsid w:val="00695F97"/>
    <w:rsid w:val="00696197"/>
    <w:rsid w:val="0069666E"/>
    <w:rsid w:val="006967F5"/>
    <w:rsid w:val="006968F7"/>
    <w:rsid w:val="00696D79"/>
    <w:rsid w:val="00696E67"/>
    <w:rsid w:val="006971BE"/>
    <w:rsid w:val="00697460"/>
    <w:rsid w:val="00697519"/>
    <w:rsid w:val="006978FF"/>
    <w:rsid w:val="00697971"/>
    <w:rsid w:val="00697A11"/>
    <w:rsid w:val="00697A60"/>
    <w:rsid w:val="00697C7B"/>
    <w:rsid w:val="00697D62"/>
    <w:rsid w:val="00697F35"/>
    <w:rsid w:val="006A001C"/>
    <w:rsid w:val="006A0245"/>
    <w:rsid w:val="006A03AF"/>
    <w:rsid w:val="006A049E"/>
    <w:rsid w:val="006A06F9"/>
    <w:rsid w:val="006A0771"/>
    <w:rsid w:val="006A0C76"/>
    <w:rsid w:val="006A0C7D"/>
    <w:rsid w:val="006A0D56"/>
    <w:rsid w:val="006A0E14"/>
    <w:rsid w:val="006A1038"/>
    <w:rsid w:val="006A1066"/>
    <w:rsid w:val="006A130A"/>
    <w:rsid w:val="006A1367"/>
    <w:rsid w:val="006A13AE"/>
    <w:rsid w:val="006A147C"/>
    <w:rsid w:val="006A156D"/>
    <w:rsid w:val="006A1605"/>
    <w:rsid w:val="006A1730"/>
    <w:rsid w:val="006A1B41"/>
    <w:rsid w:val="006A1F38"/>
    <w:rsid w:val="006A20A3"/>
    <w:rsid w:val="006A22C4"/>
    <w:rsid w:val="006A22D3"/>
    <w:rsid w:val="006A2D0B"/>
    <w:rsid w:val="006A2D4C"/>
    <w:rsid w:val="006A2E26"/>
    <w:rsid w:val="006A3141"/>
    <w:rsid w:val="006A3279"/>
    <w:rsid w:val="006A340B"/>
    <w:rsid w:val="006A3891"/>
    <w:rsid w:val="006A3899"/>
    <w:rsid w:val="006A3946"/>
    <w:rsid w:val="006A3A0C"/>
    <w:rsid w:val="006A3D58"/>
    <w:rsid w:val="006A3E98"/>
    <w:rsid w:val="006A3FA1"/>
    <w:rsid w:val="006A41E6"/>
    <w:rsid w:val="006A4383"/>
    <w:rsid w:val="006A449D"/>
    <w:rsid w:val="006A48D7"/>
    <w:rsid w:val="006A4975"/>
    <w:rsid w:val="006A497F"/>
    <w:rsid w:val="006A4A58"/>
    <w:rsid w:val="006A4B2D"/>
    <w:rsid w:val="006A4C6C"/>
    <w:rsid w:val="006A4CB4"/>
    <w:rsid w:val="006A55AE"/>
    <w:rsid w:val="006A57AC"/>
    <w:rsid w:val="006A5863"/>
    <w:rsid w:val="006A58B2"/>
    <w:rsid w:val="006A58DE"/>
    <w:rsid w:val="006A5C66"/>
    <w:rsid w:val="006A5CB4"/>
    <w:rsid w:val="006A5FAE"/>
    <w:rsid w:val="006A60C6"/>
    <w:rsid w:val="006A61D9"/>
    <w:rsid w:val="006A63DA"/>
    <w:rsid w:val="006A64F8"/>
    <w:rsid w:val="006A67FB"/>
    <w:rsid w:val="006A697F"/>
    <w:rsid w:val="006A6B9F"/>
    <w:rsid w:val="006A6DEF"/>
    <w:rsid w:val="006A6F29"/>
    <w:rsid w:val="006A7278"/>
    <w:rsid w:val="006A72F9"/>
    <w:rsid w:val="006A7357"/>
    <w:rsid w:val="006A7445"/>
    <w:rsid w:val="006A7914"/>
    <w:rsid w:val="006A7A81"/>
    <w:rsid w:val="006A7B54"/>
    <w:rsid w:val="006A7C0A"/>
    <w:rsid w:val="006A7D11"/>
    <w:rsid w:val="006A7F22"/>
    <w:rsid w:val="006A7FC3"/>
    <w:rsid w:val="006B0051"/>
    <w:rsid w:val="006B01CC"/>
    <w:rsid w:val="006B04AB"/>
    <w:rsid w:val="006B0605"/>
    <w:rsid w:val="006B06A4"/>
    <w:rsid w:val="006B07EA"/>
    <w:rsid w:val="006B08F4"/>
    <w:rsid w:val="006B0B9E"/>
    <w:rsid w:val="006B0BD2"/>
    <w:rsid w:val="006B0C34"/>
    <w:rsid w:val="006B0CC0"/>
    <w:rsid w:val="006B0D9B"/>
    <w:rsid w:val="006B0E44"/>
    <w:rsid w:val="006B0FF8"/>
    <w:rsid w:val="006B1172"/>
    <w:rsid w:val="006B1203"/>
    <w:rsid w:val="006B1444"/>
    <w:rsid w:val="006B15DF"/>
    <w:rsid w:val="006B185D"/>
    <w:rsid w:val="006B19D7"/>
    <w:rsid w:val="006B1B11"/>
    <w:rsid w:val="006B1C64"/>
    <w:rsid w:val="006B1FA4"/>
    <w:rsid w:val="006B1FCB"/>
    <w:rsid w:val="006B201D"/>
    <w:rsid w:val="006B20E0"/>
    <w:rsid w:val="006B22C5"/>
    <w:rsid w:val="006B2415"/>
    <w:rsid w:val="006B24A2"/>
    <w:rsid w:val="006B25AD"/>
    <w:rsid w:val="006B28FA"/>
    <w:rsid w:val="006B2940"/>
    <w:rsid w:val="006B297A"/>
    <w:rsid w:val="006B2C5B"/>
    <w:rsid w:val="006B2C65"/>
    <w:rsid w:val="006B2D36"/>
    <w:rsid w:val="006B2D78"/>
    <w:rsid w:val="006B2DD5"/>
    <w:rsid w:val="006B2E3B"/>
    <w:rsid w:val="006B2F71"/>
    <w:rsid w:val="006B2FBD"/>
    <w:rsid w:val="006B3140"/>
    <w:rsid w:val="006B32D6"/>
    <w:rsid w:val="006B33A1"/>
    <w:rsid w:val="006B3687"/>
    <w:rsid w:val="006B383F"/>
    <w:rsid w:val="006B393B"/>
    <w:rsid w:val="006B3A3F"/>
    <w:rsid w:val="006B3D65"/>
    <w:rsid w:val="006B473C"/>
    <w:rsid w:val="006B4802"/>
    <w:rsid w:val="006B491D"/>
    <w:rsid w:val="006B4A76"/>
    <w:rsid w:val="006B4CBD"/>
    <w:rsid w:val="006B4D60"/>
    <w:rsid w:val="006B4E30"/>
    <w:rsid w:val="006B4F5A"/>
    <w:rsid w:val="006B4F73"/>
    <w:rsid w:val="006B51AE"/>
    <w:rsid w:val="006B5430"/>
    <w:rsid w:val="006B5573"/>
    <w:rsid w:val="006B55EE"/>
    <w:rsid w:val="006B585E"/>
    <w:rsid w:val="006B59C7"/>
    <w:rsid w:val="006B5D6F"/>
    <w:rsid w:val="006B629F"/>
    <w:rsid w:val="006B645C"/>
    <w:rsid w:val="006B66E4"/>
    <w:rsid w:val="006B67CA"/>
    <w:rsid w:val="006B67DA"/>
    <w:rsid w:val="006B6823"/>
    <w:rsid w:val="006B68DA"/>
    <w:rsid w:val="006B68F0"/>
    <w:rsid w:val="006B6A26"/>
    <w:rsid w:val="006B6C02"/>
    <w:rsid w:val="006B6C48"/>
    <w:rsid w:val="006B6E37"/>
    <w:rsid w:val="006B6E71"/>
    <w:rsid w:val="006B7016"/>
    <w:rsid w:val="006B7141"/>
    <w:rsid w:val="006B73D2"/>
    <w:rsid w:val="006B7619"/>
    <w:rsid w:val="006B7680"/>
    <w:rsid w:val="006B7A69"/>
    <w:rsid w:val="006B7CEF"/>
    <w:rsid w:val="006B7E97"/>
    <w:rsid w:val="006C017F"/>
    <w:rsid w:val="006C028F"/>
    <w:rsid w:val="006C03F0"/>
    <w:rsid w:val="006C0435"/>
    <w:rsid w:val="006C0694"/>
    <w:rsid w:val="006C07C5"/>
    <w:rsid w:val="006C087F"/>
    <w:rsid w:val="006C0929"/>
    <w:rsid w:val="006C09B9"/>
    <w:rsid w:val="006C0AB0"/>
    <w:rsid w:val="006C0C35"/>
    <w:rsid w:val="006C10E1"/>
    <w:rsid w:val="006C134C"/>
    <w:rsid w:val="006C1467"/>
    <w:rsid w:val="006C15BD"/>
    <w:rsid w:val="006C17E2"/>
    <w:rsid w:val="006C1C99"/>
    <w:rsid w:val="006C1D1F"/>
    <w:rsid w:val="006C1DBF"/>
    <w:rsid w:val="006C2131"/>
    <w:rsid w:val="006C22F7"/>
    <w:rsid w:val="006C2308"/>
    <w:rsid w:val="006C230E"/>
    <w:rsid w:val="006C26FB"/>
    <w:rsid w:val="006C2DB0"/>
    <w:rsid w:val="006C2DEE"/>
    <w:rsid w:val="006C30D3"/>
    <w:rsid w:val="006C33C1"/>
    <w:rsid w:val="006C3B2C"/>
    <w:rsid w:val="006C3B41"/>
    <w:rsid w:val="006C3CA9"/>
    <w:rsid w:val="006C3EFA"/>
    <w:rsid w:val="006C4031"/>
    <w:rsid w:val="006C41B6"/>
    <w:rsid w:val="006C4293"/>
    <w:rsid w:val="006C44A3"/>
    <w:rsid w:val="006C44CC"/>
    <w:rsid w:val="006C46DD"/>
    <w:rsid w:val="006C47AF"/>
    <w:rsid w:val="006C4A85"/>
    <w:rsid w:val="006C4BC2"/>
    <w:rsid w:val="006C4C02"/>
    <w:rsid w:val="006C4E41"/>
    <w:rsid w:val="006C50B1"/>
    <w:rsid w:val="006C5101"/>
    <w:rsid w:val="006C52A3"/>
    <w:rsid w:val="006C52CB"/>
    <w:rsid w:val="006C52DE"/>
    <w:rsid w:val="006C5372"/>
    <w:rsid w:val="006C5537"/>
    <w:rsid w:val="006C56BE"/>
    <w:rsid w:val="006C578D"/>
    <w:rsid w:val="006C5856"/>
    <w:rsid w:val="006C59B1"/>
    <w:rsid w:val="006C59E0"/>
    <w:rsid w:val="006C5B3F"/>
    <w:rsid w:val="006C5D0A"/>
    <w:rsid w:val="006C5F2E"/>
    <w:rsid w:val="006C6191"/>
    <w:rsid w:val="006C680E"/>
    <w:rsid w:val="006C69DE"/>
    <w:rsid w:val="006C6F11"/>
    <w:rsid w:val="006C718E"/>
    <w:rsid w:val="006C72B1"/>
    <w:rsid w:val="006C72CC"/>
    <w:rsid w:val="006C7642"/>
    <w:rsid w:val="006C78D6"/>
    <w:rsid w:val="006C7D6D"/>
    <w:rsid w:val="006C7D9F"/>
    <w:rsid w:val="006C7EC5"/>
    <w:rsid w:val="006D0475"/>
    <w:rsid w:val="006D0845"/>
    <w:rsid w:val="006D085C"/>
    <w:rsid w:val="006D0881"/>
    <w:rsid w:val="006D08D8"/>
    <w:rsid w:val="006D0AD2"/>
    <w:rsid w:val="006D0B36"/>
    <w:rsid w:val="006D11A9"/>
    <w:rsid w:val="006D1201"/>
    <w:rsid w:val="006D146A"/>
    <w:rsid w:val="006D1676"/>
    <w:rsid w:val="006D1678"/>
    <w:rsid w:val="006D1A7B"/>
    <w:rsid w:val="006D1C96"/>
    <w:rsid w:val="006D1D43"/>
    <w:rsid w:val="006D1D96"/>
    <w:rsid w:val="006D200D"/>
    <w:rsid w:val="006D243D"/>
    <w:rsid w:val="006D2896"/>
    <w:rsid w:val="006D29D9"/>
    <w:rsid w:val="006D2F6C"/>
    <w:rsid w:val="006D30DD"/>
    <w:rsid w:val="006D3485"/>
    <w:rsid w:val="006D3657"/>
    <w:rsid w:val="006D368D"/>
    <w:rsid w:val="006D36AC"/>
    <w:rsid w:val="006D37F6"/>
    <w:rsid w:val="006D385A"/>
    <w:rsid w:val="006D39FE"/>
    <w:rsid w:val="006D3B19"/>
    <w:rsid w:val="006D3C11"/>
    <w:rsid w:val="006D3E7F"/>
    <w:rsid w:val="006D3F44"/>
    <w:rsid w:val="006D4082"/>
    <w:rsid w:val="006D41FA"/>
    <w:rsid w:val="006D44BF"/>
    <w:rsid w:val="006D4532"/>
    <w:rsid w:val="006D476D"/>
    <w:rsid w:val="006D4DD1"/>
    <w:rsid w:val="006D4F4F"/>
    <w:rsid w:val="006D4FD3"/>
    <w:rsid w:val="006D50A1"/>
    <w:rsid w:val="006D50FB"/>
    <w:rsid w:val="006D53FF"/>
    <w:rsid w:val="006D58B6"/>
    <w:rsid w:val="006D58CF"/>
    <w:rsid w:val="006D5A1A"/>
    <w:rsid w:val="006D5AAB"/>
    <w:rsid w:val="006D5CD8"/>
    <w:rsid w:val="006D5DF6"/>
    <w:rsid w:val="006D618A"/>
    <w:rsid w:val="006D6390"/>
    <w:rsid w:val="006D63CB"/>
    <w:rsid w:val="006D655D"/>
    <w:rsid w:val="006D6BCA"/>
    <w:rsid w:val="006D6E3F"/>
    <w:rsid w:val="006D715B"/>
    <w:rsid w:val="006D72F8"/>
    <w:rsid w:val="006D7441"/>
    <w:rsid w:val="006D74F1"/>
    <w:rsid w:val="006D7565"/>
    <w:rsid w:val="006D7569"/>
    <w:rsid w:val="006D7636"/>
    <w:rsid w:val="006D763D"/>
    <w:rsid w:val="006D76EC"/>
    <w:rsid w:val="006D7850"/>
    <w:rsid w:val="006D7903"/>
    <w:rsid w:val="006D7C2C"/>
    <w:rsid w:val="006D7C70"/>
    <w:rsid w:val="006D7D2C"/>
    <w:rsid w:val="006E0169"/>
    <w:rsid w:val="006E0554"/>
    <w:rsid w:val="006E0BE4"/>
    <w:rsid w:val="006E14BC"/>
    <w:rsid w:val="006E1786"/>
    <w:rsid w:val="006E1B7A"/>
    <w:rsid w:val="006E1DE4"/>
    <w:rsid w:val="006E1F42"/>
    <w:rsid w:val="006E1F97"/>
    <w:rsid w:val="006E20EB"/>
    <w:rsid w:val="006E2432"/>
    <w:rsid w:val="006E2447"/>
    <w:rsid w:val="006E250B"/>
    <w:rsid w:val="006E26E4"/>
    <w:rsid w:val="006E2E1C"/>
    <w:rsid w:val="006E301A"/>
    <w:rsid w:val="006E30F9"/>
    <w:rsid w:val="006E3451"/>
    <w:rsid w:val="006E3563"/>
    <w:rsid w:val="006E36BB"/>
    <w:rsid w:val="006E3721"/>
    <w:rsid w:val="006E38BC"/>
    <w:rsid w:val="006E393D"/>
    <w:rsid w:val="006E396F"/>
    <w:rsid w:val="006E3D00"/>
    <w:rsid w:val="006E3D76"/>
    <w:rsid w:val="006E3E74"/>
    <w:rsid w:val="006E4321"/>
    <w:rsid w:val="006E4461"/>
    <w:rsid w:val="006E460B"/>
    <w:rsid w:val="006E4927"/>
    <w:rsid w:val="006E4955"/>
    <w:rsid w:val="006E49BD"/>
    <w:rsid w:val="006E4A50"/>
    <w:rsid w:val="006E4C56"/>
    <w:rsid w:val="006E4E70"/>
    <w:rsid w:val="006E4EA7"/>
    <w:rsid w:val="006E53E6"/>
    <w:rsid w:val="006E545D"/>
    <w:rsid w:val="006E54E0"/>
    <w:rsid w:val="006E573D"/>
    <w:rsid w:val="006E5B6A"/>
    <w:rsid w:val="006E61A0"/>
    <w:rsid w:val="006E61C4"/>
    <w:rsid w:val="006E634A"/>
    <w:rsid w:val="006E6C27"/>
    <w:rsid w:val="006E6D7F"/>
    <w:rsid w:val="006E6E51"/>
    <w:rsid w:val="006E6E6B"/>
    <w:rsid w:val="006E6F02"/>
    <w:rsid w:val="006E6FF6"/>
    <w:rsid w:val="006E7397"/>
    <w:rsid w:val="006E73E3"/>
    <w:rsid w:val="006E78F9"/>
    <w:rsid w:val="006E7B55"/>
    <w:rsid w:val="006E7F80"/>
    <w:rsid w:val="006F00FA"/>
    <w:rsid w:val="006F0216"/>
    <w:rsid w:val="006F023B"/>
    <w:rsid w:val="006F04C2"/>
    <w:rsid w:val="006F0927"/>
    <w:rsid w:val="006F0948"/>
    <w:rsid w:val="006F0C35"/>
    <w:rsid w:val="006F0ED3"/>
    <w:rsid w:val="006F12CA"/>
    <w:rsid w:val="006F1546"/>
    <w:rsid w:val="006F15A0"/>
    <w:rsid w:val="006F169E"/>
    <w:rsid w:val="006F16AA"/>
    <w:rsid w:val="006F1815"/>
    <w:rsid w:val="006F18EA"/>
    <w:rsid w:val="006F19A2"/>
    <w:rsid w:val="006F1A1B"/>
    <w:rsid w:val="006F1AC4"/>
    <w:rsid w:val="006F1E2A"/>
    <w:rsid w:val="006F20DE"/>
    <w:rsid w:val="006F22C7"/>
    <w:rsid w:val="006F26A8"/>
    <w:rsid w:val="006F26B8"/>
    <w:rsid w:val="006F2812"/>
    <w:rsid w:val="006F2896"/>
    <w:rsid w:val="006F2899"/>
    <w:rsid w:val="006F2992"/>
    <w:rsid w:val="006F29D5"/>
    <w:rsid w:val="006F2AA8"/>
    <w:rsid w:val="006F2AE8"/>
    <w:rsid w:val="006F2FF7"/>
    <w:rsid w:val="006F301A"/>
    <w:rsid w:val="006F3276"/>
    <w:rsid w:val="006F3498"/>
    <w:rsid w:val="006F34D8"/>
    <w:rsid w:val="006F363E"/>
    <w:rsid w:val="006F3932"/>
    <w:rsid w:val="006F3C68"/>
    <w:rsid w:val="006F3DD9"/>
    <w:rsid w:val="006F400F"/>
    <w:rsid w:val="006F42FC"/>
    <w:rsid w:val="006F45BB"/>
    <w:rsid w:val="006F45DE"/>
    <w:rsid w:val="006F47D6"/>
    <w:rsid w:val="006F4BF8"/>
    <w:rsid w:val="006F4CEB"/>
    <w:rsid w:val="006F4D42"/>
    <w:rsid w:val="006F4F96"/>
    <w:rsid w:val="006F51CB"/>
    <w:rsid w:val="006F51FF"/>
    <w:rsid w:val="006F5393"/>
    <w:rsid w:val="006F5482"/>
    <w:rsid w:val="006F5547"/>
    <w:rsid w:val="006F5680"/>
    <w:rsid w:val="006F58DC"/>
    <w:rsid w:val="006F592A"/>
    <w:rsid w:val="006F5E3F"/>
    <w:rsid w:val="006F5E98"/>
    <w:rsid w:val="006F5E9B"/>
    <w:rsid w:val="006F6215"/>
    <w:rsid w:val="006F6295"/>
    <w:rsid w:val="006F7587"/>
    <w:rsid w:val="006F763F"/>
    <w:rsid w:val="006F7672"/>
    <w:rsid w:val="006F7B98"/>
    <w:rsid w:val="007001A9"/>
    <w:rsid w:val="007005F1"/>
    <w:rsid w:val="00700694"/>
    <w:rsid w:val="007007FB"/>
    <w:rsid w:val="0070088F"/>
    <w:rsid w:val="00700AAD"/>
    <w:rsid w:val="007011D2"/>
    <w:rsid w:val="0070128F"/>
    <w:rsid w:val="007013C1"/>
    <w:rsid w:val="007013C5"/>
    <w:rsid w:val="00701484"/>
    <w:rsid w:val="00701500"/>
    <w:rsid w:val="007016C6"/>
    <w:rsid w:val="00701732"/>
    <w:rsid w:val="00701AB8"/>
    <w:rsid w:val="00701B70"/>
    <w:rsid w:val="00701FAF"/>
    <w:rsid w:val="00702179"/>
    <w:rsid w:val="007022B5"/>
    <w:rsid w:val="00702391"/>
    <w:rsid w:val="00702827"/>
    <w:rsid w:val="007029D1"/>
    <w:rsid w:val="00702BE0"/>
    <w:rsid w:val="00702C67"/>
    <w:rsid w:val="00702D29"/>
    <w:rsid w:val="00702DDC"/>
    <w:rsid w:val="00702DE9"/>
    <w:rsid w:val="00703418"/>
    <w:rsid w:val="00703582"/>
    <w:rsid w:val="0070387A"/>
    <w:rsid w:val="00703AA4"/>
    <w:rsid w:val="00703F2F"/>
    <w:rsid w:val="007040B9"/>
    <w:rsid w:val="007041F3"/>
    <w:rsid w:val="00704498"/>
    <w:rsid w:val="0070484B"/>
    <w:rsid w:val="00704DC1"/>
    <w:rsid w:val="00704F3E"/>
    <w:rsid w:val="00705120"/>
    <w:rsid w:val="00705385"/>
    <w:rsid w:val="0070540E"/>
    <w:rsid w:val="00705517"/>
    <w:rsid w:val="0070558E"/>
    <w:rsid w:val="0070582A"/>
    <w:rsid w:val="007058C0"/>
    <w:rsid w:val="00705CE4"/>
    <w:rsid w:val="00705D13"/>
    <w:rsid w:val="00705FA6"/>
    <w:rsid w:val="00705FC4"/>
    <w:rsid w:val="0070639C"/>
    <w:rsid w:val="00706513"/>
    <w:rsid w:val="00706575"/>
    <w:rsid w:val="00706717"/>
    <w:rsid w:val="0070694A"/>
    <w:rsid w:val="007069B1"/>
    <w:rsid w:val="007069E1"/>
    <w:rsid w:val="00706B3A"/>
    <w:rsid w:val="0070719B"/>
    <w:rsid w:val="00707389"/>
    <w:rsid w:val="0070743F"/>
    <w:rsid w:val="00707448"/>
    <w:rsid w:val="0070753C"/>
    <w:rsid w:val="0070768A"/>
    <w:rsid w:val="007076D8"/>
    <w:rsid w:val="00707728"/>
    <w:rsid w:val="007077FF"/>
    <w:rsid w:val="00707C95"/>
    <w:rsid w:val="00707D1F"/>
    <w:rsid w:val="00707D81"/>
    <w:rsid w:val="00707F1E"/>
    <w:rsid w:val="007105E0"/>
    <w:rsid w:val="00710920"/>
    <w:rsid w:val="00710D63"/>
    <w:rsid w:val="00710E31"/>
    <w:rsid w:val="00710FF7"/>
    <w:rsid w:val="007114DF"/>
    <w:rsid w:val="007117AA"/>
    <w:rsid w:val="0071192E"/>
    <w:rsid w:val="00711A73"/>
    <w:rsid w:val="00711C96"/>
    <w:rsid w:val="00711DAA"/>
    <w:rsid w:val="00712208"/>
    <w:rsid w:val="007122E0"/>
    <w:rsid w:val="00712352"/>
    <w:rsid w:val="00712555"/>
    <w:rsid w:val="007127CA"/>
    <w:rsid w:val="0071299D"/>
    <w:rsid w:val="007129B1"/>
    <w:rsid w:val="00712B0A"/>
    <w:rsid w:val="00712E3C"/>
    <w:rsid w:val="00712E9B"/>
    <w:rsid w:val="00713496"/>
    <w:rsid w:val="00713918"/>
    <w:rsid w:val="00713BF1"/>
    <w:rsid w:val="00713E13"/>
    <w:rsid w:val="00714696"/>
    <w:rsid w:val="00714799"/>
    <w:rsid w:val="0071481F"/>
    <w:rsid w:val="0071494D"/>
    <w:rsid w:val="00714B41"/>
    <w:rsid w:val="00714BE6"/>
    <w:rsid w:val="00714E54"/>
    <w:rsid w:val="00714EA6"/>
    <w:rsid w:val="0071515E"/>
    <w:rsid w:val="007153DB"/>
    <w:rsid w:val="007153E4"/>
    <w:rsid w:val="00715592"/>
    <w:rsid w:val="00715946"/>
    <w:rsid w:val="00715ABF"/>
    <w:rsid w:val="00715B96"/>
    <w:rsid w:val="00715C97"/>
    <w:rsid w:val="00715EB1"/>
    <w:rsid w:val="0071625B"/>
    <w:rsid w:val="00716588"/>
    <w:rsid w:val="007165FF"/>
    <w:rsid w:val="007166E8"/>
    <w:rsid w:val="0071675B"/>
    <w:rsid w:val="007168FC"/>
    <w:rsid w:val="00716AAC"/>
    <w:rsid w:val="00716B23"/>
    <w:rsid w:val="00716DAE"/>
    <w:rsid w:val="00716E6B"/>
    <w:rsid w:val="00716FA2"/>
    <w:rsid w:val="0071701D"/>
    <w:rsid w:val="007170B4"/>
    <w:rsid w:val="007170DE"/>
    <w:rsid w:val="00717443"/>
    <w:rsid w:val="007174EC"/>
    <w:rsid w:val="0071752C"/>
    <w:rsid w:val="0071753D"/>
    <w:rsid w:val="00717735"/>
    <w:rsid w:val="00717956"/>
    <w:rsid w:val="00717AB0"/>
    <w:rsid w:val="00720006"/>
    <w:rsid w:val="007200E4"/>
    <w:rsid w:val="007202C1"/>
    <w:rsid w:val="0072038F"/>
    <w:rsid w:val="00720701"/>
    <w:rsid w:val="0072072F"/>
    <w:rsid w:val="00720750"/>
    <w:rsid w:val="0072076C"/>
    <w:rsid w:val="007207F5"/>
    <w:rsid w:val="00720888"/>
    <w:rsid w:val="00720AF9"/>
    <w:rsid w:val="00720C0E"/>
    <w:rsid w:val="00720C6A"/>
    <w:rsid w:val="00721062"/>
    <w:rsid w:val="00721206"/>
    <w:rsid w:val="007215C2"/>
    <w:rsid w:val="0072168A"/>
    <w:rsid w:val="007216C7"/>
    <w:rsid w:val="007218EA"/>
    <w:rsid w:val="00721903"/>
    <w:rsid w:val="00721FEF"/>
    <w:rsid w:val="00721FF9"/>
    <w:rsid w:val="00722097"/>
    <w:rsid w:val="0072224C"/>
    <w:rsid w:val="007222B9"/>
    <w:rsid w:val="007222CF"/>
    <w:rsid w:val="007223B8"/>
    <w:rsid w:val="00722581"/>
    <w:rsid w:val="00722655"/>
    <w:rsid w:val="00722B23"/>
    <w:rsid w:val="00722E04"/>
    <w:rsid w:val="00722E9C"/>
    <w:rsid w:val="0072325D"/>
    <w:rsid w:val="00723359"/>
    <w:rsid w:val="00723487"/>
    <w:rsid w:val="007234F3"/>
    <w:rsid w:val="00723687"/>
    <w:rsid w:val="007236E1"/>
    <w:rsid w:val="007238E5"/>
    <w:rsid w:val="00723960"/>
    <w:rsid w:val="00723B82"/>
    <w:rsid w:val="00723DAC"/>
    <w:rsid w:val="00723E36"/>
    <w:rsid w:val="00723EA8"/>
    <w:rsid w:val="00723F4F"/>
    <w:rsid w:val="007240C2"/>
    <w:rsid w:val="0072410A"/>
    <w:rsid w:val="00724134"/>
    <w:rsid w:val="00724232"/>
    <w:rsid w:val="007242DC"/>
    <w:rsid w:val="00724544"/>
    <w:rsid w:val="007245ED"/>
    <w:rsid w:val="007248D6"/>
    <w:rsid w:val="00724B37"/>
    <w:rsid w:val="00724EBC"/>
    <w:rsid w:val="0072520D"/>
    <w:rsid w:val="007253CD"/>
    <w:rsid w:val="007257C3"/>
    <w:rsid w:val="00725AA5"/>
    <w:rsid w:val="00725B18"/>
    <w:rsid w:val="00725B46"/>
    <w:rsid w:val="00725E3F"/>
    <w:rsid w:val="00726414"/>
    <w:rsid w:val="00726BC6"/>
    <w:rsid w:val="00726BE1"/>
    <w:rsid w:val="00726E09"/>
    <w:rsid w:val="0072702F"/>
    <w:rsid w:val="00727273"/>
    <w:rsid w:val="007276E5"/>
    <w:rsid w:val="00727C0C"/>
    <w:rsid w:val="00730044"/>
    <w:rsid w:val="00730134"/>
    <w:rsid w:val="007302CC"/>
    <w:rsid w:val="00730326"/>
    <w:rsid w:val="00730647"/>
    <w:rsid w:val="0073068C"/>
    <w:rsid w:val="00730892"/>
    <w:rsid w:val="007308E0"/>
    <w:rsid w:val="0073090B"/>
    <w:rsid w:val="00730B94"/>
    <w:rsid w:val="00730C21"/>
    <w:rsid w:val="00730C40"/>
    <w:rsid w:val="00730FB6"/>
    <w:rsid w:val="00731025"/>
    <w:rsid w:val="007311BA"/>
    <w:rsid w:val="0073143B"/>
    <w:rsid w:val="00731C43"/>
    <w:rsid w:val="00731C83"/>
    <w:rsid w:val="00731C8B"/>
    <w:rsid w:val="00731F73"/>
    <w:rsid w:val="00731FA8"/>
    <w:rsid w:val="00731FAB"/>
    <w:rsid w:val="00732670"/>
    <w:rsid w:val="00732682"/>
    <w:rsid w:val="00732736"/>
    <w:rsid w:val="00732FC6"/>
    <w:rsid w:val="00733025"/>
    <w:rsid w:val="00733133"/>
    <w:rsid w:val="00733140"/>
    <w:rsid w:val="00733201"/>
    <w:rsid w:val="00733349"/>
    <w:rsid w:val="00733525"/>
    <w:rsid w:val="007337AE"/>
    <w:rsid w:val="00733EED"/>
    <w:rsid w:val="00733F4D"/>
    <w:rsid w:val="00734212"/>
    <w:rsid w:val="0073442B"/>
    <w:rsid w:val="007344E6"/>
    <w:rsid w:val="0073456E"/>
    <w:rsid w:val="0073478A"/>
    <w:rsid w:val="00734812"/>
    <w:rsid w:val="00734943"/>
    <w:rsid w:val="00734949"/>
    <w:rsid w:val="00734D11"/>
    <w:rsid w:val="00735621"/>
    <w:rsid w:val="007358F4"/>
    <w:rsid w:val="00735A86"/>
    <w:rsid w:val="00735ABA"/>
    <w:rsid w:val="00735BF8"/>
    <w:rsid w:val="00735F63"/>
    <w:rsid w:val="0073633E"/>
    <w:rsid w:val="007367E0"/>
    <w:rsid w:val="00736AA4"/>
    <w:rsid w:val="00736DA8"/>
    <w:rsid w:val="007370FE"/>
    <w:rsid w:val="0073740A"/>
    <w:rsid w:val="0073780E"/>
    <w:rsid w:val="007379B4"/>
    <w:rsid w:val="00737BC1"/>
    <w:rsid w:val="00737CC9"/>
    <w:rsid w:val="007401F3"/>
    <w:rsid w:val="0074027D"/>
    <w:rsid w:val="007402EA"/>
    <w:rsid w:val="0074041B"/>
    <w:rsid w:val="00740807"/>
    <w:rsid w:val="00740882"/>
    <w:rsid w:val="0074096B"/>
    <w:rsid w:val="007409A9"/>
    <w:rsid w:val="00740BB9"/>
    <w:rsid w:val="0074104E"/>
    <w:rsid w:val="007415EE"/>
    <w:rsid w:val="007416AC"/>
    <w:rsid w:val="00741774"/>
    <w:rsid w:val="00741A8B"/>
    <w:rsid w:val="00741F39"/>
    <w:rsid w:val="007420BB"/>
    <w:rsid w:val="007420EE"/>
    <w:rsid w:val="00742207"/>
    <w:rsid w:val="0074270A"/>
    <w:rsid w:val="00742874"/>
    <w:rsid w:val="00742882"/>
    <w:rsid w:val="0074292D"/>
    <w:rsid w:val="00742953"/>
    <w:rsid w:val="00742C29"/>
    <w:rsid w:val="00743639"/>
    <w:rsid w:val="0074367C"/>
    <w:rsid w:val="007436A8"/>
    <w:rsid w:val="00743791"/>
    <w:rsid w:val="007438A1"/>
    <w:rsid w:val="00743A1E"/>
    <w:rsid w:val="00743A55"/>
    <w:rsid w:val="00743AE7"/>
    <w:rsid w:val="00743E88"/>
    <w:rsid w:val="007440F5"/>
    <w:rsid w:val="00744190"/>
    <w:rsid w:val="007442B9"/>
    <w:rsid w:val="007443B9"/>
    <w:rsid w:val="0074483A"/>
    <w:rsid w:val="00744956"/>
    <w:rsid w:val="00744E1B"/>
    <w:rsid w:val="00744EB9"/>
    <w:rsid w:val="0074532B"/>
    <w:rsid w:val="0074536C"/>
    <w:rsid w:val="00745390"/>
    <w:rsid w:val="0074546F"/>
    <w:rsid w:val="0074566C"/>
    <w:rsid w:val="007459C0"/>
    <w:rsid w:val="00745A38"/>
    <w:rsid w:val="00745B61"/>
    <w:rsid w:val="00745B80"/>
    <w:rsid w:val="00746287"/>
    <w:rsid w:val="007463BA"/>
    <w:rsid w:val="007465DC"/>
    <w:rsid w:val="00746681"/>
    <w:rsid w:val="007466DF"/>
    <w:rsid w:val="007467B7"/>
    <w:rsid w:val="0074689B"/>
    <w:rsid w:val="007468B7"/>
    <w:rsid w:val="007468C6"/>
    <w:rsid w:val="00746D4D"/>
    <w:rsid w:val="00746E83"/>
    <w:rsid w:val="00746F89"/>
    <w:rsid w:val="00747130"/>
    <w:rsid w:val="0074732B"/>
    <w:rsid w:val="00747441"/>
    <w:rsid w:val="0074745F"/>
    <w:rsid w:val="00747800"/>
    <w:rsid w:val="007479CC"/>
    <w:rsid w:val="00747ACC"/>
    <w:rsid w:val="00747FF5"/>
    <w:rsid w:val="0075024E"/>
    <w:rsid w:val="007503A8"/>
    <w:rsid w:val="00750501"/>
    <w:rsid w:val="0075069E"/>
    <w:rsid w:val="007506A5"/>
    <w:rsid w:val="0075080C"/>
    <w:rsid w:val="007509FA"/>
    <w:rsid w:val="00750A2E"/>
    <w:rsid w:val="00750B97"/>
    <w:rsid w:val="0075101C"/>
    <w:rsid w:val="00751090"/>
    <w:rsid w:val="00751405"/>
    <w:rsid w:val="007515B4"/>
    <w:rsid w:val="00751633"/>
    <w:rsid w:val="007516E3"/>
    <w:rsid w:val="007518E0"/>
    <w:rsid w:val="007518EB"/>
    <w:rsid w:val="00751B5A"/>
    <w:rsid w:val="00751B74"/>
    <w:rsid w:val="00751CFC"/>
    <w:rsid w:val="00751D68"/>
    <w:rsid w:val="00751EBA"/>
    <w:rsid w:val="00751F7A"/>
    <w:rsid w:val="00751FF1"/>
    <w:rsid w:val="00752095"/>
    <w:rsid w:val="0075221C"/>
    <w:rsid w:val="00752467"/>
    <w:rsid w:val="0075246C"/>
    <w:rsid w:val="0075256A"/>
    <w:rsid w:val="00752916"/>
    <w:rsid w:val="00752993"/>
    <w:rsid w:val="00752AC1"/>
    <w:rsid w:val="00752AE4"/>
    <w:rsid w:val="00752B06"/>
    <w:rsid w:val="00752B44"/>
    <w:rsid w:val="00752EC5"/>
    <w:rsid w:val="0075330E"/>
    <w:rsid w:val="0075374F"/>
    <w:rsid w:val="00753799"/>
    <w:rsid w:val="007538E5"/>
    <w:rsid w:val="00753CBD"/>
    <w:rsid w:val="00753D9F"/>
    <w:rsid w:val="00753DC0"/>
    <w:rsid w:val="0075420E"/>
    <w:rsid w:val="00754312"/>
    <w:rsid w:val="0075459C"/>
    <w:rsid w:val="007545FA"/>
    <w:rsid w:val="0075467D"/>
    <w:rsid w:val="0075471C"/>
    <w:rsid w:val="00754B48"/>
    <w:rsid w:val="00754D6A"/>
    <w:rsid w:val="00754F65"/>
    <w:rsid w:val="0075550A"/>
    <w:rsid w:val="00755BD8"/>
    <w:rsid w:val="00755CD6"/>
    <w:rsid w:val="00755D4D"/>
    <w:rsid w:val="0075654B"/>
    <w:rsid w:val="00756686"/>
    <w:rsid w:val="00756753"/>
    <w:rsid w:val="0075681E"/>
    <w:rsid w:val="00756A0E"/>
    <w:rsid w:val="00756A50"/>
    <w:rsid w:val="00756C4A"/>
    <w:rsid w:val="00757207"/>
    <w:rsid w:val="0075736C"/>
    <w:rsid w:val="00757401"/>
    <w:rsid w:val="007575E5"/>
    <w:rsid w:val="007577FE"/>
    <w:rsid w:val="00757BAE"/>
    <w:rsid w:val="00757DC9"/>
    <w:rsid w:val="00757F2D"/>
    <w:rsid w:val="00760036"/>
    <w:rsid w:val="007600E4"/>
    <w:rsid w:val="00760126"/>
    <w:rsid w:val="007602DB"/>
    <w:rsid w:val="0076049A"/>
    <w:rsid w:val="007605F7"/>
    <w:rsid w:val="00760669"/>
    <w:rsid w:val="00760728"/>
    <w:rsid w:val="007607D4"/>
    <w:rsid w:val="00760B65"/>
    <w:rsid w:val="00760C67"/>
    <w:rsid w:val="00760C85"/>
    <w:rsid w:val="00760D7C"/>
    <w:rsid w:val="00761595"/>
    <w:rsid w:val="007615A5"/>
    <w:rsid w:val="00761774"/>
    <w:rsid w:val="00761BAF"/>
    <w:rsid w:val="00761E4D"/>
    <w:rsid w:val="007620B4"/>
    <w:rsid w:val="007620EC"/>
    <w:rsid w:val="00762760"/>
    <w:rsid w:val="00762803"/>
    <w:rsid w:val="0076291E"/>
    <w:rsid w:val="00762B73"/>
    <w:rsid w:val="00762BC1"/>
    <w:rsid w:val="00762C42"/>
    <w:rsid w:val="00762D59"/>
    <w:rsid w:val="0076316C"/>
    <w:rsid w:val="0076335A"/>
    <w:rsid w:val="007633D2"/>
    <w:rsid w:val="007636AE"/>
    <w:rsid w:val="007636F6"/>
    <w:rsid w:val="00763A4C"/>
    <w:rsid w:val="00763B25"/>
    <w:rsid w:val="007641A9"/>
    <w:rsid w:val="00764214"/>
    <w:rsid w:val="007642DA"/>
    <w:rsid w:val="00764456"/>
    <w:rsid w:val="00764472"/>
    <w:rsid w:val="00764781"/>
    <w:rsid w:val="0076481E"/>
    <w:rsid w:val="00764949"/>
    <w:rsid w:val="00764D5E"/>
    <w:rsid w:val="00764E10"/>
    <w:rsid w:val="00764EBC"/>
    <w:rsid w:val="00764F90"/>
    <w:rsid w:val="0076507C"/>
    <w:rsid w:val="007652DE"/>
    <w:rsid w:val="00765319"/>
    <w:rsid w:val="0076599E"/>
    <w:rsid w:val="00765B12"/>
    <w:rsid w:val="00765D15"/>
    <w:rsid w:val="00765F0C"/>
    <w:rsid w:val="007660CA"/>
    <w:rsid w:val="007662A4"/>
    <w:rsid w:val="007662FE"/>
    <w:rsid w:val="007662FF"/>
    <w:rsid w:val="00766590"/>
    <w:rsid w:val="00766753"/>
    <w:rsid w:val="007667BC"/>
    <w:rsid w:val="00766805"/>
    <w:rsid w:val="00766873"/>
    <w:rsid w:val="00766BF1"/>
    <w:rsid w:val="00766C8C"/>
    <w:rsid w:val="0076709D"/>
    <w:rsid w:val="00767370"/>
    <w:rsid w:val="007673BF"/>
    <w:rsid w:val="007674BA"/>
    <w:rsid w:val="0076792A"/>
    <w:rsid w:val="00767C09"/>
    <w:rsid w:val="007705DD"/>
    <w:rsid w:val="00770754"/>
    <w:rsid w:val="00770AE0"/>
    <w:rsid w:val="00770DE3"/>
    <w:rsid w:val="00770E43"/>
    <w:rsid w:val="00770EA9"/>
    <w:rsid w:val="00771373"/>
    <w:rsid w:val="007716B2"/>
    <w:rsid w:val="007716F2"/>
    <w:rsid w:val="00771B83"/>
    <w:rsid w:val="00771E6F"/>
    <w:rsid w:val="007722C3"/>
    <w:rsid w:val="0077241A"/>
    <w:rsid w:val="00772588"/>
    <w:rsid w:val="0077287D"/>
    <w:rsid w:val="00772960"/>
    <w:rsid w:val="00772DBE"/>
    <w:rsid w:val="0077318C"/>
    <w:rsid w:val="00773315"/>
    <w:rsid w:val="0077332B"/>
    <w:rsid w:val="0077347E"/>
    <w:rsid w:val="00773779"/>
    <w:rsid w:val="0077387D"/>
    <w:rsid w:val="00773BB4"/>
    <w:rsid w:val="00773C5D"/>
    <w:rsid w:val="00773EAF"/>
    <w:rsid w:val="00773F23"/>
    <w:rsid w:val="007740DC"/>
    <w:rsid w:val="0077414B"/>
    <w:rsid w:val="00774336"/>
    <w:rsid w:val="00774543"/>
    <w:rsid w:val="0077458E"/>
    <w:rsid w:val="00774962"/>
    <w:rsid w:val="00774C17"/>
    <w:rsid w:val="00774C55"/>
    <w:rsid w:val="00774C9A"/>
    <w:rsid w:val="00775127"/>
    <w:rsid w:val="00775403"/>
    <w:rsid w:val="0077548F"/>
    <w:rsid w:val="00775532"/>
    <w:rsid w:val="00775688"/>
    <w:rsid w:val="007757F6"/>
    <w:rsid w:val="0077590C"/>
    <w:rsid w:val="00775A94"/>
    <w:rsid w:val="00775A97"/>
    <w:rsid w:val="00775D95"/>
    <w:rsid w:val="00776832"/>
    <w:rsid w:val="00776862"/>
    <w:rsid w:val="007768C1"/>
    <w:rsid w:val="00776EB2"/>
    <w:rsid w:val="00776FF8"/>
    <w:rsid w:val="007771AE"/>
    <w:rsid w:val="007771D1"/>
    <w:rsid w:val="0077728E"/>
    <w:rsid w:val="00777414"/>
    <w:rsid w:val="007775DE"/>
    <w:rsid w:val="007776EA"/>
    <w:rsid w:val="00777773"/>
    <w:rsid w:val="0077780A"/>
    <w:rsid w:val="00777A05"/>
    <w:rsid w:val="00777A95"/>
    <w:rsid w:val="00777C19"/>
    <w:rsid w:val="00777D42"/>
    <w:rsid w:val="00777F1F"/>
    <w:rsid w:val="00777F67"/>
    <w:rsid w:val="00777FB1"/>
    <w:rsid w:val="00780143"/>
    <w:rsid w:val="00780157"/>
    <w:rsid w:val="007801BE"/>
    <w:rsid w:val="00780358"/>
    <w:rsid w:val="007806A2"/>
    <w:rsid w:val="007806A5"/>
    <w:rsid w:val="007808E0"/>
    <w:rsid w:val="00780BFD"/>
    <w:rsid w:val="00780D63"/>
    <w:rsid w:val="00780DDB"/>
    <w:rsid w:val="00780F5D"/>
    <w:rsid w:val="00781009"/>
    <w:rsid w:val="00781064"/>
    <w:rsid w:val="0078122E"/>
    <w:rsid w:val="00781253"/>
    <w:rsid w:val="007813E7"/>
    <w:rsid w:val="00781593"/>
    <w:rsid w:val="00781630"/>
    <w:rsid w:val="00781854"/>
    <w:rsid w:val="00781983"/>
    <w:rsid w:val="00781B91"/>
    <w:rsid w:val="00781BBE"/>
    <w:rsid w:val="00781D29"/>
    <w:rsid w:val="0078208D"/>
    <w:rsid w:val="00782806"/>
    <w:rsid w:val="007829CD"/>
    <w:rsid w:val="00782A3B"/>
    <w:rsid w:val="00782A6F"/>
    <w:rsid w:val="00782AF9"/>
    <w:rsid w:val="00782E10"/>
    <w:rsid w:val="00782EBC"/>
    <w:rsid w:val="00782F38"/>
    <w:rsid w:val="00782FBD"/>
    <w:rsid w:val="00783498"/>
    <w:rsid w:val="007839C5"/>
    <w:rsid w:val="0078414C"/>
    <w:rsid w:val="0078470C"/>
    <w:rsid w:val="00784ADF"/>
    <w:rsid w:val="00784EE1"/>
    <w:rsid w:val="00784F9C"/>
    <w:rsid w:val="0078540A"/>
    <w:rsid w:val="00785A14"/>
    <w:rsid w:val="00785AC0"/>
    <w:rsid w:val="00786373"/>
    <w:rsid w:val="00786456"/>
    <w:rsid w:val="00786500"/>
    <w:rsid w:val="00786686"/>
    <w:rsid w:val="007867BE"/>
    <w:rsid w:val="007867F2"/>
    <w:rsid w:val="00786892"/>
    <w:rsid w:val="00786C5D"/>
    <w:rsid w:val="00786DDD"/>
    <w:rsid w:val="00786E08"/>
    <w:rsid w:val="00786ECC"/>
    <w:rsid w:val="00787064"/>
    <w:rsid w:val="007871B8"/>
    <w:rsid w:val="007871F6"/>
    <w:rsid w:val="00787339"/>
    <w:rsid w:val="0078742C"/>
    <w:rsid w:val="0078745A"/>
    <w:rsid w:val="0078750B"/>
    <w:rsid w:val="00787572"/>
    <w:rsid w:val="00787599"/>
    <w:rsid w:val="007876C2"/>
    <w:rsid w:val="0078778C"/>
    <w:rsid w:val="00787821"/>
    <w:rsid w:val="00787A1E"/>
    <w:rsid w:val="00787CA9"/>
    <w:rsid w:val="00787E21"/>
    <w:rsid w:val="00787E4D"/>
    <w:rsid w:val="00787FED"/>
    <w:rsid w:val="00790254"/>
    <w:rsid w:val="007903AF"/>
    <w:rsid w:val="007907E6"/>
    <w:rsid w:val="007908EA"/>
    <w:rsid w:val="00790979"/>
    <w:rsid w:val="007909ED"/>
    <w:rsid w:val="00790C85"/>
    <w:rsid w:val="007911B7"/>
    <w:rsid w:val="0079194B"/>
    <w:rsid w:val="0079197D"/>
    <w:rsid w:val="00791B7F"/>
    <w:rsid w:val="00791BBE"/>
    <w:rsid w:val="00791CFA"/>
    <w:rsid w:val="00791E01"/>
    <w:rsid w:val="00791ED4"/>
    <w:rsid w:val="007921FA"/>
    <w:rsid w:val="007922FC"/>
    <w:rsid w:val="007929C3"/>
    <w:rsid w:val="00792AB3"/>
    <w:rsid w:val="00792C7E"/>
    <w:rsid w:val="00792CE8"/>
    <w:rsid w:val="007935AE"/>
    <w:rsid w:val="007937B3"/>
    <w:rsid w:val="0079381D"/>
    <w:rsid w:val="00793B9B"/>
    <w:rsid w:val="00793E1A"/>
    <w:rsid w:val="00793E7D"/>
    <w:rsid w:val="00793FCA"/>
    <w:rsid w:val="00793FFE"/>
    <w:rsid w:val="00794025"/>
    <w:rsid w:val="00794363"/>
    <w:rsid w:val="0079450C"/>
    <w:rsid w:val="007948DF"/>
    <w:rsid w:val="00794C17"/>
    <w:rsid w:val="00794C6F"/>
    <w:rsid w:val="00794DB4"/>
    <w:rsid w:val="00794DC7"/>
    <w:rsid w:val="00794E3C"/>
    <w:rsid w:val="00794F11"/>
    <w:rsid w:val="00794F5E"/>
    <w:rsid w:val="00794FD5"/>
    <w:rsid w:val="00795053"/>
    <w:rsid w:val="007950A4"/>
    <w:rsid w:val="00795251"/>
    <w:rsid w:val="007952C2"/>
    <w:rsid w:val="0079545C"/>
    <w:rsid w:val="007955A6"/>
    <w:rsid w:val="007955E2"/>
    <w:rsid w:val="007956AE"/>
    <w:rsid w:val="00795705"/>
    <w:rsid w:val="0079589E"/>
    <w:rsid w:val="00795903"/>
    <w:rsid w:val="0079595D"/>
    <w:rsid w:val="00795B9A"/>
    <w:rsid w:val="00795BFE"/>
    <w:rsid w:val="00795F25"/>
    <w:rsid w:val="0079608F"/>
    <w:rsid w:val="00796254"/>
    <w:rsid w:val="007964BA"/>
    <w:rsid w:val="0079660B"/>
    <w:rsid w:val="0079663E"/>
    <w:rsid w:val="00796E05"/>
    <w:rsid w:val="00796FBE"/>
    <w:rsid w:val="00797261"/>
    <w:rsid w:val="0079728F"/>
    <w:rsid w:val="00797640"/>
    <w:rsid w:val="00797749"/>
    <w:rsid w:val="00797962"/>
    <w:rsid w:val="00797C2F"/>
    <w:rsid w:val="00797D2B"/>
    <w:rsid w:val="00797DB3"/>
    <w:rsid w:val="00797E3D"/>
    <w:rsid w:val="00797F61"/>
    <w:rsid w:val="007A00A7"/>
    <w:rsid w:val="007A0275"/>
    <w:rsid w:val="007A02E8"/>
    <w:rsid w:val="007A0409"/>
    <w:rsid w:val="007A06D8"/>
    <w:rsid w:val="007A089C"/>
    <w:rsid w:val="007A08A5"/>
    <w:rsid w:val="007A0A15"/>
    <w:rsid w:val="007A0B0D"/>
    <w:rsid w:val="007A0CB3"/>
    <w:rsid w:val="007A0E64"/>
    <w:rsid w:val="007A0F2A"/>
    <w:rsid w:val="007A0FE3"/>
    <w:rsid w:val="007A1003"/>
    <w:rsid w:val="007A127B"/>
    <w:rsid w:val="007A12B5"/>
    <w:rsid w:val="007A15F9"/>
    <w:rsid w:val="007A1621"/>
    <w:rsid w:val="007A1B52"/>
    <w:rsid w:val="007A1B95"/>
    <w:rsid w:val="007A1CF5"/>
    <w:rsid w:val="007A1CF8"/>
    <w:rsid w:val="007A2009"/>
    <w:rsid w:val="007A2068"/>
    <w:rsid w:val="007A22AD"/>
    <w:rsid w:val="007A2337"/>
    <w:rsid w:val="007A24CF"/>
    <w:rsid w:val="007A2513"/>
    <w:rsid w:val="007A2595"/>
    <w:rsid w:val="007A259A"/>
    <w:rsid w:val="007A276D"/>
    <w:rsid w:val="007A2974"/>
    <w:rsid w:val="007A29EA"/>
    <w:rsid w:val="007A2ADC"/>
    <w:rsid w:val="007A2FEA"/>
    <w:rsid w:val="007A3641"/>
    <w:rsid w:val="007A366F"/>
    <w:rsid w:val="007A3834"/>
    <w:rsid w:val="007A388F"/>
    <w:rsid w:val="007A3CF4"/>
    <w:rsid w:val="007A3D2F"/>
    <w:rsid w:val="007A4406"/>
    <w:rsid w:val="007A458F"/>
    <w:rsid w:val="007A46B5"/>
    <w:rsid w:val="007A4826"/>
    <w:rsid w:val="007A491F"/>
    <w:rsid w:val="007A4A6C"/>
    <w:rsid w:val="007A4B67"/>
    <w:rsid w:val="007A4CD3"/>
    <w:rsid w:val="007A5067"/>
    <w:rsid w:val="007A5084"/>
    <w:rsid w:val="007A50EE"/>
    <w:rsid w:val="007A5166"/>
    <w:rsid w:val="007A521F"/>
    <w:rsid w:val="007A53D3"/>
    <w:rsid w:val="007A5447"/>
    <w:rsid w:val="007A5451"/>
    <w:rsid w:val="007A5671"/>
    <w:rsid w:val="007A569A"/>
    <w:rsid w:val="007A5E97"/>
    <w:rsid w:val="007A5EC0"/>
    <w:rsid w:val="007A6607"/>
    <w:rsid w:val="007A66A9"/>
    <w:rsid w:val="007A6982"/>
    <w:rsid w:val="007A6A06"/>
    <w:rsid w:val="007A6AF9"/>
    <w:rsid w:val="007A6BFE"/>
    <w:rsid w:val="007A6DF4"/>
    <w:rsid w:val="007A6E90"/>
    <w:rsid w:val="007A744F"/>
    <w:rsid w:val="007A756C"/>
    <w:rsid w:val="007A7A87"/>
    <w:rsid w:val="007A7B8C"/>
    <w:rsid w:val="007A7BE1"/>
    <w:rsid w:val="007A7E57"/>
    <w:rsid w:val="007A7E83"/>
    <w:rsid w:val="007B013E"/>
    <w:rsid w:val="007B0343"/>
    <w:rsid w:val="007B06E7"/>
    <w:rsid w:val="007B0722"/>
    <w:rsid w:val="007B0C49"/>
    <w:rsid w:val="007B11D6"/>
    <w:rsid w:val="007B1827"/>
    <w:rsid w:val="007B19FB"/>
    <w:rsid w:val="007B1EB7"/>
    <w:rsid w:val="007B1FB0"/>
    <w:rsid w:val="007B1FBE"/>
    <w:rsid w:val="007B211F"/>
    <w:rsid w:val="007B27AF"/>
    <w:rsid w:val="007B2901"/>
    <w:rsid w:val="007B2A04"/>
    <w:rsid w:val="007B2F6F"/>
    <w:rsid w:val="007B33AC"/>
    <w:rsid w:val="007B37B5"/>
    <w:rsid w:val="007B385D"/>
    <w:rsid w:val="007B3AD2"/>
    <w:rsid w:val="007B3C5D"/>
    <w:rsid w:val="007B3CC3"/>
    <w:rsid w:val="007B3CDF"/>
    <w:rsid w:val="007B4318"/>
    <w:rsid w:val="007B4522"/>
    <w:rsid w:val="007B461F"/>
    <w:rsid w:val="007B4659"/>
    <w:rsid w:val="007B471B"/>
    <w:rsid w:val="007B4B86"/>
    <w:rsid w:val="007B4D20"/>
    <w:rsid w:val="007B4E6E"/>
    <w:rsid w:val="007B4F42"/>
    <w:rsid w:val="007B4FB9"/>
    <w:rsid w:val="007B534B"/>
    <w:rsid w:val="007B53E0"/>
    <w:rsid w:val="007B594B"/>
    <w:rsid w:val="007B5C1C"/>
    <w:rsid w:val="007B5C3D"/>
    <w:rsid w:val="007B5D91"/>
    <w:rsid w:val="007B604F"/>
    <w:rsid w:val="007B67BE"/>
    <w:rsid w:val="007B6941"/>
    <w:rsid w:val="007B69D9"/>
    <w:rsid w:val="007B6A1D"/>
    <w:rsid w:val="007B718B"/>
    <w:rsid w:val="007B7278"/>
    <w:rsid w:val="007B73DB"/>
    <w:rsid w:val="007B745A"/>
    <w:rsid w:val="007B753C"/>
    <w:rsid w:val="007B7669"/>
    <w:rsid w:val="007B771D"/>
    <w:rsid w:val="007B7934"/>
    <w:rsid w:val="007B7D61"/>
    <w:rsid w:val="007C032D"/>
    <w:rsid w:val="007C06F6"/>
    <w:rsid w:val="007C0997"/>
    <w:rsid w:val="007C09BB"/>
    <w:rsid w:val="007C0F29"/>
    <w:rsid w:val="007C0FA7"/>
    <w:rsid w:val="007C109B"/>
    <w:rsid w:val="007C1115"/>
    <w:rsid w:val="007C12DD"/>
    <w:rsid w:val="007C13F4"/>
    <w:rsid w:val="007C1552"/>
    <w:rsid w:val="007C15E5"/>
    <w:rsid w:val="007C17D1"/>
    <w:rsid w:val="007C1924"/>
    <w:rsid w:val="007C1981"/>
    <w:rsid w:val="007C1BF0"/>
    <w:rsid w:val="007C1C61"/>
    <w:rsid w:val="007C1E76"/>
    <w:rsid w:val="007C1F58"/>
    <w:rsid w:val="007C25E0"/>
    <w:rsid w:val="007C26F3"/>
    <w:rsid w:val="007C282C"/>
    <w:rsid w:val="007C2A53"/>
    <w:rsid w:val="007C2AF1"/>
    <w:rsid w:val="007C2BDC"/>
    <w:rsid w:val="007C3322"/>
    <w:rsid w:val="007C35AB"/>
    <w:rsid w:val="007C3736"/>
    <w:rsid w:val="007C37BE"/>
    <w:rsid w:val="007C3929"/>
    <w:rsid w:val="007C3CC7"/>
    <w:rsid w:val="007C3D7D"/>
    <w:rsid w:val="007C3FBB"/>
    <w:rsid w:val="007C4068"/>
    <w:rsid w:val="007C40AD"/>
    <w:rsid w:val="007C4188"/>
    <w:rsid w:val="007C4394"/>
    <w:rsid w:val="007C43FE"/>
    <w:rsid w:val="007C4426"/>
    <w:rsid w:val="007C44FA"/>
    <w:rsid w:val="007C47D6"/>
    <w:rsid w:val="007C4956"/>
    <w:rsid w:val="007C49F0"/>
    <w:rsid w:val="007C4B11"/>
    <w:rsid w:val="007C4B6B"/>
    <w:rsid w:val="007C4B76"/>
    <w:rsid w:val="007C5127"/>
    <w:rsid w:val="007C51E1"/>
    <w:rsid w:val="007C5402"/>
    <w:rsid w:val="007C55AA"/>
    <w:rsid w:val="007C56D8"/>
    <w:rsid w:val="007C578E"/>
    <w:rsid w:val="007C5911"/>
    <w:rsid w:val="007C5E48"/>
    <w:rsid w:val="007C67C5"/>
    <w:rsid w:val="007C684B"/>
    <w:rsid w:val="007C6878"/>
    <w:rsid w:val="007C6A6D"/>
    <w:rsid w:val="007C6A9E"/>
    <w:rsid w:val="007C6AA5"/>
    <w:rsid w:val="007C6C11"/>
    <w:rsid w:val="007C6F83"/>
    <w:rsid w:val="007C7045"/>
    <w:rsid w:val="007C721E"/>
    <w:rsid w:val="007C726D"/>
    <w:rsid w:val="007C742A"/>
    <w:rsid w:val="007C7571"/>
    <w:rsid w:val="007C7855"/>
    <w:rsid w:val="007C7970"/>
    <w:rsid w:val="007C7B44"/>
    <w:rsid w:val="007C7CAE"/>
    <w:rsid w:val="007C7DA9"/>
    <w:rsid w:val="007C7E16"/>
    <w:rsid w:val="007C7E39"/>
    <w:rsid w:val="007C7E89"/>
    <w:rsid w:val="007D006E"/>
    <w:rsid w:val="007D042C"/>
    <w:rsid w:val="007D09CD"/>
    <w:rsid w:val="007D0D76"/>
    <w:rsid w:val="007D100A"/>
    <w:rsid w:val="007D1170"/>
    <w:rsid w:val="007D1332"/>
    <w:rsid w:val="007D1384"/>
    <w:rsid w:val="007D13B3"/>
    <w:rsid w:val="007D13C7"/>
    <w:rsid w:val="007D13F4"/>
    <w:rsid w:val="007D1509"/>
    <w:rsid w:val="007D155B"/>
    <w:rsid w:val="007D1757"/>
    <w:rsid w:val="007D1847"/>
    <w:rsid w:val="007D1970"/>
    <w:rsid w:val="007D1A42"/>
    <w:rsid w:val="007D1B56"/>
    <w:rsid w:val="007D1D6D"/>
    <w:rsid w:val="007D1E4B"/>
    <w:rsid w:val="007D1F1D"/>
    <w:rsid w:val="007D21F7"/>
    <w:rsid w:val="007D2285"/>
    <w:rsid w:val="007D250D"/>
    <w:rsid w:val="007D27CA"/>
    <w:rsid w:val="007D2BC4"/>
    <w:rsid w:val="007D3368"/>
    <w:rsid w:val="007D33AB"/>
    <w:rsid w:val="007D3486"/>
    <w:rsid w:val="007D34E0"/>
    <w:rsid w:val="007D355C"/>
    <w:rsid w:val="007D359E"/>
    <w:rsid w:val="007D3756"/>
    <w:rsid w:val="007D379A"/>
    <w:rsid w:val="007D3A9E"/>
    <w:rsid w:val="007D3B66"/>
    <w:rsid w:val="007D3CBC"/>
    <w:rsid w:val="007D3D3E"/>
    <w:rsid w:val="007D3F3A"/>
    <w:rsid w:val="007D4092"/>
    <w:rsid w:val="007D4164"/>
    <w:rsid w:val="007D43E4"/>
    <w:rsid w:val="007D44FA"/>
    <w:rsid w:val="007D45D7"/>
    <w:rsid w:val="007D49AC"/>
    <w:rsid w:val="007D4B92"/>
    <w:rsid w:val="007D4DB6"/>
    <w:rsid w:val="007D4DCF"/>
    <w:rsid w:val="007D4F4A"/>
    <w:rsid w:val="007D4FA4"/>
    <w:rsid w:val="007D51EA"/>
    <w:rsid w:val="007D5207"/>
    <w:rsid w:val="007D5512"/>
    <w:rsid w:val="007D552D"/>
    <w:rsid w:val="007D554C"/>
    <w:rsid w:val="007D5732"/>
    <w:rsid w:val="007D579D"/>
    <w:rsid w:val="007D57C2"/>
    <w:rsid w:val="007D5901"/>
    <w:rsid w:val="007D5970"/>
    <w:rsid w:val="007D5B9C"/>
    <w:rsid w:val="007D5D13"/>
    <w:rsid w:val="007D5ECD"/>
    <w:rsid w:val="007D5F27"/>
    <w:rsid w:val="007D5F55"/>
    <w:rsid w:val="007D6068"/>
    <w:rsid w:val="007D61CA"/>
    <w:rsid w:val="007D627B"/>
    <w:rsid w:val="007D631D"/>
    <w:rsid w:val="007D6352"/>
    <w:rsid w:val="007D642C"/>
    <w:rsid w:val="007D660A"/>
    <w:rsid w:val="007D6799"/>
    <w:rsid w:val="007D6BFF"/>
    <w:rsid w:val="007D6DD3"/>
    <w:rsid w:val="007D72E2"/>
    <w:rsid w:val="007D733A"/>
    <w:rsid w:val="007D74D2"/>
    <w:rsid w:val="007D7548"/>
    <w:rsid w:val="007D7570"/>
    <w:rsid w:val="007D764F"/>
    <w:rsid w:val="007D782A"/>
    <w:rsid w:val="007D7DA1"/>
    <w:rsid w:val="007E0071"/>
    <w:rsid w:val="007E069D"/>
    <w:rsid w:val="007E0A5C"/>
    <w:rsid w:val="007E0AAA"/>
    <w:rsid w:val="007E0BBF"/>
    <w:rsid w:val="007E0CDB"/>
    <w:rsid w:val="007E1058"/>
    <w:rsid w:val="007E126D"/>
    <w:rsid w:val="007E16EE"/>
    <w:rsid w:val="007E1C6D"/>
    <w:rsid w:val="007E1DAC"/>
    <w:rsid w:val="007E1ED9"/>
    <w:rsid w:val="007E211B"/>
    <w:rsid w:val="007E2660"/>
    <w:rsid w:val="007E2773"/>
    <w:rsid w:val="007E28C8"/>
    <w:rsid w:val="007E296A"/>
    <w:rsid w:val="007E29C6"/>
    <w:rsid w:val="007E29CA"/>
    <w:rsid w:val="007E2DD4"/>
    <w:rsid w:val="007E2EAE"/>
    <w:rsid w:val="007E2F62"/>
    <w:rsid w:val="007E3016"/>
    <w:rsid w:val="007E30F7"/>
    <w:rsid w:val="007E3105"/>
    <w:rsid w:val="007E3352"/>
    <w:rsid w:val="007E3658"/>
    <w:rsid w:val="007E36B3"/>
    <w:rsid w:val="007E3A1C"/>
    <w:rsid w:val="007E3A5C"/>
    <w:rsid w:val="007E3FE7"/>
    <w:rsid w:val="007E3FF9"/>
    <w:rsid w:val="007E4198"/>
    <w:rsid w:val="007E44E3"/>
    <w:rsid w:val="007E4728"/>
    <w:rsid w:val="007E48D7"/>
    <w:rsid w:val="007E497A"/>
    <w:rsid w:val="007E49F9"/>
    <w:rsid w:val="007E4B44"/>
    <w:rsid w:val="007E4F98"/>
    <w:rsid w:val="007E5046"/>
    <w:rsid w:val="007E51C9"/>
    <w:rsid w:val="007E523F"/>
    <w:rsid w:val="007E56D3"/>
    <w:rsid w:val="007E5737"/>
    <w:rsid w:val="007E5939"/>
    <w:rsid w:val="007E5BB4"/>
    <w:rsid w:val="007E5E56"/>
    <w:rsid w:val="007E5E92"/>
    <w:rsid w:val="007E613D"/>
    <w:rsid w:val="007E6498"/>
    <w:rsid w:val="007E66A1"/>
    <w:rsid w:val="007E66F5"/>
    <w:rsid w:val="007E6728"/>
    <w:rsid w:val="007E674B"/>
    <w:rsid w:val="007E683A"/>
    <w:rsid w:val="007E698A"/>
    <w:rsid w:val="007E6AED"/>
    <w:rsid w:val="007E6B2F"/>
    <w:rsid w:val="007E6C7C"/>
    <w:rsid w:val="007E6DC2"/>
    <w:rsid w:val="007E6F73"/>
    <w:rsid w:val="007E7089"/>
    <w:rsid w:val="007E70F4"/>
    <w:rsid w:val="007E719A"/>
    <w:rsid w:val="007E71FC"/>
    <w:rsid w:val="007E72D3"/>
    <w:rsid w:val="007E754F"/>
    <w:rsid w:val="007E773E"/>
    <w:rsid w:val="007E7FB4"/>
    <w:rsid w:val="007F0225"/>
    <w:rsid w:val="007F048F"/>
    <w:rsid w:val="007F04D7"/>
    <w:rsid w:val="007F050D"/>
    <w:rsid w:val="007F05B5"/>
    <w:rsid w:val="007F0657"/>
    <w:rsid w:val="007F0A5D"/>
    <w:rsid w:val="007F0CFA"/>
    <w:rsid w:val="007F0D6A"/>
    <w:rsid w:val="007F0E2E"/>
    <w:rsid w:val="007F0E7A"/>
    <w:rsid w:val="007F0EDE"/>
    <w:rsid w:val="007F101E"/>
    <w:rsid w:val="007F11E2"/>
    <w:rsid w:val="007F1220"/>
    <w:rsid w:val="007F1280"/>
    <w:rsid w:val="007F13F0"/>
    <w:rsid w:val="007F1854"/>
    <w:rsid w:val="007F19A5"/>
    <w:rsid w:val="007F1D57"/>
    <w:rsid w:val="007F1DC8"/>
    <w:rsid w:val="007F21B0"/>
    <w:rsid w:val="007F24AD"/>
    <w:rsid w:val="007F27DA"/>
    <w:rsid w:val="007F28E8"/>
    <w:rsid w:val="007F2915"/>
    <w:rsid w:val="007F298D"/>
    <w:rsid w:val="007F2B73"/>
    <w:rsid w:val="007F319E"/>
    <w:rsid w:val="007F34FD"/>
    <w:rsid w:val="007F3B0E"/>
    <w:rsid w:val="007F3CEF"/>
    <w:rsid w:val="007F3FAF"/>
    <w:rsid w:val="007F422D"/>
    <w:rsid w:val="007F4294"/>
    <w:rsid w:val="007F4563"/>
    <w:rsid w:val="007F4592"/>
    <w:rsid w:val="007F4614"/>
    <w:rsid w:val="007F4928"/>
    <w:rsid w:val="007F4AC8"/>
    <w:rsid w:val="007F4D68"/>
    <w:rsid w:val="007F4E23"/>
    <w:rsid w:val="007F4E28"/>
    <w:rsid w:val="007F51E5"/>
    <w:rsid w:val="007F5322"/>
    <w:rsid w:val="007F5340"/>
    <w:rsid w:val="007F5358"/>
    <w:rsid w:val="007F57B7"/>
    <w:rsid w:val="007F593E"/>
    <w:rsid w:val="007F5B8E"/>
    <w:rsid w:val="007F5D01"/>
    <w:rsid w:val="007F5D0D"/>
    <w:rsid w:val="007F5D1D"/>
    <w:rsid w:val="007F5F2B"/>
    <w:rsid w:val="007F6237"/>
    <w:rsid w:val="007F6262"/>
    <w:rsid w:val="007F635E"/>
    <w:rsid w:val="007F63C6"/>
    <w:rsid w:val="007F6A05"/>
    <w:rsid w:val="007F6C8A"/>
    <w:rsid w:val="007F6DE0"/>
    <w:rsid w:val="007F6EEE"/>
    <w:rsid w:val="007F703E"/>
    <w:rsid w:val="007F7306"/>
    <w:rsid w:val="007F7950"/>
    <w:rsid w:val="007F7A0A"/>
    <w:rsid w:val="007F7A20"/>
    <w:rsid w:val="007F7E4B"/>
    <w:rsid w:val="007F7EED"/>
    <w:rsid w:val="007F7FF7"/>
    <w:rsid w:val="008001C0"/>
    <w:rsid w:val="0080061C"/>
    <w:rsid w:val="008006D0"/>
    <w:rsid w:val="0080085E"/>
    <w:rsid w:val="008009C1"/>
    <w:rsid w:val="00800CEA"/>
    <w:rsid w:val="00800E78"/>
    <w:rsid w:val="00800E9E"/>
    <w:rsid w:val="00801027"/>
    <w:rsid w:val="008010FC"/>
    <w:rsid w:val="00801189"/>
    <w:rsid w:val="00801222"/>
    <w:rsid w:val="00801262"/>
    <w:rsid w:val="008012DD"/>
    <w:rsid w:val="00801327"/>
    <w:rsid w:val="00801456"/>
    <w:rsid w:val="00801738"/>
    <w:rsid w:val="0080176E"/>
    <w:rsid w:val="00801840"/>
    <w:rsid w:val="008018BD"/>
    <w:rsid w:val="00801BA8"/>
    <w:rsid w:val="00801D26"/>
    <w:rsid w:val="00801D90"/>
    <w:rsid w:val="00801FE2"/>
    <w:rsid w:val="0080214A"/>
    <w:rsid w:val="00802236"/>
    <w:rsid w:val="0080242A"/>
    <w:rsid w:val="008025A9"/>
    <w:rsid w:val="00802650"/>
    <w:rsid w:val="0080288D"/>
    <w:rsid w:val="00802B0B"/>
    <w:rsid w:val="00802E43"/>
    <w:rsid w:val="008030C0"/>
    <w:rsid w:val="008032EB"/>
    <w:rsid w:val="008034DD"/>
    <w:rsid w:val="0080357A"/>
    <w:rsid w:val="00803AD8"/>
    <w:rsid w:val="00803B21"/>
    <w:rsid w:val="00803F63"/>
    <w:rsid w:val="00803FEC"/>
    <w:rsid w:val="008040FA"/>
    <w:rsid w:val="008041B3"/>
    <w:rsid w:val="00804336"/>
    <w:rsid w:val="008045CB"/>
    <w:rsid w:val="0080475F"/>
    <w:rsid w:val="00804EB2"/>
    <w:rsid w:val="00805243"/>
    <w:rsid w:val="008053BB"/>
    <w:rsid w:val="0080546C"/>
    <w:rsid w:val="0080592F"/>
    <w:rsid w:val="00805AF0"/>
    <w:rsid w:val="00805DDA"/>
    <w:rsid w:val="00805E47"/>
    <w:rsid w:val="00805F46"/>
    <w:rsid w:val="0080638C"/>
    <w:rsid w:val="00806528"/>
    <w:rsid w:val="00806719"/>
    <w:rsid w:val="008067EA"/>
    <w:rsid w:val="00806FF8"/>
    <w:rsid w:val="0080717B"/>
    <w:rsid w:val="008072AE"/>
    <w:rsid w:val="0080731B"/>
    <w:rsid w:val="008076C7"/>
    <w:rsid w:val="00807BD2"/>
    <w:rsid w:val="00807C60"/>
    <w:rsid w:val="00807E57"/>
    <w:rsid w:val="00810050"/>
    <w:rsid w:val="00810077"/>
    <w:rsid w:val="008100AA"/>
    <w:rsid w:val="00810B49"/>
    <w:rsid w:val="00810C04"/>
    <w:rsid w:val="00810EC8"/>
    <w:rsid w:val="008115D6"/>
    <w:rsid w:val="008118CA"/>
    <w:rsid w:val="00811C94"/>
    <w:rsid w:val="00811E58"/>
    <w:rsid w:val="00811F07"/>
    <w:rsid w:val="00811FF4"/>
    <w:rsid w:val="00812091"/>
    <w:rsid w:val="0081209F"/>
    <w:rsid w:val="008121CD"/>
    <w:rsid w:val="008122C5"/>
    <w:rsid w:val="0081271B"/>
    <w:rsid w:val="00812905"/>
    <w:rsid w:val="00812997"/>
    <w:rsid w:val="00812B42"/>
    <w:rsid w:val="00812BD5"/>
    <w:rsid w:val="00812E0B"/>
    <w:rsid w:val="00812E8C"/>
    <w:rsid w:val="00812ED6"/>
    <w:rsid w:val="0081351D"/>
    <w:rsid w:val="00813586"/>
    <w:rsid w:val="00813F0D"/>
    <w:rsid w:val="00813FEB"/>
    <w:rsid w:val="008140BB"/>
    <w:rsid w:val="008141FE"/>
    <w:rsid w:val="00814220"/>
    <w:rsid w:val="008144AC"/>
    <w:rsid w:val="0081466B"/>
    <w:rsid w:val="00814A68"/>
    <w:rsid w:val="00814D14"/>
    <w:rsid w:val="0081547F"/>
    <w:rsid w:val="008156C9"/>
    <w:rsid w:val="0081576F"/>
    <w:rsid w:val="00815BD5"/>
    <w:rsid w:val="00815C0B"/>
    <w:rsid w:val="00815C5D"/>
    <w:rsid w:val="00815CC4"/>
    <w:rsid w:val="008163F1"/>
    <w:rsid w:val="008166E1"/>
    <w:rsid w:val="0081686D"/>
    <w:rsid w:val="00816954"/>
    <w:rsid w:val="00816BD3"/>
    <w:rsid w:val="00816CA4"/>
    <w:rsid w:val="00816F2D"/>
    <w:rsid w:val="008172F1"/>
    <w:rsid w:val="008173A9"/>
    <w:rsid w:val="0081797D"/>
    <w:rsid w:val="00820033"/>
    <w:rsid w:val="00820209"/>
    <w:rsid w:val="008205CD"/>
    <w:rsid w:val="0082080A"/>
    <w:rsid w:val="00820812"/>
    <w:rsid w:val="0082090B"/>
    <w:rsid w:val="00820B52"/>
    <w:rsid w:val="00820F8E"/>
    <w:rsid w:val="008212F1"/>
    <w:rsid w:val="00821387"/>
    <w:rsid w:val="008213C0"/>
    <w:rsid w:val="0082142E"/>
    <w:rsid w:val="00821707"/>
    <w:rsid w:val="00821754"/>
    <w:rsid w:val="00821944"/>
    <w:rsid w:val="008219E2"/>
    <w:rsid w:val="00821B0B"/>
    <w:rsid w:val="00821FA3"/>
    <w:rsid w:val="008220AE"/>
    <w:rsid w:val="0082248C"/>
    <w:rsid w:val="008225FA"/>
    <w:rsid w:val="00822737"/>
    <w:rsid w:val="00822A1A"/>
    <w:rsid w:val="00822C63"/>
    <w:rsid w:val="0082309C"/>
    <w:rsid w:val="008230A4"/>
    <w:rsid w:val="008230BA"/>
    <w:rsid w:val="008231C0"/>
    <w:rsid w:val="0082324C"/>
    <w:rsid w:val="008232EE"/>
    <w:rsid w:val="00823509"/>
    <w:rsid w:val="00823580"/>
    <w:rsid w:val="008235EB"/>
    <w:rsid w:val="0082361A"/>
    <w:rsid w:val="00823862"/>
    <w:rsid w:val="00823A92"/>
    <w:rsid w:val="00823AE3"/>
    <w:rsid w:val="00823C37"/>
    <w:rsid w:val="00823D03"/>
    <w:rsid w:val="00823EAA"/>
    <w:rsid w:val="00824128"/>
    <w:rsid w:val="008241C5"/>
    <w:rsid w:val="00824210"/>
    <w:rsid w:val="00824451"/>
    <w:rsid w:val="008244DB"/>
    <w:rsid w:val="008247C2"/>
    <w:rsid w:val="008248DB"/>
    <w:rsid w:val="008248F4"/>
    <w:rsid w:val="008248F8"/>
    <w:rsid w:val="0082490E"/>
    <w:rsid w:val="0082494D"/>
    <w:rsid w:val="00824CCD"/>
    <w:rsid w:val="00824D63"/>
    <w:rsid w:val="008251AE"/>
    <w:rsid w:val="0082526B"/>
    <w:rsid w:val="008253D3"/>
    <w:rsid w:val="00825756"/>
    <w:rsid w:val="00825E8C"/>
    <w:rsid w:val="00825ED3"/>
    <w:rsid w:val="00826207"/>
    <w:rsid w:val="0082622A"/>
    <w:rsid w:val="008262E2"/>
    <w:rsid w:val="00826565"/>
    <w:rsid w:val="008265BD"/>
    <w:rsid w:val="008268A1"/>
    <w:rsid w:val="00826C4B"/>
    <w:rsid w:val="00826C94"/>
    <w:rsid w:val="00826D2D"/>
    <w:rsid w:val="00826D9E"/>
    <w:rsid w:val="0082735E"/>
    <w:rsid w:val="008273C0"/>
    <w:rsid w:val="008273E1"/>
    <w:rsid w:val="008274BA"/>
    <w:rsid w:val="008274EA"/>
    <w:rsid w:val="00827500"/>
    <w:rsid w:val="008276D5"/>
    <w:rsid w:val="00827720"/>
    <w:rsid w:val="00827908"/>
    <w:rsid w:val="00827A54"/>
    <w:rsid w:val="00827B78"/>
    <w:rsid w:val="00827F1A"/>
    <w:rsid w:val="00830040"/>
    <w:rsid w:val="00830268"/>
    <w:rsid w:val="0083044C"/>
    <w:rsid w:val="00830600"/>
    <w:rsid w:val="00830818"/>
    <w:rsid w:val="00830989"/>
    <w:rsid w:val="00830D7E"/>
    <w:rsid w:val="00830DE7"/>
    <w:rsid w:val="00830DEB"/>
    <w:rsid w:val="00830FA6"/>
    <w:rsid w:val="008310B4"/>
    <w:rsid w:val="00831385"/>
    <w:rsid w:val="0083195C"/>
    <w:rsid w:val="00831AE6"/>
    <w:rsid w:val="00831C94"/>
    <w:rsid w:val="00831E1A"/>
    <w:rsid w:val="00832234"/>
    <w:rsid w:val="00832403"/>
    <w:rsid w:val="008326AA"/>
    <w:rsid w:val="00832944"/>
    <w:rsid w:val="00832B34"/>
    <w:rsid w:val="00832B66"/>
    <w:rsid w:val="00832F22"/>
    <w:rsid w:val="0083319B"/>
    <w:rsid w:val="008331C8"/>
    <w:rsid w:val="008331FE"/>
    <w:rsid w:val="00833243"/>
    <w:rsid w:val="0083333B"/>
    <w:rsid w:val="008333A6"/>
    <w:rsid w:val="00833534"/>
    <w:rsid w:val="008335E5"/>
    <w:rsid w:val="0083374B"/>
    <w:rsid w:val="0083395F"/>
    <w:rsid w:val="00833983"/>
    <w:rsid w:val="00833B0E"/>
    <w:rsid w:val="00833B33"/>
    <w:rsid w:val="00833C08"/>
    <w:rsid w:val="00833E84"/>
    <w:rsid w:val="00834004"/>
    <w:rsid w:val="00834083"/>
    <w:rsid w:val="008345C2"/>
    <w:rsid w:val="00834DDB"/>
    <w:rsid w:val="00834EE1"/>
    <w:rsid w:val="008351AF"/>
    <w:rsid w:val="0083580C"/>
    <w:rsid w:val="0083584E"/>
    <w:rsid w:val="00835A0A"/>
    <w:rsid w:val="00835A1C"/>
    <w:rsid w:val="00835E10"/>
    <w:rsid w:val="00835E31"/>
    <w:rsid w:val="00836021"/>
    <w:rsid w:val="008361D8"/>
    <w:rsid w:val="00836323"/>
    <w:rsid w:val="00836353"/>
    <w:rsid w:val="00836365"/>
    <w:rsid w:val="008366D3"/>
    <w:rsid w:val="00836A66"/>
    <w:rsid w:val="00836AA9"/>
    <w:rsid w:val="00836E91"/>
    <w:rsid w:val="00837556"/>
    <w:rsid w:val="008376E8"/>
    <w:rsid w:val="00837756"/>
    <w:rsid w:val="008378D0"/>
    <w:rsid w:val="00837CDE"/>
    <w:rsid w:val="00837CF7"/>
    <w:rsid w:val="00837DA9"/>
    <w:rsid w:val="00840102"/>
    <w:rsid w:val="00840188"/>
    <w:rsid w:val="008404BE"/>
    <w:rsid w:val="00840858"/>
    <w:rsid w:val="00840891"/>
    <w:rsid w:val="00840AB7"/>
    <w:rsid w:val="00840CE5"/>
    <w:rsid w:val="00840FB3"/>
    <w:rsid w:val="00841046"/>
    <w:rsid w:val="00841077"/>
    <w:rsid w:val="0084122C"/>
    <w:rsid w:val="00841504"/>
    <w:rsid w:val="008415FA"/>
    <w:rsid w:val="00841851"/>
    <w:rsid w:val="00841B48"/>
    <w:rsid w:val="00841CDA"/>
    <w:rsid w:val="00841DAE"/>
    <w:rsid w:val="00841EE7"/>
    <w:rsid w:val="00841F0E"/>
    <w:rsid w:val="00842572"/>
    <w:rsid w:val="00842640"/>
    <w:rsid w:val="00842B8B"/>
    <w:rsid w:val="00842C31"/>
    <w:rsid w:val="00842D16"/>
    <w:rsid w:val="00842DBA"/>
    <w:rsid w:val="00843016"/>
    <w:rsid w:val="00843091"/>
    <w:rsid w:val="00843112"/>
    <w:rsid w:val="00843363"/>
    <w:rsid w:val="00843442"/>
    <w:rsid w:val="008436AF"/>
    <w:rsid w:val="008436CE"/>
    <w:rsid w:val="00843977"/>
    <w:rsid w:val="00843BC5"/>
    <w:rsid w:val="00843E81"/>
    <w:rsid w:val="008441C6"/>
    <w:rsid w:val="00844509"/>
    <w:rsid w:val="008446A2"/>
    <w:rsid w:val="0084496A"/>
    <w:rsid w:val="00844A72"/>
    <w:rsid w:val="00844C91"/>
    <w:rsid w:val="00844D47"/>
    <w:rsid w:val="00844E8A"/>
    <w:rsid w:val="008450F1"/>
    <w:rsid w:val="008451CC"/>
    <w:rsid w:val="00845205"/>
    <w:rsid w:val="008454A8"/>
    <w:rsid w:val="008458C4"/>
    <w:rsid w:val="0084591F"/>
    <w:rsid w:val="00845B68"/>
    <w:rsid w:val="00845DF6"/>
    <w:rsid w:val="00845E1C"/>
    <w:rsid w:val="00845F5E"/>
    <w:rsid w:val="008462AF"/>
    <w:rsid w:val="00846399"/>
    <w:rsid w:val="008466E3"/>
    <w:rsid w:val="0084692E"/>
    <w:rsid w:val="00846A1C"/>
    <w:rsid w:val="0084732D"/>
    <w:rsid w:val="00847B16"/>
    <w:rsid w:val="00847C86"/>
    <w:rsid w:val="00847DEF"/>
    <w:rsid w:val="00847F82"/>
    <w:rsid w:val="008503B5"/>
    <w:rsid w:val="008504D4"/>
    <w:rsid w:val="00850551"/>
    <w:rsid w:val="00850A80"/>
    <w:rsid w:val="00850AA4"/>
    <w:rsid w:val="00850C2C"/>
    <w:rsid w:val="00850DD7"/>
    <w:rsid w:val="008510D3"/>
    <w:rsid w:val="00851393"/>
    <w:rsid w:val="008513B3"/>
    <w:rsid w:val="00851608"/>
    <w:rsid w:val="008516CE"/>
    <w:rsid w:val="008518E0"/>
    <w:rsid w:val="00851B26"/>
    <w:rsid w:val="00851C7B"/>
    <w:rsid w:val="00851DBD"/>
    <w:rsid w:val="008520B0"/>
    <w:rsid w:val="00852143"/>
    <w:rsid w:val="00852B01"/>
    <w:rsid w:val="00852D32"/>
    <w:rsid w:val="00852EB7"/>
    <w:rsid w:val="00852EEB"/>
    <w:rsid w:val="00852FCE"/>
    <w:rsid w:val="00853047"/>
    <w:rsid w:val="008532EE"/>
    <w:rsid w:val="008534B8"/>
    <w:rsid w:val="008535C5"/>
    <w:rsid w:val="008537D2"/>
    <w:rsid w:val="00853997"/>
    <w:rsid w:val="00853B35"/>
    <w:rsid w:val="00853D54"/>
    <w:rsid w:val="00853DC1"/>
    <w:rsid w:val="00853E54"/>
    <w:rsid w:val="00853FF0"/>
    <w:rsid w:val="008542B8"/>
    <w:rsid w:val="0085449A"/>
    <w:rsid w:val="00854635"/>
    <w:rsid w:val="00854738"/>
    <w:rsid w:val="008549B0"/>
    <w:rsid w:val="00854CBF"/>
    <w:rsid w:val="00854E7F"/>
    <w:rsid w:val="00855197"/>
    <w:rsid w:val="0085532E"/>
    <w:rsid w:val="0085535C"/>
    <w:rsid w:val="0085564A"/>
    <w:rsid w:val="008557CE"/>
    <w:rsid w:val="008557E5"/>
    <w:rsid w:val="00855BB5"/>
    <w:rsid w:val="00855E7A"/>
    <w:rsid w:val="00855F00"/>
    <w:rsid w:val="008560E4"/>
    <w:rsid w:val="008561A9"/>
    <w:rsid w:val="00856328"/>
    <w:rsid w:val="00856410"/>
    <w:rsid w:val="00856713"/>
    <w:rsid w:val="00856A4D"/>
    <w:rsid w:val="00856FBB"/>
    <w:rsid w:val="008573F1"/>
    <w:rsid w:val="00857547"/>
    <w:rsid w:val="0085759E"/>
    <w:rsid w:val="00857705"/>
    <w:rsid w:val="008577D6"/>
    <w:rsid w:val="00857A12"/>
    <w:rsid w:val="00857BA7"/>
    <w:rsid w:val="00857BC1"/>
    <w:rsid w:val="00857BFB"/>
    <w:rsid w:val="0086022F"/>
    <w:rsid w:val="0086023A"/>
    <w:rsid w:val="00860252"/>
    <w:rsid w:val="00860283"/>
    <w:rsid w:val="00860312"/>
    <w:rsid w:val="0086042D"/>
    <w:rsid w:val="0086043C"/>
    <w:rsid w:val="0086064A"/>
    <w:rsid w:val="0086080B"/>
    <w:rsid w:val="00860986"/>
    <w:rsid w:val="00860DAA"/>
    <w:rsid w:val="00861504"/>
    <w:rsid w:val="00861A2E"/>
    <w:rsid w:val="0086204F"/>
    <w:rsid w:val="0086210E"/>
    <w:rsid w:val="008621E8"/>
    <w:rsid w:val="008622D1"/>
    <w:rsid w:val="008623E6"/>
    <w:rsid w:val="008624DC"/>
    <w:rsid w:val="008626B5"/>
    <w:rsid w:val="008626FA"/>
    <w:rsid w:val="0086287B"/>
    <w:rsid w:val="00862941"/>
    <w:rsid w:val="00862A79"/>
    <w:rsid w:val="00862B0B"/>
    <w:rsid w:val="00862BC8"/>
    <w:rsid w:val="00862C3A"/>
    <w:rsid w:val="00862D70"/>
    <w:rsid w:val="00862D78"/>
    <w:rsid w:val="00862D99"/>
    <w:rsid w:val="00862EE2"/>
    <w:rsid w:val="00862F42"/>
    <w:rsid w:val="00863164"/>
    <w:rsid w:val="0086326B"/>
    <w:rsid w:val="00863594"/>
    <w:rsid w:val="00863634"/>
    <w:rsid w:val="0086369A"/>
    <w:rsid w:val="00863890"/>
    <w:rsid w:val="00864356"/>
    <w:rsid w:val="00864925"/>
    <w:rsid w:val="00864B53"/>
    <w:rsid w:val="0086501A"/>
    <w:rsid w:val="0086507B"/>
    <w:rsid w:val="00865578"/>
    <w:rsid w:val="00865659"/>
    <w:rsid w:val="00865E58"/>
    <w:rsid w:val="00865FCA"/>
    <w:rsid w:val="00866099"/>
    <w:rsid w:val="00866146"/>
    <w:rsid w:val="008662CF"/>
    <w:rsid w:val="00866390"/>
    <w:rsid w:val="00866413"/>
    <w:rsid w:val="008666EC"/>
    <w:rsid w:val="00866C81"/>
    <w:rsid w:val="00866D92"/>
    <w:rsid w:val="00866E0C"/>
    <w:rsid w:val="00867262"/>
    <w:rsid w:val="00867324"/>
    <w:rsid w:val="00867FBD"/>
    <w:rsid w:val="00870197"/>
    <w:rsid w:val="008701E9"/>
    <w:rsid w:val="008702D2"/>
    <w:rsid w:val="00870309"/>
    <w:rsid w:val="0087033B"/>
    <w:rsid w:val="008704B6"/>
    <w:rsid w:val="0087056F"/>
    <w:rsid w:val="008707B9"/>
    <w:rsid w:val="00870976"/>
    <w:rsid w:val="00870A17"/>
    <w:rsid w:val="00870CF3"/>
    <w:rsid w:val="00870F2D"/>
    <w:rsid w:val="0087111A"/>
    <w:rsid w:val="0087120C"/>
    <w:rsid w:val="0087121D"/>
    <w:rsid w:val="00871692"/>
    <w:rsid w:val="00871BCA"/>
    <w:rsid w:val="00871C1B"/>
    <w:rsid w:val="00871EBC"/>
    <w:rsid w:val="00872088"/>
    <w:rsid w:val="0087209E"/>
    <w:rsid w:val="0087222E"/>
    <w:rsid w:val="00872778"/>
    <w:rsid w:val="008729C5"/>
    <w:rsid w:val="00872A30"/>
    <w:rsid w:val="00872A44"/>
    <w:rsid w:val="00872A8E"/>
    <w:rsid w:val="00872DD7"/>
    <w:rsid w:val="00872E55"/>
    <w:rsid w:val="00872E95"/>
    <w:rsid w:val="00872ED5"/>
    <w:rsid w:val="00872F1A"/>
    <w:rsid w:val="00872F53"/>
    <w:rsid w:val="008730F1"/>
    <w:rsid w:val="0087313E"/>
    <w:rsid w:val="008731CC"/>
    <w:rsid w:val="00873281"/>
    <w:rsid w:val="008735EE"/>
    <w:rsid w:val="0087375C"/>
    <w:rsid w:val="00873A18"/>
    <w:rsid w:val="00873E42"/>
    <w:rsid w:val="00874152"/>
    <w:rsid w:val="00874282"/>
    <w:rsid w:val="008742F1"/>
    <w:rsid w:val="00874417"/>
    <w:rsid w:val="008744F5"/>
    <w:rsid w:val="0087474A"/>
    <w:rsid w:val="0087478D"/>
    <w:rsid w:val="00874B70"/>
    <w:rsid w:val="00874BA7"/>
    <w:rsid w:val="00874E8B"/>
    <w:rsid w:val="00875225"/>
    <w:rsid w:val="00875274"/>
    <w:rsid w:val="00875387"/>
    <w:rsid w:val="008753C6"/>
    <w:rsid w:val="008753F7"/>
    <w:rsid w:val="0087552C"/>
    <w:rsid w:val="008755B9"/>
    <w:rsid w:val="00875614"/>
    <w:rsid w:val="008756A2"/>
    <w:rsid w:val="008757B3"/>
    <w:rsid w:val="008759CD"/>
    <w:rsid w:val="00875BA4"/>
    <w:rsid w:val="00875C00"/>
    <w:rsid w:val="00875E25"/>
    <w:rsid w:val="00875E52"/>
    <w:rsid w:val="008761B5"/>
    <w:rsid w:val="008763B8"/>
    <w:rsid w:val="008764EB"/>
    <w:rsid w:val="00876573"/>
    <w:rsid w:val="008765AA"/>
    <w:rsid w:val="0087673D"/>
    <w:rsid w:val="008767E9"/>
    <w:rsid w:val="00876886"/>
    <w:rsid w:val="0087688D"/>
    <w:rsid w:val="00876900"/>
    <w:rsid w:val="00876C09"/>
    <w:rsid w:val="00876D6A"/>
    <w:rsid w:val="00876DAD"/>
    <w:rsid w:val="00876DB3"/>
    <w:rsid w:val="0087745A"/>
    <w:rsid w:val="008774FC"/>
    <w:rsid w:val="008775F7"/>
    <w:rsid w:val="00877616"/>
    <w:rsid w:val="00877A39"/>
    <w:rsid w:val="00877B41"/>
    <w:rsid w:val="00877B52"/>
    <w:rsid w:val="00877C36"/>
    <w:rsid w:val="00877F70"/>
    <w:rsid w:val="008800FE"/>
    <w:rsid w:val="00880167"/>
    <w:rsid w:val="00880179"/>
    <w:rsid w:val="0088036A"/>
    <w:rsid w:val="0088042B"/>
    <w:rsid w:val="008804FC"/>
    <w:rsid w:val="0088097B"/>
    <w:rsid w:val="00880993"/>
    <w:rsid w:val="00880AA1"/>
    <w:rsid w:val="00880ACF"/>
    <w:rsid w:val="00880E11"/>
    <w:rsid w:val="00880F06"/>
    <w:rsid w:val="00880F10"/>
    <w:rsid w:val="00880F36"/>
    <w:rsid w:val="008812A2"/>
    <w:rsid w:val="008813E8"/>
    <w:rsid w:val="0088140C"/>
    <w:rsid w:val="0088178B"/>
    <w:rsid w:val="00882159"/>
    <w:rsid w:val="008821B5"/>
    <w:rsid w:val="00882249"/>
    <w:rsid w:val="00882293"/>
    <w:rsid w:val="00882763"/>
    <w:rsid w:val="008827D5"/>
    <w:rsid w:val="0088290E"/>
    <w:rsid w:val="00882ACF"/>
    <w:rsid w:val="00882BC7"/>
    <w:rsid w:val="00882DE9"/>
    <w:rsid w:val="00882F05"/>
    <w:rsid w:val="00882F38"/>
    <w:rsid w:val="00883098"/>
    <w:rsid w:val="00883235"/>
    <w:rsid w:val="008832B0"/>
    <w:rsid w:val="008837C9"/>
    <w:rsid w:val="0088385F"/>
    <w:rsid w:val="0088391F"/>
    <w:rsid w:val="00883A62"/>
    <w:rsid w:val="00884049"/>
    <w:rsid w:val="0088422A"/>
    <w:rsid w:val="0088464A"/>
    <w:rsid w:val="00884EC0"/>
    <w:rsid w:val="00885349"/>
    <w:rsid w:val="00885469"/>
    <w:rsid w:val="008856C4"/>
    <w:rsid w:val="008857AD"/>
    <w:rsid w:val="00885A03"/>
    <w:rsid w:val="00885A34"/>
    <w:rsid w:val="00885BD4"/>
    <w:rsid w:val="00885D5E"/>
    <w:rsid w:val="00885DAF"/>
    <w:rsid w:val="00885DBF"/>
    <w:rsid w:val="00885E1A"/>
    <w:rsid w:val="00886014"/>
    <w:rsid w:val="0088604C"/>
    <w:rsid w:val="008862C8"/>
    <w:rsid w:val="008868FB"/>
    <w:rsid w:val="00886963"/>
    <w:rsid w:val="00886A83"/>
    <w:rsid w:val="00886BF3"/>
    <w:rsid w:val="00886D48"/>
    <w:rsid w:val="00886E64"/>
    <w:rsid w:val="008870EA"/>
    <w:rsid w:val="00887117"/>
    <w:rsid w:val="008871EC"/>
    <w:rsid w:val="008873E6"/>
    <w:rsid w:val="0088745D"/>
    <w:rsid w:val="008877A0"/>
    <w:rsid w:val="008877E3"/>
    <w:rsid w:val="0088785B"/>
    <w:rsid w:val="00887933"/>
    <w:rsid w:val="00887D4A"/>
    <w:rsid w:val="00887D9F"/>
    <w:rsid w:val="00887EED"/>
    <w:rsid w:val="008900C3"/>
    <w:rsid w:val="00890379"/>
    <w:rsid w:val="0089043B"/>
    <w:rsid w:val="0089067B"/>
    <w:rsid w:val="00890898"/>
    <w:rsid w:val="0089099B"/>
    <w:rsid w:val="00890A71"/>
    <w:rsid w:val="00890D59"/>
    <w:rsid w:val="0089187E"/>
    <w:rsid w:val="00891903"/>
    <w:rsid w:val="008919F9"/>
    <w:rsid w:val="00891A2A"/>
    <w:rsid w:val="00891EB1"/>
    <w:rsid w:val="00891F1E"/>
    <w:rsid w:val="00891F3D"/>
    <w:rsid w:val="00891FE5"/>
    <w:rsid w:val="008922BE"/>
    <w:rsid w:val="00892327"/>
    <w:rsid w:val="00892414"/>
    <w:rsid w:val="008924AF"/>
    <w:rsid w:val="0089257C"/>
    <w:rsid w:val="008925EC"/>
    <w:rsid w:val="008928BA"/>
    <w:rsid w:val="00892C56"/>
    <w:rsid w:val="00892D53"/>
    <w:rsid w:val="00892EA8"/>
    <w:rsid w:val="00892F0F"/>
    <w:rsid w:val="00892FE9"/>
    <w:rsid w:val="00893358"/>
    <w:rsid w:val="0089354C"/>
    <w:rsid w:val="008936AA"/>
    <w:rsid w:val="008939D2"/>
    <w:rsid w:val="008939FD"/>
    <w:rsid w:val="00893A50"/>
    <w:rsid w:val="00893F1E"/>
    <w:rsid w:val="00893FFA"/>
    <w:rsid w:val="00894233"/>
    <w:rsid w:val="0089456D"/>
    <w:rsid w:val="00894749"/>
    <w:rsid w:val="00894752"/>
    <w:rsid w:val="008947D6"/>
    <w:rsid w:val="00894AE8"/>
    <w:rsid w:val="0089504E"/>
    <w:rsid w:val="008950F3"/>
    <w:rsid w:val="00895244"/>
    <w:rsid w:val="008952B4"/>
    <w:rsid w:val="00895399"/>
    <w:rsid w:val="00895597"/>
    <w:rsid w:val="00895C63"/>
    <w:rsid w:val="00895CD2"/>
    <w:rsid w:val="00895CF7"/>
    <w:rsid w:val="008964DB"/>
    <w:rsid w:val="0089652C"/>
    <w:rsid w:val="0089666D"/>
    <w:rsid w:val="00896755"/>
    <w:rsid w:val="008968D1"/>
    <w:rsid w:val="00896915"/>
    <w:rsid w:val="0089693C"/>
    <w:rsid w:val="00896C13"/>
    <w:rsid w:val="00896F06"/>
    <w:rsid w:val="00897118"/>
    <w:rsid w:val="0089712E"/>
    <w:rsid w:val="00897278"/>
    <w:rsid w:val="008972C0"/>
    <w:rsid w:val="008976E4"/>
    <w:rsid w:val="00897EAD"/>
    <w:rsid w:val="00897F0F"/>
    <w:rsid w:val="00897FEE"/>
    <w:rsid w:val="008A0113"/>
    <w:rsid w:val="008A0A04"/>
    <w:rsid w:val="008A0B97"/>
    <w:rsid w:val="008A0E0B"/>
    <w:rsid w:val="008A0E37"/>
    <w:rsid w:val="008A0EAF"/>
    <w:rsid w:val="008A0FF7"/>
    <w:rsid w:val="008A115E"/>
    <w:rsid w:val="008A173E"/>
    <w:rsid w:val="008A1BBA"/>
    <w:rsid w:val="008A1E8A"/>
    <w:rsid w:val="008A1EE0"/>
    <w:rsid w:val="008A1FF9"/>
    <w:rsid w:val="008A22E1"/>
    <w:rsid w:val="008A2366"/>
    <w:rsid w:val="008A2419"/>
    <w:rsid w:val="008A246E"/>
    <w:rsid w:val="008A2819"/>
    <w:rsid w:val="008A295E"/>
    <w:rsid w:val="008A2AE4"/>
    <w:rsid w:val="008A2C6D"/>
    <w:rsid w:val="008A2D05"/>
    <w:rsid w:val="008A2EF4"/>
    <w:rsid w:val="008A312B"/>
    <w:rsid w:val="008A37D7"/>
    <w:rsid w:val="008A3883"/>
    <w:rsid w:val="008A38D3"/>
    <w:rsid w:val="008A3C61"/>
    <w:rsid w:val="008A3CD0"/>
    <w:rsid w:val="008A3FA6"/>
    <w:rsid w:val="008A3FDB"/>
    <w:rsid w:val="008A4033"/>
    <w:rsid w:val="008A420A"/>
    <w:rsid w:val="008A42CC"/>
    <w:rsid w:val="008A45A2"/>
    <w:rsid w:val="008A49C1"/>
    <w:rsid w:val="008A4D1E"/>
    <w:rsid w:val="008A4DB9"/>
    <w:rsid w:val="008A4E68"/>
    <w:rsid w:val="008A4ECF"/>
    <w:rsid w:val="008A5105"/>
    <w:rsid w:val="008A53AD"/>
    <w:rsid w:val="008A543B"/>
    <w:rsid w:val="008A5471"/>
    <w:rsid w:val="008A5489"/>
    <w:rsid w:val="008A55DD"/>
    <w:rsid w:val="008A56E4"/>
    <w:rsid w:val="008A5AF0"/>
    <w:rsid w:val="008A5C26"/>
    <w:rsid w:val="008A5C9A"/>
    <w:rsid w:val="008A5F2B"/>
    <w:rsid w:val="008A622F"/>
    <w:rsid w:val="008A6383"/>
    <w:rsid w:val="008A6638"/>
    <w:rsid w:val="008A66BE"/>
    <w:rsid w:val="008A6758"/>
    <w:rsid w:val="008A693E"/>
    <w:rsid w:val="008A6A5E"/>
    <w:rsid w:val="008A6CE4"/>
    <w:rsid w:val="008A73BC"/>
    <w:rsid w:val="008A7400"/>
    <w:rsid w:val="008A754C"/>
    <w:rsid w:val="008A763F"/>
    <w:rsid w:val="008A767D"/>
    <w:rsid w:val="008A78BA"/>
    <w:rsid w:val="008A7DC4"/>
    <w:rsid w:val="008B055E"/>
    <w:rsid w:val="008B0BBD"/>
    <w:rsid w:val="008B0CF2"/>
    <w:rsid w:val="008B104D"/>
    <w:rsid w:val="008B1367"/>
    <w:rsid w:val="008B14C8"/>
    <w:rsid w:val="008B19A4"/>
    <w:rsid w:val="008B1A9E"/>
    <w:rsid w:val="008B1CC7"/>
    <w:rsid w:val="008B1D71"/>
    <w:rsid w:val="008B1DD2"/>
    <w:rsid w:val="008B1E0A"/>
    <w:rsid w:val="008B2165"/>
    <w:rsid w:val="008B21FA"/>
    <w:rsid w:val="008B233F"/>
    <w:rsid w:val="008B23C8"/>
    <w:rsid w:val="008B2447"/>
    <w:rsid w:val="008B261C"/>
    <w:rsid w:val="008B270B"/>
    <w:rsid w:val="008B27C6"/>
    <w:rsid w:val="008B2E01"/>
    <w:rsid w:val="008B31C5"/>
    <w:rsid w:val="008B3223"/>
    <w:rsid w:val="008B3961"/>
    <w:rsid w:val="008B39EC"/>
    <w:rsid w:val="008B3B7B"/>
    <w:rsid w:val="008B3BAB"/>
    <w:rsid w:val="008B3E22"/>
    <w:rsid w:val="008B4091"/>
    <w:rsid w:val="008B438B"/>
    <w:rsid w:val="008B4400"/>
    <w:rsid w:val="008B4472"/>
    <w:rsid w:val="008B4741"/>
    <w:rsid w:val="008B47C1"/>
    <w:rsid w:val="008B4A2F"/>
    <w:rsid w:val="008B4AA8"/>
    <w:rsid w:val="008B4ACD"/>
    <w:rsid w:val="008B4B18"/>
    <w:rsid w:val="008B4B1F"/>
    <w:rsid w:val="008B4C9F"/>
    <w:rsid w:val="008B5154"/>
    <w:rsid w:val="008B51D4"/>
    <w:rsid w:val="008B53D6"/>
    <w:rsid w:val="008B5654"/>
    <w:rsid w:val="008B58D7"/>
    <w:rsid w:val="008B58FE"/>
    <w:rsid w:val="008B5A52"/>
    <w:rsid w:val="008B5B6D"/>
    <w:rsid w:val="008B5DA9"/>
    <w:rsid w:val="008B5F13"/>
    <w:rsid w:val="008B61A4"/>
    <w:rsid w:val="008B6265"/>
    <w:rsid w:val="008B62F5"/>
    <w:rsid w:val="008B6467"/>
    <w:rsid w:val="008B64F4"/>
    <w:rsid w:val="008B65DD"/>
    <w:rsid w:val="008B65FE"/>
    <w:rsid w:val="008B693F"/>
    <w:rsid w:val="008B69A1"/>
    <w:rsid w:val="008B6B6C"/>
    <w:rsid w:val="008B6CBA"/>
    <w:rsid w:val="008B6E52"/>
    <w:rsid w:val="008B6ECE"/>
    <w:rsid w:val="008B7080"/>
    <w:rsid w:val="008B70BF"/>
    <w:rsid w:val="008B713B"/>
    <w:rsid w:val="008B71A2"/>
    <w:rsid w:val="008B7586"/>
    <w:rsid w:val="008B7857"/>
    <w:rsid w:val="008B786A"/>
    <w:rsid w:val="008B79AC"/>
    <w:rsid w:val="008B7FC0"/>
    <w:rsid w:val="008C0241"/>
    <w:rsid w:val="008C02A9"/>
    <w:rsid w:val="008C03FD"/>
    <w:rsid w:val="008C0538"/>
    <w:rsid w:val="008C07C3"/>
    <w:rsid w:val="008C0956"/>
    <w:rsid w:val="008C10EC"/>
    <w:rsid w:val="008C186F"/>
    <w:rsid w:val="008C1C14"/>
    <w:rsid w:val="008C1DCC"/>
    <w:rsid w:val="008C2118"/>
    <w:rsid w:val="008C21BF"/>
    <w:rsid w:val="008C22BF"/>
    <w:rsid w:val="008C235E"/>
    <w:rsid w:val="008C2597"/>
    <w:rsid w:val="008C2717"/>
    <w:rsid w:val="008C2758"/>
    <w:rsid w:val="008C2772"/>
    <w:rsid w:val="008C2B1B"/>
    <w:rsid w:val="008C2F5A"/>
    <w:rsid w:val="008C335E"/>
    <w:rsid w:val="008C346B"/>
    <w:rsid w:val="008C35A7"/>
    <w:rsid w:val="008C35D2"/>
    <w:rsid w:val="008C373A"/>
    <w:rsid w:val="008C379A"/>
    <w:rsid w:val="008C3AC6"/>
    <w:rsid w:val="008C3B99"/>
    <w:rsid w:val="008C3BDA"/>
    <w:rsid w:val="008C3CCB"/>
    <w:rsid w:val="008C3E47"/>
    <w:rsid w:val="008C3FE9"/>
    <w:rsid w:val="008C40D1"/>
    <w:rsid w:val="008C40DC"/>
    <w:rsid w:val="008C4105"/>
    <w:rsid w:val="008C4392"/>
    <w:rsid w:val="008C44AA"/>
    <w:rsid w:val="008C4698"/>
    <w:rsid w:val="008C47F1"/>
    <w:rsid w:val="008C489B"/>
    <w:rsid w:val="008C4A06"/>
    <w:rsid w:val="008C4ACF"/>
    <w:rsid w:val="008C4CE7"/>
    <w:rsid w:val="008C4EC5"/>
    <w:rsid w:val="008C51F3"/>
    <w:rsid w:val="008C5244"/>
    <w:rsid w:val="008C52B3"/>
    <w:rsid w:val="008C530B"/>
    <w:rsid w:val="008C53F8"/>
    <w:rsid w:val="008C5458"/>
    <w:rsid w:val="008C5649"/>
    <w:rsid w:val="008C5828"/>
    <w:rsid w:val="008C596D"/>
    <w:rsid w:val="008C5CE1"/>
    <w:rsid w:val="008C5D05"/>
    <w:rsid w:val="008C5F0C"/>
    <w:rsid w:val="008C5F5D"/>
    <w:rsid w:val="008C5F8A"/>
    <w:rsid w:val="008C6107"/>
    <w:rsid w:val="008C62D8"/>
    <w:rsid w:val="008C630D"/>
    <w:rsid w:val="008C6340"/>
    <w:rsid w:val="008C64C3"/>
    <w:rsid w:val="008C6DA4"/>
    <w:rsid w:val="008C6DAB"/>
    <w:rsid w:val="008C6DB6"/>
    <w:rsid w:val="008C7372"/>
    <w:rsid w:val="008C74E5"/>
    <w:rsid w:val="008C758A"/>
    <w:rsid w:val="008C77E9"/>
    <w:rsid w:val="008C7AB7"/>
    <w:rsid w:val="008C7CC7"/>
    <w:rsid w:val="008C7D68"/>
    <w:rsid w:val="008C7EAE"/>
    <w:rsid w:val="008D00A6"/>
    <w:rsid w:val="008D00D4"/>
    <w:rsid w:val="008D015B"/>
    <w:rsid w:val="008D04B4"/>
    <w:rsid w:val="008D04F9"/>
    <w:rsid w:val="008D0884"/>
    <w:rsid w:val="008D0B24"/>
    <w:rsid w:val="008D0DD8"/>
    <w:rsid w:val="008D1486"/>
    <w:rsid w:val="008D14BA"/>
    <w:rsid w:val="008D19CB"/>
    <w:rsid w:val="008D23D3"/>
    <w:rsid w:val="008D2472"/>
    <w:rsid w:val="008D25CA"/>
    <w:rsid w:val="008D2971"/>
    <w:rsid w:val="008D2AA2"/>
    <w:rsid w:val="008D2D43"/>
    <w:rsid w:val="008D2DE2"/>
    <w:rsid w:val="008D2F2E"/>
    <w:rsid w:val="008D3212"/>
    <w:rsid w:val="008D324F"/>
    <w:rsid w:val="008D36FD"/>
    <w:rsid w:val="008D3707"/>
    <w:rsid w:val="008D383C"/>
    <w:rsid w:val="008D398E"/>
    <w:rsid w:val="008D39B8"/>
    <w:rsid w:val="008D3A44"/>
    <w:rsid w:val="008D3F91"/>
    <w:rsid w:val="008D4089"/>
    <w:rsid w:val="008D4185"/>
    <w:rsid w:val="008D4306"/>
    <w:rsid w:val="008D43B0"/>
    <w:rsid w:val="008D4413"/>
    <w:rsid w:val="008D4435"/>
    <w:rsid w:val="008D48FC"/>
    <w:rsid w:val="008D4B52"/>
    <w:rsid w:val="008D4D37"/>
    <w:rsid w:val="008D5300"/>
    <w:rsid w:val="008D5355"/>
    <w:rsid w:val="008D555F"/>
    <w:rsid w:val="008D5671"/>
    <w:rsid w:val="008D56F0"/>
    <w:rsid w:val="008D5722"/>
    <w:rsid w:val="008D5DED"/>
    <w:rsid w:val="008D5E5B"/>
    <w:rsid w:val="008D5E9F"/>
    <w:rsid w:val="008D5EB9"/>
    <w:rsid w:val="008D61B9"/>
    <w:rsid w:val="008D61E3"/>
    <w:rsid w:val="008D6271"/>
    <w:rsid w:val="008D632E"/>
    <w:rsid w:val="008D6346"/>
    <w:rsid w:val="008D658F"/>
    <w:rsid w:val="008D663C"/>
    <w:rsid w:val="008D66FA"/>
    <w:rsid w:val="008D672D"/>
    <w:rsid w:val="008D6860"/>
    <w:rsid w:val="008D6A91"/>
    <w:rsid w:val="008D718C"/>
    <w:rsid w:val="008D7878"/>
    <w:rsid w:val="008D78B3"/>
    <w:rsid w:val="008D7B64"/>
    <w:rsid w:val="008D7C82"/>
    <w:rsid w:val="008D7D1F"/>
    <w:rsid w:val="008D7D71"/>
    <w:rsid w:val="008E0175"/>
    <w:rsid w:val="008E0211"/>
    <w:rsid w:val="008E054A"/>
    <w:rsid w:val="008E07B4"/>
    <w:rsid w:val="008E0865"/>
    <w:rsid w:val="008E0925"/>
    <w:rsid w:val="008E0958"/>
    <w:rsid w:val="008E0BF9"/>
    <w:rsid w:val="008E0DDE"/>
    <w:rsid w:val="008E1238"/>
    <w:rsid w:val="008E12D0"/>
    <w:rsid w:val="008E135A"/>
    <w:rsid w:val="008E1440"/>
    <w:rsid w:val="008E1775"/>
    <w:rsid w:val="008E18E3"/>
    <w:rsid w:val="008E1909"/>
    <w:rsid w:val="008E1A4C"/>
    <w:rsid w:val="008E1FE8"/>
    <w:rsid w:val="008E22CF"/>
    <w:rsid w:val="008E2352"/>
    <w:rsid w:val="008E24A4"/>
    <w:rsid w:val="008E2505"/>
    <w:rsid w:val="008E25B6"/>
    <w:rsid w:val="008E25C5"/>
    <w:rsid w:val="008E2626"/>
    <w:rsid w:val="008E2643"/>
    <w:rsid w:val="008E26A8"/>
    <w:rsid w:val="008E2A07"/>
    <w:rsid w:val="008E2A7C"/>
    <w:rsid w:val="008E2B4F"/>
    <w:rsid w:val="008E2F7B"/>
    <w:rsid w:val="008E32ED"/>
    <w:rsid w:val="008E3BDF"/>
    <w:rsid w:val="008E4245"/>
    <w:rsid w:val="008E432C"/>
    <w:rsid w:val="008E4502"/>
    <w:rsid w:val="008E4528"/>
    <w:rsid w:val="008E4BD3"/>
    <w:rsid w:val="008E4F09"/>
    <w:rsid w:val="008E4F9A"/>
    <w:rsid w:val="008E4FCA"/>
    <w:rsid w:val="008E5012"/>
    <w:rsid w:val="008E535C"/>
    <w:rsid w:val="008E5935"/>
    <w:rsid w:val="008E5B64"/>
    <w:rsid w:val="008E5BEA"/>
    <w:rsid w:val="008E5BF5"/>
    <w:rsid w:val="008E6117"/>
    <w:rsid w:val="008E633B"/>
    <w:rsid w:val="008E63C5"/>
    <w:rsid w:val="008E6487"/>
    <w:rsid w:val="008E671A"/>
    <w:rsid w:val="008E6AFD"/>
    <w:rsid w:val="008E6BD5"/>
    <w:rsid w:val="008E6C8D"/>
    <w:rsid w:val="008E6DDA"/>
    <w:rsid w:val="008E6E2F"/>
    <w:rsid w:val="008E705A"/>
    <w:rsid w:val="008E7144"/>
    <w:rsid w:val="008E738F"/>
    <w:rsid w:val="008E744C"/>
    <w:rsid w:val="008E76CF"/>
    <w:rsid w:val="008E7733"/>
    <w:rsid w:val="008E7901"/>
    <w:rsid w:val="008E795A"/>
    <w:rsid w:val="008E7C50"/>
    <w:rsid w:val="008E7CB8"/>
    <w:rsid w:val="008F02DF"/>
    <w:rsid w:val="008F04F9"/>
    <w:rsid w:val="008F0868"/>
    <w:rsid w:val="008F08EB"/>
    <w:rsid w:val="008F0D84"/>
    <w:rsid w:val="008F1140"/>
    <w:rsid w:val="008F11D3"/>
    <w:rsid w:val="008F13A9"/>
    <w:rsid w:val="008F1611"/>
    <w:rsid w:val="008F176D"/>
    <w:rsid w:val="008F1DD8"/>
    <w:rsid w:val="008F1E8E"/>
    <w:rsid w:val="008F2087"/>
    <w:rsid w:val="008F2326"/>
    <w:rsid w:val="008F23AE"/>
    <w:rsid w:val="008F262A"/>
    <w:rsid w:val="008F26D3"/>
    <w:rsid w:val="008F2765"/>
    <w:rsid w:val="008F28B0"/>
    <w:rsid w:val="008F2CCC"/>
    <w:rsid w:val="008F2EF9"/>
    <w:rsid w:val="008F307B"/>
    <w:rsid w:val="008F3105"/>
    <w:rsid w:val="008F33A3"/>
    <w:rsid w:val="008F358E"/>
    <w:rsid w:val="008F38DF"/>
    <w:rsid w:val="008F3A41"/>
    <w:rsid w:val="008F3CBB"/>
    <w:rsid w:val="008F3E10"/>
    <w:rsid w:val="008F3F30"/>
    <w:rsid w:val="008F3F5E"/>
    <w:rsid w:val="008F4065"/>
    <w:rsid w:val="008F406C"/>
    <w:rsid w:val="008F4070"/>
    <w:rsid w:val="008F412F"/>
    <w:rsid w:val="008F414C"/>
    <w:rsid w:val="008F43B8"/>
    <w:rsid w:val="008F47AB"/>
    <w:rsid w:val="008F483B"/>
    <w:rsid w:val="008F4AC3"/>
    <w:rsid w:val="008F4BAB"/>
    <w:rsid w:val="008F4BB7"/>
    <w:rsid w:val="008F4C5D"/>
    <w:rsid w:val="008F50BE"/>
    <w:rsid w:val="008F5101"/>
    <w:rsid w:val="008F532C"/>
    <w:rsid w:val="008F5FC6"/>
    <w:rsid w:val="008F62E4"/>
    <w:rsid w:val="008F6551"/>
    <w:rsid w:val="008F687D"/>
    <w:rsid w:val="008F68C4"/>
    <w:rsid w:val="008F6A57"/>
    <w:rsid w:val="008F6E06"/>
    <w:rsid w:val="008F6E8B"/>
    <w:rsid w:val="008F7084"/>
    <w:rsid w:val="008F71F9"/>
    <w:rsid w:val="008F74E7"/>
    <w:rsid w:val="008F7526"/>
    <w:rsid w:val="008F75B9"/>
    <w:rsid w:val="008F799F"/>
    <w:rsid w:val="008F7CC3"/>
    <w:rsid w:val="008F7EF0"/>
    <w:rsid w:val="00900182"/>
    <w:rsid w:val="00900211"/>
    <w:rsid w:val="00900265"/>
    <w:rsid w:val="009002C0"/>
    <w:rsid w:val="009005B9"/>
    <w:rsid w:val="0090064C"/>
    <w:rsid w:val="009009EE"/>
    <w:rsid w:val="00900BA6"/>
    <w:rsid w:val="00900DFA"/>
    <w:rsid w:val="00900EE0"/>
    <w:rsid w:val="0090112D"/>
    <w:rsid w:val="00901196"/>
    <w:rsid w:val="0090126C"/>
    <w:rsid w:val="00901420"/>
    <w:rsid w:val="00901427"/>
    <w:rsid w:val="009014D7"/>
    <w:rsid w:val="009015CB"/>
    <w:rsid w:val="00901852"/>
    <w:rsid w:val="009018BB"/>
    <w:rsid w:val="00901A79"/>
    <w:rsid w:val="00901B3D"/>
    <w:rsid w:val="00901E02"/>
    <w:rsid w:val="00901E05"/>
    <w:rsid w:val="00902030"/>
    <w:rsid w:val="009021AB"/>
    <w:rsid w:val="009021AC"/>
    <w:rsid w:val="0090246C"/>
    <w:rsid w:val="009024B9"/>
    <w:rsid w:val="009024E8"/>
    <w:rsid w:val="009025D7"/>
    <w:rsid w:val="009028F4"/>
    <w:rsid w:val="00902913"/>
    <w:rsid w:val="0090294E"/>
    <w:rsid w:val="009029EC"/>
    <w:rsid w:val="00902B75"/>
    <w:rsid w:val="00902C74"/>
    <w:rsid w:val="00902E1A"/>
    <w:rsid w:val="0090352F"/>
    <w:rsid w:val="00903599"/>
    <w:rsid w:val="009035E5"/>
    <w:rsid w:val="00903899"/>
    <w:rsid w:val="00903AB4"/>
    <w:rsid w:val="00903AEC"/>
    <w:rsid w:val="00903C4F"/>
    <w:rsid w:val="00903E9E"/>
    <w:rsid w:val="00904350"/>
    <w:rsid w:val="009043CB"/>
    <w:rsid w:val="0090464D"/>
    <w:rsid w:val="0090471D"/>
    <w:rsid w:val="009047C1"/>
    <w:rsid w:val="00904A85"/>
    <w:rsid w:val="00904B94"/>
    <w:rsid w:val="00904D54"/>
    <w:rsid w:val="00904DAC"/>
    <w:rsid w:val="00904FB0"/>
    <w:rsid w:val="00905042"/>
    <w:rsid w:val="009051D7"/>
    <w:rsid w:val="009059AF"/>
    <w:rsid w:val="00905FCE"/>
    <w:rsid w:val="00906276"/>
    <w:rsid w:val="009062B7"/>
    <w:rsid w:val="00906403"/>
    <w:rsid w:val="0090688B"/>
    <w:rsid w:val="00906CDA"/>
    <w:rsid w:val="00906F2F"/>
    <w:rsid w:val="00906F33"/>
    <w:rsid w:val="00907167"/>
    <w:rsid w:val="009073FD"/>
    <w:rsid w:val="009076B9"/>
    <w:rsid w:val="00907889"/>
    <w:rsid w:val="00907893"/>
    <w:rsid w:val="009078CB"/>
    <w:rsid w:val="00907AD4"/>
    <w:rsid w:val="00907AD9"/>
    <w:rsid w:val="00907B02"/>
    <w:rsid w:val="00907B5C"/>
    <w:rsid w:val="0091008E"/>
    <w:rsid w:val="009100D7"/>
    <w:rsid w:val="00910589"/>
    <w:rsid w:val="0091090B"/>
    <w:rsid w:val="00910D21"/>
    <w:rsid w:val="00910F5C"/>
    <w:rsid w:val="0091119D"/>
    <w:rsid w:val="0091121A"/>
    <w:rsid w:val="009113DE"/>
    <w:rsid w:val="00911623"/>
    <w:rsid w:val="009116E8"/>
    <w:rsid w:val="009119DF"/>
    <w:rsid w:val="00911A00"/>
    <w:rsid w:val="00911B66"/>
    <w:rsid w:val="00911EBF"/>
    <w:rsid w:val="00912242"/>
    <w:rsid w:val="009124C8"/>
    <w:rsid w:val="009128A1"/>
    <w:rsid w:val="00912A2F"/>
    <w:rsid w:val="00912ABE"/>
    <w:rsid w:val="00913234"/>
    <w:rsid w:val="00913640"/>
    <w:rsid w:val="009136D3"/>
    <w:rsid w:val="0091389D"/>
    <w:rsid w:val="00913B2C"/>
    <w:rsid w:val="00913BBF"/>
    <w:rsid w:val="00913E5D"/>
    <w:rsid w:val="009140F4"/>
    <w:rsid w:val="009142BC"/>
    <w:rsid w:val="00914A12"/>
    <w:rsid w:val="00914C64"/>
    <w:rsid w:val="00914EBB"/>
    <w:rsid w:val="00915234"/>
    <w:rsid w:val="00915346"/>
    <w:rsid w:val="0091545A"/>
    <w:rsid w:val="009158A4"/>
    <w:rsid w:val="00915BCF"/>
    <w:rsid w:val="00915D04"/>
    <w:rsid w:val="00915E8A"/>
    <w:rsid w:val="00915F1E"/>
    <w:rsid w:val="00916725"/>
    <w:rsid w:val="00916750"/>
    <w:rsid w:val="00916757"/>
    <w:rsid w:val="00916AA0"/>
    <w:rsid w:val="00916FDF"/>
    <w:rsid w:val="0091721E"/>
    <w:rsid w:val="00917331"/>
    <w:rsid w:val="00917374"/>
    <w:rsid w:val="00917766"/>
    <w:rsid w:val="00917825"/>
    <w:rsid w:val="009178BE"/>
    <w:rsid w:val="00917DE1"/>
    <w:rsid w:val="00917E8E"/>
    <w:rsid w:val="00917F29"/>
    <w:rsid w:val="009200A9"/>
    <w:rsid w:val="0092024B"/>
    <w:rsid w:val="00920399"/>
    <w:rsid w:val="009204F7"/>
    <w:rsid w:val="00920559"/>
    <w:rsid w:val="00920A74"/>
    <w:rsid w:val="00920CC9"/>
    <w:rsid w:val="00920E7B"/>
    <w:rsid w:val="00920FFF"/>
    <w:rsid w:val="0092158B"/>
    <w:rsid w:val="009215B9"/>
    <w:rsid w:val="00921630"/>
    <w:rsid w:val="00921B85"/>
    <w:rsid w:val="00921BEE"/>
    <w:rsid w:val="00921CDA"/>
    <w:rsid w:val="00921D5B"/>
    <w:rsid w:val="00922040"/>
    <w:rsid w:val="009222E7"/>
    <w:rsid w:val="00922D33"/>
    <w:rsid w:val="00922DC6"/>
    <w:rsid w:val="009234EC"/>
    <w:rsid w:val="0092365F"/>
    <w:rsid w:val="009239C8"/>
    <w:rsid w:val="009239F4"/>
    <w:rsid w:val="00923A7B"/>
    <w:rsid w:val="00923B77"/>
    <w:rsid w:val="00923BE8"/>
    <w:rsid w:val="00923F67"/>
    <w:rsid w:val="00923F74"/>
    <w:rsid w:val="00923F8A"/>
    <w:rsid w:val="00924079"/>
    <w:rsid w:val="00924331"/>
    <w:rsid w:val="009244F1"/>
    <w:rsid w:val="009245EE"/>
    <w:rsid w:val="0092489D"/>
    <w:rsid w:val="009248B1"/>
    <w:rsid w:val="00924981"/>
    <w:rsid w:val="00924B73"/>
    <w:rsid w:val="00924E3A"/>
    <w:rsid w:val="00924EB3"/>
    <w:rsid w:val="0092514D"/>
    <w:rsid w:val="0092517E"/>
    <w:rsid w:val="00925257"/>
    <w:rsid w:val="00925592"/>
    <w:rsid w:val="0092560C"/>
    <w:rsid w:val="0092573B"/>
    <w:rsid w:val="0092577B"/>
    <w:rsid w:val="00925B5C"/>
    <w:rsid w:val="0092619F"/>
    <w:rsid w:val="009262A3"/>
    <w:rsid w:val="009263B6"/>
    <w:rsid w:val="00926788"/>
    <w:rsid w:val="009267A3"/>
    <w:rsid w:val="0092694A"/>
    <w:rsid w:val="00926956"/>
    <w:rsid w:val="00926DE6"/>
    <w:rsid w:val="00926EF0"/>
    <w:rsid w:val="00926F8E"/>
    <w:rsid w:val="00926FD3"/>
    <w:rsid w:val="00927056"/>
    <w:rsid w:val="00927111"/>
    <w:rsid w:val="00927334"/>
    <w:rsid w:val="0092733E"/>
    <w:rsid w:val="009277B3"/>
    <w:rsid w:val="00927BFD"/>
    <w:rsid w:val="00927CA7"/>
    <w:rsid w:val="00927D1A"/>
    <w:rsid w:val="00927F98"/>
    <w:rsid w:val="00930139"/>
    <w:rsid w:val="00930A2B"/>
    <w:rsid w:val="00930CA8"/>
    <w:rsid w:val="00931123"/>
    <w:rsid w:val="0093136F"/>
    <w:rsid w:val="0093144C"/>
    <w:rsid w:val="0093146E"/>
    <w:rsid w:val="0093151C"/>
    <w:rsid w:val="009316BB"/>
    <w:rsid w:val="00931A24"/>
    <w:rsid w:val="00931B9E"/>
    <w:rsid w:val="00931DA0"/>
    <w:rsid w:val="009320F1"/>
    <w:rsid w:val="00932280"/>
    <w:rsid w:val="009322DF"/>
    <w:rsid w:val="0093262C"/>
    <w:rsid w:val="00932891"/>
    <w:rsid w:val="00932A66"/>
    <w:rsid w:val="00932ED4"/>
    <w:rsid w:val="00932F63"/>
    <w:rsid w:val="00932FE6"/>
    <w:rsid w:val="00933059"/>
    <w:rsid w:val="0093334B"/>
    <w:rsid w:val="009334B6"/>
    <w:rsid w:val="00933527"/>
    <w:rsid w:val="0093370C"/>
    <w:rsid w:val="009339C4"/>
    <w:rsid w:val="00933C1C"/>
    <w:rsid w:val="00933CC9"/>
    <w:rsid w:val="0093471A"/>
    <w:rsid w:val="0093477F"/>
    <w:rsid w:val="00934B5B"/>
    <w:rsid w:val="00934D76"/>
    <w:rsid w:val="00934F5A"/>
    <w:rsid w:val="009355D2"/>
    <w:rsid w:val="00935650"/>
    <w:rsid w:val="0093577A"/>
    <w:rsid w:val="0093581B"/>
    <w:rsid w:val="00935902"/>
    <w:rsid w:val="00935D41"/>
    <w:rsid w:val="00935DF5"/>
    <w:rsid w:val="009361E6"/>
    <w:rsid w:val="00936337"/>
    <w:rsid w:val="009363A8"/>
    <w:rsid w:val="0093667B"/>
    <w:rsid w:val="00936720"/>
    <w:rsid w:val="0093678C"/>
    <w:rsid w:val="009369A2"/>
    <w:rsid w:val="00936D22"/>
    <w:rsid w:val="00936D35"/>
    <w:rsid w:val="00936D76"/>
    <w:rsid w:val="00936EFD"/>
    <w:rsid w:val="0093746B"/>
    <w:rsid w:val="009376F4"/>
    <w:rsid w:val="00937707"/>
    <w:rsid w:val="00937803"/>
    <w:rsid w:val="00937B70"/>
    <w:rsid w:val="00937EFB"/>
    <w:rsid w:val="0094062F"/>
    <w:rsid w:val="00940757"/>
    <w:rsid w:val="00940831"/>
    <w:rsid w:val="00940865"/>
    <w:rsid w:val="00940A80"/>
    <w:rsid w:val="00940BCA"/>
    <w:rsid w:val="00940C67"/>
    <w:rsid w:val="00940CA6"/>
    <w:rsid w:val="00940E2F"/>
    <w:rsid w:val="00941214"/>
    <w:rsid w:val="0094128B"/>
    <w:rsid w:val="009414CF"/>
    <w:rsid w:val="00941636"/>
    <w:rsid w:val="0094163B"/>
    <w:rsid w:val="009416BD"/>
    <w:rsid w:val="0094174D"/>
    <w:rsid w:val="00941AF1"/>
    <w:rsid w:val="00941B66"/>
    <w:rsid w:val="00941CA2"/>
    <w:rsid w:val="00941DD4"/>
    <w:rsid w:val="00941DE4"/>
    <w:rsid w:val="00942427"/>
    <w:rsid w:val="00942626"/>
    <w:rsid w:val="009426B1"/>
    <w:rsid w:val="00942968"/>
    <w:rsid w:val="00942986"/>
    <w:rsid w:val="00942EEF"/>
    <w:rsid w:val="00943647"/>
    <w:rsid w:val="009438BA"/>
    <w:rsid w:val="009438C6"/>
    <w:rsid w:val="00943A2A"/>
    <w:rsid w:val="00943B9A"/>
    <w:rsid w:val="00943C47"/>
    <w:rsid w:val="00943CCA"/>
    <w:rsid w:val="00943D24"/>
    <w:rsid w:val="00943D6F"/>
    <w:rsid w:val="00943DD6"/>
    <w:rsid w:val="00943EBF"/>
    <w:rsid w:val="00944059"/>
    <w:rsid w:val="00944216"/>
    <w:rsid w:val="009443A5"/>
    <w:rsid w:val="009443B9"/>
    <w:rsid w:val="009443F2"/>
    <w:rsid w:val="009446D9"/>
    <w:rsid w:val="00944A38"/>
    <w:rsid w:val="00944D5D"/>
    <w:rsid w:val="00944DC6"/>
    <w:rsid w:val="00944EFC"/>
    <w:rsid w:val="00944F02"/>
    <w:rsid w:val="0094507D"/>
    <w:rsid w:val="00945131"/>
    <w:rsid w:val="00945428"/>
    <w:rsid w:val="0094581A"/>
    <w:rsid w:val="009458A3"/>
    <w:rsid w:val="00945AA8"/>
    <w:rsid w:val="00945C54"/>
    <w:rsid w:val="00945C88"/>
    <w:rsid w:val="009460FE"/>
    <w:rsid w:val="00946265"/>
    <w:rsid w:val="0094631F"/>
    <w:rsid w:val="00946667"/>
    <w:rsid w:val="009469D5"/>
    <w:rsid w:val="009469ED"/>
    <w:rsid w:val="009470B9"/>
    <w:rsid w:val="009471B5"/>
    <w:rsid w:val="00947565"/>
    <w:rsid w:val="0094782A"/>
    <w:rsid w:val="0094785C"/>
    <w:rsid w:val="0094799C"/>
    <w:rsid w:val="00947B11"/>
    <w:rsid w:val="00947CBA"/>
    <w:rsid w:val="00947CCE"/>
    <w:rsid w:val="00947CD1"/>
    <w:rsid w:val="0095002B"/>
    <w:rsid w:val="00950127"/>
    <w:rsid w:val="0095018D"/>
    <w:rsid w:val="0095020D"/>
    <w:rsid w:val="00950224"/>
    <w:rsid w:val="00950328"/>
    <w:rsid w:val="00950419"/>
    <w:rsid w:val="0095065E"/>
    <w:rsid w:val="009506A1"/>
    <w:rsid w:val="00950748"/>
    <w:rsid w:val="00950BD4"/>
    <w:rsid w:val="00950C27"/>
    <w:rsid w:val="00950C78"/>
    <w:rsid w:val="00950DA7"/>
    <w:rsid w:val="00950F52"/>
    <w:rsid w:val="00950F6A"/>
    <w:rsid w:val="0095104A"/>
    <w:rsid w:val="00951231"/>
    <w:rsid w:val="00951383"/>
    <w:rsid w:val="00951594"/>
    <w:rsid w:val="00951614"/>
    <w:rsid w:val="0095161D"/>
    <w:rsid w:val="00951694"/>
    <w:rsid w:val="0095196F"/>
    <w:rsid w:val="00951992"/>
    <w:rsid w:val="00951A74"/>
    <w:rsid w:val="00951B2C"/>
    <w:rsid w:val="00951B35"/>
    <w:rsid w:val="00951BB0"/>
    <w:rsid w:val="00951DC0"/>
    <w:rsid w:val="00951FE3"/>
    <w:rsid w:val="0095210D"/>
    <w:rsid w:val="00952112"/>
    <w:rsid w:val="00952154"/>
    <w:rsid w:val="00952450"/>
    <w:rsid w:val="009524CA"/>
    <w:rsid w:val="00952520"/>
    <w:rsid w:val="009525B1"/>
    <w:rsid w:val="009528B9"/>
    <w:rsid w:val="00952A55"/>
    <w:rsid w:val="00952AD8"/>
    <w:rsid w:val="00952BE6"/>
    <w:rsid w:val="00952DD3"/>
    <w:rsid w:val="009530A3"/>
    <w:rsid w:val="009534F5"/>
    <w:rsid w:val="0095376F"/>
    <w:rsid w:val="00953845"/>
    <w:rsid w:val="0095394A"/>
    <w:rsid w:val="00953A2A"/>
    <w:rsid w:val="00953B1F"/>
    <w:rsid w:val="00953B47"/>
    <w:rsid w:val="00953C63"/>
    <w:rsid w:val="00953CF9"/>
    <w:rsid w:val="00953EBB"/>
    <w:rsid w:val="00954068"/>
    <w:rsid w:val="00954384"/>
    <w:rsid w:val="009546C4"/>
    <w:rsid w:val="009548A9"/>
    <w:rsid w:val="00954C52"/>
    <w:rsid w:val="00954D07"/>
    <w:rsid w:val="00954DEB"/>
    <w:rsid w:val="00954E87"/>
    <w:rsid w:val="00955078"/>
    <w:rsid w:val="009550E7"/>
    <w:rsid w:val="009550FD"/>
    <w:rsid w:val="009552F8"/>
    <w:rsid w:val="009556C2"/>
    <w:rsid w:val="00955884"/>
    <w:rsid w:val="00955A65"/>
    <w:rsid w:val="00955FBB"/>
    <w:rsid w:val="0095628B"/>
    <w:rsid w:val="0095642F"/>
    <w:rsid w:val="00956578"/>
    <w:rsid w:val="00956658"/>
    <w:rsid w:val="009566F3"/>
    <w:rsid w:val="0095680E"/>
    <w:rsid w:val="00956995"/>
    <w:rsid w:val="00956BAD"/>
    <w:rsid w:val="00957022"/>
    <w:rsid w:val="009571EC"/>
    <w:rsid w:val="00957204"/>
    <w:rsid w:val="00957352"/>
    <w:rsid w:val="00957776"/>
    <w:rsid w:val="009578D1"/>
    <w:rsid w:val="009578DC"/>
    <w:rsid w:val="00957AF3"/>
    <w:rsid w:val="00957BF2"/>
    <w:rsid w:val="00957CB9"/>
    <w:rsid w:val="00957F64"/>
    <w:rsid w:val="009600B3"/>
    <w:rsid w:val="00960430"/>
    <w:rsid w:val="009608B4"/>
    <w:rsid w:val="00960965"/>
    <w:rsid w:val="00960997"/>
    <w:rsid w:val="00960A75"/>
    <w:rsid w:val="00960B2D"/>
    <w:rsid w:val="00960D2E"/>
    <w:rsid w:val="00960F38"/>
    <w:rsid w:val="00961180"/>
    <w:rsid w:val="0096128D"/>
    <w:rsid w:val="009616DF"/>
    <w:rsid w:val="00961726"/>
    <w:rsid w:val="009617C8"/>
    <w:rsid w:val="00961848"/>
    <w:rsid w:val="00961CB4"/>
    <w:rsid w:val="00961CE5"/>
    <w:rsid w:val="00961E25"/>
    <w:rsid w:val="00962043"/>
    <w:rsid w:val="00962149"/>
    <w:rsid w:val="00962A17"/>
    <w:rsid w:val="00962B88"/>
    <w:rsid w:val="00962DAA"/>
    <w:rsid w:val="00962F6B"/>
    <w:rsid w:val="00962FD5"/>
    <w:rsid w:val="00962FFC"/>
    <w:rsid w:val="00963225"/>
    <w:rsid w:val="0096336C"/>
    <w:rsid w:val="0096337F"/>
    <w:rsid w:val="00963437"/>
    <w:rsid w:val="009638FC"/>
    <w:rsid w:val="00963A02"/>
    <w:rsid w:val="00963C2C"/>
    <w:rsid w:val="00964012"/>
    <w:rsid w:val="00964244"/>
    <w:rsid w:val="009643EE"/>
    <w:rsid w:val="00964590"/>
    <w:rsid w:val="00964608"/>
    <w:rsid w:val="009646F2"/>
    <w:rsid w:val="009647EA"/>
    <w:rsid w:val="0096488E"/>
    <w:rsid w:val="00964904"/>
    <w:rsid w:val="00964FFC"/>
    <w:rsid w:val="00965054"/>
    <w:rsid w:val="009658FA"/>
    <w:rsid w:val="00965ABC"/>
    <w:rsid w:val="00965C27"/>
    <w:rsid w:val="00965C80"/>
    <w:rsid w:val="00965E65"/>
    <w:rsid w:val="00965EA5"/>
    <w:rsid w:val="00966122"/>
    <w:rsid w:val="0096626E"/>
    <w:rsid w:val="009662F6"/>
    <w:rsid w:val="00966460"/>
    <w:rsid w:val="00966487"/>
    <w:rsid w:val="00966495"/>
    <w:rsid w:val="009665DB"/>
    <w:rsid w:val="00966600"/>
    <w:rsid w:val="009666EA"/>
    <w:rsid w:val="0096699F"/>
    <w:rsid w:val="00966A0E"/>
    <w:rsid w:val="00966DEE"/>
    <w:rsid w:val="00966E7E"/>
    <w:rsid w:val="00966F01"/>
    <w:rsid w:val="00966FA5"/>
    <w:rsid w:val="009670BA"/>
    <w:rsid w:val="00967170"/>
    <w:rsid w:val="00967179"/>
    <w:rsid w:val="009673AC"/>
    <w:rsid w:val="00967481"/>
    <w:rsid w:val="009675FC"/>
    <w:rsid w:val="00967737"/>
    <w:rsid w:val="00967881"/>
    <w:rsid w:val="00967C3C"/>
    <w:rsid w:val="00967C3D"/>
    <w:rsid w:val="00967CE0"/>
    <w:rsid w:val="00967D6D"/>
    <w:rsid w:val="00967F35"/>
    <w:rsid w:val="009700F8"/>
    <w:rsid w:val="00970126"/>
    <w:rsid w:val="00970415"/>
    <w:rsid w:val="0097046D"/>
    <w:rsid w:val="0097055B"/>
    <w:rsid w:val="00970A5F"/>
    <w:rsid w:val="00970AA1"/>
    <w:rsid w:val="00970CCD"/>
    <w:rsid w:val="00971073"/>
    <w:rsid w:val="00971075"/>
    <w:rsid w:val="0097132B"/>
    <w:rsid w:val="00971395"/>
    <w:rsid w:val="009713D9"/>
    <w:rsid w:val="00971492"/>
    <w:rsid w:val="00971587"/>
    <w:rsid w:val="009718A0"/>
    <w:rsid w:val="00971A16"/>
    <w:rsid w:val="00971BFA"/>
    <w:rsid w:val="00971D7B"/>
    <w:rsid w:val="00971E1D"/>
    <w:rsid w:val="00971E22"/>
    <w:rsid w:val="009720C5"/>
    <w:rsid w:val="0097234D"/>
    <w:rsid w:val="009724E9"/>
    <w:rsid w:val="00972733"/>
    <w:rsid w:val="00972B16"/>
    <w:rsid w:val="00972BAF"/>
    <w:rsid w:val="00972C66"/>
    <w:rsid w:val="00972EB6"/>
    <w:rsid w:val="009730A3"/>
    <w:rsid w:val="00973362"/>
    <w:rsid w:val="00973363"/>
    <w:rsid w:val="009736DC"/>
    <w:rsid w:val="0097375D"/>
    <w:rsid w:val="00973CE4"/>
    <w:rsid w:val="00973DCC"/>
    <w:rsid w:val="00973F32"/>
    <w:rsid w:val="0097405F"/>
    <w:rsid w:val="0097446C"/>
    <w:rsid w:val="009744D1"/>
    <w:rsid w:val="00974726"/>
    <w:rsid w:val="009747F1"/>
    <w:rsid w:val="009749E0"/>
    <w:rsid w:val="00974BD4"/>
    <w:rsid w:val="00974E3A"/>
    <w:rsid w:val="00974F48"/>
    <w:rsid w:val="00975077"/>
    <w:rsid w:val="0097586C"/>
    <w:rsid w:val="0097589D"/>
    <w:rsid w:val="00975978"/>
    <w:rsid w:val="00975CD9"/>
    <w:rsid w:val="00976047"/>
    <w:rsid w:val="009763CF"/>
    <w:rsid w:val="0097644D"/>
    <w:rsid w:val="009771B0"/>
    <w:rsid w:val="00977207"/>
    <w:rsid w:val="009772EB"/>
    <w:rsid w:val="009773B0"/>
    <w:rsid w:val="009775B9"/>
    <w:rsid w:val="009777E5"/>
    <w:rsid w:val="009778BF"/>
    <w:rsid w:val="00977BF4"/>
    <w:rsid w:val="00980429"/>
    <w:rsid w:val="00980442"/>
    <w:rsid w:val="0098045E"/>
    <w:rsid w:val="00980633"/>
    <w:rsid w:val="00980826"/>
    <w:rsid w:val="009808CB"/>
    <w:rsid w:val="009810AC"/>
    <w:rsid w:val="00981283"/>
    <w:rsid w:val="009813F3"/>
    <w:rsid w:val="0098153E"/>
    <w:rsid w:val="009817A4"/>
    <w:rsid w:val="009818D6"/>
    <w:rsid w:val="00981CD2"/>
    <w:rsid w:val="00981EF5"/>
    <w:rsid w:val="00981F77"/>
    <w:rsid w:val="00982766"/>
    <w:rsid w:val="009827A9"/>
    <w:rsid w:val="009829DE"/>
    <w:rsid w:val="00982B0A"/>
    <w:rsid w:val="00982B23"/>
    <w:rsid w:val="00982CFD"/>
    <w:rsid w:val="00982D20"/>
    <w:rsid w:val="009831BA"/>
    <w:rsid w:val="00983220"/>
    <w:rsid w:val="009833D4"/>
    <w:rsid w:val="009835A7"/>
    <w:rsid w:val="00983602"/>
    <w:rsid w:val="00983794"/>
    <w:rsid w:val="009837EA"/>
    <w:rsid w:val="009838FD"/>
    <w:rsid w:val="0098395C"/>
    <w:rsid w:val="00983C7D"/>
    <w:rsid w:val="00983CBA"/>
    <w:rsid w:val="00983E41"/>
    <w:rsid w:val="00983E76"/>
    <w:rsid w:val="00983FC8"/>
    <w:rsid w:val="00984084"/>
    <w:rsid w:val="009841CA"/>
    <w:rsid w:val="0098424B"/>
    <w:rsid w:val="00984285"/>
    <w:rsid w:val="00984395"/>
    <w:rsid w:val="00984605"/>
    <w:rsid w:val="00984966"/>
    <w:rsid w:val="00984B94"/>
    <w:rsid w:val="00984BC5"/>
    <w:rsid w:val="00984F56"/>
    <w:rsid w:val="0098513A"/>
    <w:rsid w:val="00985289"/>
    <w:rsid w:val="0098532A"/>
    <w:rsid w:val="00985B06"/>
    <w:rsid w:val="00985BD2"/>
    <w:rsid w:val="00985CA6"/>
    <w:rsid w:val="00985CF8"/>
    <w:rsid w:val="00985D9D"/>
    <w:rsid w:val="00985E2F"/>
    <w:rsid w:val="00986359"/>
    <w:rsid w:val="0098644B"/>
    <w:rsid w:val="00986644"/>
    <w:rsid w:val="00986654"/>
    <w:rsid w:val="0098689F"/>
    <w:rsid w:val="009869C9"/>
    <w:rsid w:val="00986B2F"/>
    <w:rsid w:val="00986B33"/>
    <w:rsid w:val="00986C3F"/>
    <w:rsid w:val="00986CE9"/>
    <w:rsid w:val="00986ED7"/>
    <w:rsid w:val="009870E9"/>
    <w:rsid w:val="00987113"/>
    <w:rsid w:val="0098729A"/>
    <w:rsid w:val="009876F9"/>
    <w:rsid w:val="00987AD5"/>
    <w:rsid w:val="00987B37"/>
    <w:rsid w:val="00987F28"/>
    <w:rsid w:val="00990038"/>
    <w:rsid w:val="00990102"/>
    <w:rsid w:val="00990156"/>
    <w:rsid w:val="00990192"/>
    <w:rsid w:val="00990432"/>
    <w:rsid w:val="00990451"/>
    <w:rsid w:val="00990501"/>
    <w:rsid w:val="009905AA"/>
    <w:rsid w:val="009905BC"/>
    <w:rsid w:val="0099065F"/>
    <w:rsid w:val="00990887"/>
    <w:rsid w:val="009908DE"/>
    <w:rsid w:val="00990966"/>
    <w:rsid w:val="00990F61"/>
    <w:rsid w:val="00991315"/>
    <w:rsid w:val="009917F2"/>
    <w:rsid w:val="00991860"/>
    <w:rsid w:val="00991A7F"/>
    <w:rsid w:val="00991AC2"/>
    <w:rsid w:val="00991F9D"/>
    <w:rsid w:val="00992105"/>
    <w:rsid w:val="009921A0"/>
    <w:rsid w:val="009921A2"/>
    <w:rsid w:val="0099236C"/>
    <w:rsid w:val="009923F4"/>
    <w:rsid w:val="0099268A"/>
    <w:rsid w:val="0099277D"/>
    <w:rsid w:val="0099287D"/>
    <w:rsid w:val="00992896"/>
    <w:rsid w:val="009929C0"/>
    <w:rsid w:val="009929F8"/>
    <w:rsid w:val="00992DC6"/>
    <w:rsid w:val="00992EE7"/>
    <w:rsid w:val="0099316A"/>
    <w:rsid w:val="00993419"/>
    <w:rsid w:val="00993580"/>
    <w:rsid w:val="009935F6"/>
    <w:rsid w:val="00993830"/>
    <w:rsid w:val="00993C1F"/>
    <w:rsid w:val="009940BA"/>
    <w:rsid w:val="00994156"/>
    <w:rsid w:val="009941A6"/>
    <w:rsid w:val="0099442F"/>
    <w:rsid w:val="0099447F"/>
    <w:rsid w:val="00994747"/>
    <w:rsid w:val="00994777"/>
    <w:rsid w:val="009948A0"/>
    <w:rsid w:val="0099499D"/>
    <w:rsid w:val="00994DB8"/>
    <w:rsid w:val="00994DE8"/>
    <w:rsid w:val="00994F73"/>
    <w:rsid w:val="009950E6"/>
    <w:rsid w:val="00995403"/>
    <w:rsid w:val="00995972"/>
    <w:rsid w:val="00995BBE"/>
    <w:rsid w:val="00995D4C"/>
    <w:rsid w:val="00995DBB"/>
    <w:rsid w:val="00995F33"/>
    <w:rsid w:val="0099638F"/>
    <w:rsid w:val="009963C6"/>
    <w:rsid w:val="009966FB"/>
    <w:rsid w:val="00996A3D"/>
    <w:rsid w:val="00996A94"/>
    <w:rsid w:val="00996C03"/>
    <w:rsid w:val="00996C70"/>
    <w:rsid w:val="00996ECB"/>
    <w:rsid w:val="00997046"/>
    <w:rsid w:val="00997149"/>
    <w:rsid w:val="0099724A"/>
    <w:rsid w:val="00997491"/>
    <w:rsid w:val="009976C8"/>
    <w:rsid w:val="00997750"/>
    <w:rsid w:val="009979BB"/>
    <w:rsid w:val="00997B5D"/>
    <w:rsid w:val="00997D7B"/>
    <w:rsid w:val="00997D7C"/>
    <w:rsid w:val="009A0094"/>
    <w:rsid w:val="009A026B"/>
    <w:rsid w:val="009A03B0"/>
    <w:rsid w:val="009A0403"/>
    <w:rsid w:val="009A06FB"/>
    <w:rsid w:val="009A0804"/>
    <w:rsid w:val="009A0995"/>
    <w:rsid w:val="009A0CE8"/>
    <w:rsid w:val="009A0E62"/>
    <w:rsid w:val="009A0E69"/>
    <w:rsid w:val="009A10CC"/>
    <w:rsid w:val="009A1145"/>
    <w:rsid w:val="009A139C"/>
    <w:rsid w:val="009A13BC"/>
    <w:rsid w:val="009A1771"/>
    <w:rsid w:val="009A1A54"/>
    <w:rsid w:val="009A1B4F"/>
    <w:rsid w:val="009A1BA0"/>
    <w:rsid w:val="009A1D1C"/>
    <w:rsid w:val="009A1D70"/>
    <w:rsid w:val="009A2068"/>
    <w:rsid w:val="009A216A"/>
    <w:rsid w:val="009A2175"/>
    <w:rsid w:val="009A219E"/>
    <w:rsid w:val="009A2340"/>
    <w:rsid w:val="009A2424"/>
    <w:rsid w:val="009A27BF"/>
    <w:rsid w:val="009A28F0"/>
    <w:rsid w:val="009A2A01"/>
    <w:rsid w:val="009A2A73"/>
    <w:rsid w:val="009A2B37"/>
    <w:rsid w:val="009A2C1D"/>
    <w:rsid w:val="009A2EB2"/>
    <w:rsid w:val="009A2EDB"/>
    <w:rsid w:val="009A2F03"/>
    <w:rsid w:val="009A2F04"/>
    <w:rsid w:val="009A34E8"/>
    <w:rsid w:val="009A367E"/>
    <w:rsid w:val="009A397E"/>
    <w:rsid w:val="009A3A7F"/>
    <w:rsid w:val="009A3F3C"/>
    <w:rsid w:val="009A42A4"/>
    <w:rsid w:val="009A43E6"/>
    <w:rsid w:val="009A449D"/>
    <w:rsid w:val="009A45F7"/>
    <w:rsid w:val="009A4B95"/>
    <w:rsid w:val="009A4BA6"/>
    <w:rsid w:val="009A4BFB"/>
    <w:rsid w:val="009A4C87"/>
    <w:rsid w:val="009A4DC8"/>
    <w:rsid w:val="009A4DF3"/>
    <w:rsid w:val="009A4F17"/>
    <w:rsid w:val="009A536A"/>
    <w:rsid w:val="009A56D1"/>
    <w:rsid w:val="009A5805"/>
    <w:rsid w:val="009A5A0B"/>
    <w:rsid w:val="009A5B19"/>
    <w:rsid w:val="009A5CBF"/>
    <w:rsid w:val="009A5F8F"/>
    <w:rsid w:val="009A608C"/>
    <w:rsid w:val="009A6158"/>
    <w:rsid w:val="009A6184"/>
    <w:rsid w:val="009A635F"/>
    <w:rsid w:val="009A63F4"/>
    <w:rsid w:val="009A64AB"/>
    <w:rsid w:val="009A64B5"/>
    <w:rsid w:val="009A661E"/>
    <w:rsid w:val="009A676E"/>
    <w:rsid w:val="009A6802"/>
    <w:rsid w:val="009A689A"/>
    <w:rsid w:val="009A68DA"/>
    <w:rsid w:val="009A6BDD"/>
    <w:rsid w:val="009A6D62"/>
    <w:rsid w:val="009A6EA5"/>
    <w:rsid w:val="009A6F64"/>
    <w:rsid w:val="009A7059"/>
    <w:rsid w:val="009A7101"/>
    <w:rsid w:val="009A71CB"/>
    <w:rsid w:val="009A71DB"/>
    <w:rsid w:val="009A73E3"/>
    <w:rsid w:val="009A73F0"/>
    <w:rsid w:val="009A760F"/>
    <w:rsid w:val="009A7B30"/>
    <w:rsid w:val="009A7DF3"/>
    <w:rsid w:val="009A7F74"/>
    <w:rsid w:val="009B0596"/>
    <w:rsid w:val="009B08E9"/>
    <w:rsid w:val="009B0963"/>
    <w:rsid w:val="009B09E3"/>
    <w:rsid w:val="009B0B58"/>
    <w:rsid w:val="009B0BB7"/>
    <w:rsid w:val="009B0D2D"/>
    <w:rsid w:val="009B0D9D"/>
    <w:rsid w:val="009B0F90"/>
    <w:rsid w:val="009B10ED"/>
    <w:rsid w:val="009B11B9"/>
    <w:rsid w:val="009B12C7"/>
    <w:rsid w:val="009B146B"/>
    <w:rsid w:val="009B1524"/>
    <w:rsid w:val="009B1615"/>
    <w:rsid w:val="009B17CC"/>
    <w:rsid w:val="009B19C7"/>
    <w:rsid w:val="009B1A5B"/>
    <w:rsid w:val="009B1C06"/>
    <w:rsid w:val="009B1E47"/>
    <w:rsid w:val="009B212E"/>
    <w:rsid w:val="009B2342"/>
    <w:rsid w:val="009B23DF"/>
    <w:rsid w:val="009B24A7"/>
    <w:rsid w:val="009B24B7"/>
    <w:rsid w:val="009B260C"/>
    <w:rsid w:val="009B26A9"/>
    <w:rsid w:val="009B26DC"/>
    <w:rsid w:val="009B26E4"/>
    <w:rsid w:val="009B2813"/>
    <w:rsid w:val="009B2816"/>
    <w:rsid w:val="009B2E56"/>
    <w:rsid w:val="009B2E76"/>
    <w:rsid w:val="009B30D4"/>
    <w:rsid w:val="009B30F1"/>
    <w:rsid w:val="009B32F0"/>
    <w:rsid w:val="009B35F4"/>
    <w:rsid w:val="009B3986"/>
    <w:rsid w:val="009B3E5A"/>
    <w:rsid w:val="009B3EF9"/>
    <w:rsid w:val="009B3FAD"/>
    <w:rsid w:val="009B407A"/>
    <w:rsid w:val="009B4097"/>
    <w:rsid w:val="009B419B"/>
    <w:rsid w:val="009B445D"/>
    <w:rsid w:val="009B458B"/>
    <w:rsid w:val="009B4836"/>
    <w:rsid w:val="009B49B5"/>
    <w:rsid w:val="009B4CA0"/>
    <w:rsid w:val="009B5599"/>
    <w:rsid w:val="009B5A20"/>
    <w:rsid w:val="009B5F64"/>
    <w:rsid w:val="009B5FAA"/>
    <w:rsid w:val="009B5FBA"/>
    <w:rsid w:val="009B6132"/>
    <w:rsid w:val="009B6265"/>
    <w:rsid w:val="009B64F7"/>
    <w:rsid w:val="009B6521"/>
    <w:rsid w:val="009B68C9"/>
    <w:rsid w:val="009B697A"/>
    <w:rsid w:val="009B6BCB"/>
    <w:rsid w:val="009B6BD7"/>
    <w:rsid w:val="009B6D88"/>
    <w:rsid w:val="009B6F64"/>
    <w:rsid w:val="009B6FD3"/>
    <w:rsid w:val="009B7138"/>
    <w:rsid w:val="009B75B2"/>
    <w:rsid w:val="009B76AB"/>
    <w:rsid w:val="009B793A"/>
    <w:rsid w:val="009B7C28"/>
    <w:rsid w:val="009B7DED"/>
    <w:rsid w:val="009C004D"/>
    <w:rsid w:val="009C0054"/>
    <w:rsid w:val="009C0125"/>
    <w:rsid w:val="009C025D"/>
    <w:rsid w:val="009C05B4"/>
    <w:rsid w:val="009C05D5"/>
    <w:rsid w:val="009C06B1"/>
    <w:rsid w:val="009C0A6D"/>
    <w:rsid w:val="009C0ABF"/>
    <w:rsid w:val="009C0CA3"/>
    <w:rsid w:val="009C0CC3"/>
    <w:rsid w:val="009C0EE1"/>
    <w:rsid w:val="009C114E"/>
    <w:rsid w:val="009C141F"/>
    <w:rsid w:val="009C14EF"/>
    <w:rsid w:val="009C168A"/>
    <w:rsid w:val="009C174E"/>
    <w:rsid w:val="009C175C"/>
    <w:rsid w:val="009C1ADE"/>
    <w:rsid w:val="009C1B62"/>
    <w:rsid w:val="009C1E50"/>
    <w:rsid w:val="009C1E6A"/>
    <w:rsid w:val="009C1EC1"/>
    <w:rsid w:val="009C1ED7"/>
    <w:rsid w:val="009C2163"/>
    <w:rsid w:val="009C2287"/>
    <w:rsid w:val="009C233A"/>
    <w:rsid w:val="009C266A"/>
    <w:rsid w:val="009C26FC"/>
    <w:rsid w:val="009C26FD"/>
    <w:rsid w:val="009C285C"/>
    <w:rsid w:val="009C2973"/>
    <w:rsid w:val="009C2EB3"/>
    <w:rsid w:val="009C312B"/>
    <w:rsid w:val="009C3597"/>
    <w:rsid w:val="009C3635"/>
    <w:rsid w:val="009C3834"/>
    <w:rsid w:val="009C3990"/>
    <w:rsid w:val="009C3A99"/>
    <w:rsid w:val="009C3B68"/>
    <w:rsid w:val="009C3E0A"/>
    <w:rsid w:val="009C4103"/>
    <w:rsid w:val="009C4486"/>
    <w:rsid w:val="009C44DD"/>
    <w:rsid w:val="009C47BE"/>
    <w:rsid w:val="009C4BCB"/>
    <w:rsid w:val="009C4D8E"/>
    <w:rsid w:val="009C4D9E"/>
    <w:rsid w:val="009C4EC1"/>
    <w:rsid w:val="009C5084"/>
    <w:rsid w:val="009C5260"/>
    <w:rsid w:val="009C5529"/>
    <w:rsid w:val="009C562D"/>
    <w:rsid w:val="009C569A"/>
    <w:rsid w:val="009C58B2"/>
    <w:rsid w:val="009C5A7F"/>
    <w:rsid w:val="009C5B3A"/>
    <w:rsid w:val="009C5B7B"/>
    <w:rsid w:val="009C5D67"/>
    <w:rsid w:val="009C5D90"/>
    <w:rsid w:val="009C60B9"/>
    <w:rsid w:val="009C60C4"/>
    <w:rsid w:val="009C654E"/>
    <w:rsid w:val="009C66F8"/>
    <w:rsid w:val="009C68AB"/>
    <w:rsid w:val="009C695C"/>
    <w:rsid w:val="009C6A7E"/>
    <w:rsid w:val="009C6AAE"/>
    <w:rsid w:val="009C6B46"/>
    <w:rsid w:val="009C6C31"/>
    <w:rsid w:val="009C6CFF"/>
    <w:rsid w:val="009C6D94"/>
    <w:rsid w:val="009C6FF4"/>
    <w:rsid w:val="009C71E2"/>
    <w:rsid w:val="009C7399"/>
    <w:rsid w:val="009C7413"/>
    <w:rsid w:val="009C756F"/>
    <w:rsid w:val="009C75AF"/>
    <w:rsid w:val="009C76EB"/>
    <w:rsid w:val="009C7748"/>
    <w:rsid w:val="009C7876"/>
    <w:rsid w:val="009C7A2C"/>
    <w:rsid w:val="009C7A5C"/>
    <w:rsid w:val="009C7FE7"/>
    <w:rsid w:val="009D011B"/>
    <w:rsid w:val="009D0301"/>
    <w:rsid w:val="009D0497"/>
    <w:rsid w:val="009D07B1"/>
    <w:rsid w:val="009D0809"/>
    <w:rsid w:val="009D09F3"/>
    <w:rsid w:val="009D0CC8"/>
    <w:rsid w:val="009D0D79"/>
    <w:rsid w:val="009D0DA4"/>
    <w:rsid w:val="009D0E3E"/>
    <w:rsid w:val="009D0E45"/>
    <w:rsid w:val="009D1228"/>
    <w:rsid w:val="009D1286"/>
    <w:rsid w:val="009D16FC"/>
    <w:rsid w:val="009D19C1"/>
    <w:rsid w:val="009D1B1E"/>
    <w:rsid w:val="009D1C4D"/>
    <w:rsid w:val="009D1C5D"/>
    <w:rsid w:val="009D1CC6"/>
    <w:rsid w:val="009D1CCC"/>
    <w:rsid w:val="009D1D53"/>
    <w:rsid w:val="009D24E1"/>
    <w:rsid w:val="009D2534"/>
    <w:rsid w:val="009D2BF5"/>
    <w:rsid w:val="009D2DC3"/>
    <w:rsid w:val="009D3020"/>
    <w:rsid w:val="009D3DC6"/>
    <w:rsid w:val="009D3E9E"/>
    <w:rsid w:val="009D3ED1"/>
    <w:rsid w:val="009D3F4B"/>
    <w:rsid w:val="009D3F66"/>
    <w:rsid w:val="009D4000"/>
    <w:rsid w:val="009D404D"/>
    <w:rsid w:val="009D40B7"/>
    <w:rsid w:val="009D42C1"/>
    <w:rsid w:val="009D450F"/>
    <w:rsid w:val="009D4605"/>
    <w:rsid w:val="009D46E3"/>
    <w:rsid w:val="009D4909"/>
    <w:rsid w:val="009D490E"/>
    <w:rsid w:val="009D4930"/>
    <w:rsid w:val="009D497C"/>
    <w:rsid w:val="009D4DDB"/>
    <w:rsid w:val="009D4E44"/>
    <w:rsid w:val="009D4EBE"/>
    <w:rsid w:val="009D5017"/>
    <w:rsid w:val="009D5080"/>
    <w:rsid w:val="009D50A7"/>
    <w:rsid w:val="009D514E"/>
    <w:rsid w:val="009D520A"/>
    <w:rsid w:val="009D588C"/>
    <w:rsid w:val="009D5962"/>
    <w:rsid w:val="009D5BEC"/>
    <w:rsid w:val="009D5CBD"/>
    <w:rsid w:val="009D5D8F"/>
    <w:rsid w:val="009D5E6B"/>
    <w:rsid w:val="009D6069"/>
    <w:rsid w:val="009D61EF"/>
    <w:rsid w:val="009D63D0"/>
    <w:rsid w:val="009D64C8"/>
    <w:rsid w:val="009D68E2"/>
    <w:rsid w:val="009D6C3F"/>
    <w:rsid w:val="009D6EFA"/>
    <w:rsid w:val="009D6F1B"/>
    <w:rsid w:val="009D70D8"/>
    <w:rsid w:val="009D71D9"/>
    <w:rsid w:val="009D7392"/>
    <w:rsid w:val="009D7783"/>
    <w:rsid w:val="009D7CF1"/>
    <w:rsid w:val="009D7D6F"/>
    <w:rsid w:val="009D7DD9"/>
    <w:rsid w:val="009E00F6"/>
    <w:rsid w:val="009E011B"/>
    <w:rsid w:val="009E02EC"/>
    <w:rsid w:val="009E0343"/>
    <w:rsid w:val="009E047F"/>
    <w:rsid w:val="009E06A0"/>
    <w:rsid w:val="009E0B03"/>
    <w:rsid w:val="009E0DE7"/>
    <w:rsid w:val="009E0EB1"/>
    <w:rsid w:val="009E0EE8"/>
    <w:rsid w:val="009E0F1C"/>
    <w:rsid w:val="009E1849"/>
    <w:rsid w:val="009E1947"/>
    <w:rsid w:val="009E1F77"/>
    <w:rsid w:val="009E206B"/>
    <w:rsid w:val="009E2403"/>
    <w:rsid w:val="009E25E5"/>
    <w:rsid w:val="009E278B"/>
    <w:rsid w:val="009E283A"/>
    <w:rsid w:val="009E298E"/>
    <w:rsid w:val="009E2E88"/>
    <w:rsid w:val="009E2F14"/>
    <w:rsid w:val="009E2F4F"/>
    <w:rsid w:val="009E317D"/>
    <w:rsid w:val="009E3314"/>
    <w:rsid w:val="009E359E"/>
    <w:rsid w:val="009E35E9"/>
    <w:rsid w:val="009E3695"/>
    <w:rsid w:val="009E3826"/>
    <w:rsid w:val="009E38C0"/>
    <w:rsid w:val="009E3ECB"/>
    <w:rsid w:val="009E3F63"/>
    <w:rsid w:val="009E41A0"/>
    <w:rsid w:val="009E429B"/>
    <w:rsid w:val="009E4302"/>
    <w:rsid w:val="009E453B"/>
    <w:rsid w:val="009E494C"/>
    <w:rsid w:val="009E4A11"/>
    <w:rsid w:val="009E5171"/>
    <w:rsid w:val="009E584A"/>
    <w:rsid w:val="009E5CE4"/>
    <w:rsid w:val="009E5DE9"/>
    <w:rsid w:val="009E6392"/>
    <w:rsid w:val="009E6B95"/>
    <w:rsid w:val="009E6C52"/>
    <w:rsid w:val="009E6CEC"/>
    <w:rsid w:val="009E6D74"/>
    <w:rsid w:val="009E6E46"/>
    <w:rsid w:val="009E72F2"/>
    <w:rsid w:val="009E74AF"/>
    <w:rsid w:val="009E773F"/>
    <w:rsid w:val="009E7747"/>
    <w:rsid w:val="009E78A5"/>
    <w:rsid w:val="009E7AA0"/>
    <w:rsid w:val="009E7ABB"/>
    <w:rsid w:val="009E7D10"/>
    <w:rsid w:val="009E7D7B"/>
    <w:rsid w:val="009E7E85"/>
    <w:rsid w:val="009E7EDE"/>
    <w:rsid w:val="009E7FA0"/>
    <w:rsid w:val="009F029E"/>
    <w:rsid w:val="009F03BF"/>
    <w:rsid w:val="009F04A9"/>
    <w:rsid w:val="009F0667"/>
    <w:rsid w:val="009F0705"/>
    <w:rsid w:val="009F0727"/>
    <w:rsid w:val="009F0BC6"/>
    <w:rsid w:val="009F0DC2"/>
    <w:rsid w:val="009F0E98"/>
    <w:rsid w:val="009F0FCE"/>
    <w:rsid w:val="009F100C"/>
    <w:rsid w:val="009F1238"/>
    <w:rsid w:val="009F14C0"/>
    <w:rsid w:val="009F178D"/>
    <w:rsid w:val="009F1DF4"/>
    <w:rsid w:val="009F212D"/>
    <w:rsid w:val="009F219C"/>
    <w:rsid w:val="009F2348"/>
    <w:rsid w:val="009F249E"/>
    <w:rsid w:val="009F250C"/>
    <w:rsid w:val="009F2510"/>
    <w:rsid w:val="009F2B3C"/>
    <w:rsid w:val="009F2FC5"/>
    <w:rsid w:val="009F2FF6"/>
    <w:rsid w:val="009F30FD"/>
    <w:rsid w:val="009F3513"/>
    <w:rsid w:val="009F36FA"/>
    <w:rsid w:val="009F3EE8"/>
    <w:rsid w:val="009F41A1"/>
    <w:rsid w:val="009F4497"/>
    <w:rsid w:val="009F4917"/>
    <w:rsid w:val="009F4B0D"/>
    <w:rsid w:val="009F4C6F"/>
    <w:rsid w:val="009F4DB4"/>
    <w:rsid w:val="009F4DCB"/>
    <w:rsid w:val="009F4F1E"/>
    <w:rsid w:val="009F4F4A"/>
    <w:rsid w:val="009F5348"/>
    <w:rsid w:val="009F544C"/>
    <w:rsid w:val="009F547C"/>
    <w:rsid w:val="009F54F4"/>
    <w:rsid w:val="009F5759"/>
    <w:rsid w:val="009F5971"/>
    <w:rsid w:val="009F5ECB"/>
    <w:rsid w:val="009F5FF1"/>
    <w:rsid w:val="009F5FF6"/>
    <w:rsid w:val="009F6891"/>
    <w:rsid w:val="009F6A65"/>
    <w:rsid w:val="009F6C2C"/>
    <w:rsid w:val="009F6E89"/>
    <w:rsid w:val="009F7071"/>
    <w:rsid w:val="009F736D"/>
    <w:rsid w:val="009F74EE"/>
    <w:rsid w:val="009F7614"/>
    <w:rsid w:val="009F7799"/>
    <w:rsid w:val="009F7A28"/>
    <w:rsid w:val="009F7BAC"/>
    <w:rsid w:val="009F7E64"/>
    <w:rsid w:val="00A0001A"/>
    <w:rsid w:val="00A00190"/>
    <w:rsid w:val="00A003B7"/>
    <w:rsid w:val="00A007AC"/>
    <w:rsid w:val="00A00866"/>
    <w:rsid w:val="00A00AE5"/>
    <w:rsid w:val="00A00BC1"/>
    <w:rsid w:val="00A00C95"/>
    <w:rsid w:val="00A00CBD"/>
    <w:rsid w:val="00A00DDF"/>
    <w:rsid w:val="00A00EF2"/>
    <w:rsid w:val="00A00F6A"/>
    <w:rsid w:val="00A0106A"/>
    <w:rsid w:val="00A015E2"/>
    <w:rsid w:val="00A01841"/>
    <w:rsid w:val="00A0198F"/>
    <w:rsid w:val="00A02000"/>
    <w:rsid w:val="00A0219B"/>
    <w:rsid w:val="00A02353"/>
    <w:rsid w:val="00A02466"/>
    <w:rsid w:val="00A02533"/>
    <w:rsid w:val="00A025F8"/>
    <w:rsid w:val="00A027BC"/>
    <w:rsid w:val="00A02C22"/>
    <w:rsid w:val="00A02CEC"/>
    <w:rsid w:val="00A02EB5"/>
    <w:rsid w:val="00A03012"/>
    <w:rsid w:val="00A035EA"/>
    <w:rsid w:val="00A035FC"/>
    <w:rsid w:val="00A0368F"/>
    <w:rsid w:val="00A03A1D"/>
    <w:rsid w:val="00A03B63"/>
    <w:rsid w:val="00A03D6B"/>
    <w:rsid w:val="00A03DC4"/>
    <w:rsid w:val="00A03E5F"/>
    <w:rsid w:val="00A04149"/>
    <w:rsid w:val="00A041BC"/>
    <w:rsid w:val="00A04356"/>
    <w:rsid w:val="00A04366"/>
    <w:rsid w:val="00A04565"/>
    <w:rsid w:val="00A046CD"/>
    <w:rsid w:val="00A047B6"/>
    <w:rsid w:val="00A048B4"/>
    <w:rsid w:val="00A0494A"/>
    <w:rsid w:val="00A049A5"/>
    <w:rsid w:val="00A04AF0"/>
    <w:rsid w:val="00A04B4C"/>
    <w:rsid w:val="00A04DFC"/>
    <w:rsid w:val="00A052B1"/>
    <w:rsid w:val="00A05360"/>
    <w:rsid w:val="00A0573B"/>
    <w:rsid w:val="00A05803"/>
    <w:rsid w:val="00A05975"/>
    <w:rsid w:val="00A05A16"/>
    <w:rsid w:val="00A05BBD"/>
    <w:rsid w:val="00A0603B"/>
    <w:rsid w:val="00A0610D"/>
    <w:rsid w:val="00A0654E"/>
    <w:rsid w:val="00A06B0B"/>
    <w:rsid w:val="00A06CFA"/>
    <w:rsid w:val="00A07238"/>
    <w:rsid w:val="00A0736D"/>
    <w:rsid w:val="00A073BE"/>
    <w:rsid w:val="00A07700"/>
    <w:rsid w:val="00A07A30"/>
    <w:rsid w:val="00A07C1E"/>
    <w:rsid w:val="00A07C8D"/>
    <w:rsid w:val="00A07CA8"/>
    <w:rsid w:val="00A07D06"/>
    <w:rsid w:val="00A07EDB"/>
    <w:rsid w:val="00A100BB"/>
    <w:rsid w:val="00A1011D"/>
    <w:rsid w:val="00A1040B"/>
    <w:rsid w:val="00A10908"/>
    <w:rsid w:val="00A1093A"/>
    <w:rsid w:val="00A10C01"/>
    <w:rsid w:val="00A10E76"/>
    <w:rsid w:val="00A1101D"/>
    <w:rsid w:val="00A11215"/>
    <w:rsid w:val="00A1132C"/>
    <w:rsid w:val="00A11565"/>
    <w:rsid w:val="00A117A0"/>
    <w:rsid w:val="00A11B8F"/>
    <w:rsid w:val="00A11EC4"/>
    <w:rsid w:val="00A12086"/>
    <w:rsid w:val="00A122A4"/>
    <w:rsid w:val="00A123EE"/>
    <w:rsid w:val="00A128FF"/>
    <w:rsid w:val="00A12AF7"/>
    <w:rsid w:val="00A12D50"/>
    <w:rsid w:val="00A12E2D"/>
    <w:rsid w:val="00A130BD"/>
    <w:rsid w:val="00A1317A"/>
    <w:rsid w:val="00A13260"/>
    <w:rsid w:val="00A1326B"/>
    <w:rsid w:val="00A13352"/>
    <w:rsid w:val="00A133AE"/>
    <w:rsid w:val="00A1359F"/>
    <w:rsid w:val="00A13610"/>
    <w:rsid w:val="00A1371B"/>
    <w:rsid w:val="00A1393B"/>
    <w:rsid w:val="00A13A47"/>
    <w:rsid w:val="00A13EEC"/>
    <w:rsid w:val="00A140B9"/>
    <w:rsid w:val="00A14160"/>
    <w:rsid w:val="00A141A7"/>
    <w:rsid w:val="00A14384"/>
    <w:rsid w:val="00A14414"/>
    <w:rsid w:val="00A145CA"/>
    <w:rsid w:val="00A1490D"/>
    <w:rsid w:val="00A14943"/>
    <w:rsid w:val="00A149BA"/>
    <w:rsid w:val="00A149C0"/>
    <w:rsid w:val="00A14D4B"/>
    <w:rsid w:val="00A14E67"/>
    <w:rsid w:val="00A150BF"/>
    <w:rsid w:val="00A15367"/>
    <w:rsid w:val="00A15384"/>
    <w:rsid w:val="00A156C8"/>
    <w:rsid w:val="00A15938"/>
    <w:rsid w:val="00A15DBA"/>
    <w:rsid w:val="00A15DFC"/>
    <w:rsid w:val="00A160A2"/>
    <w:rsid w:val="00A1614D"/>
    <w:rsid w:val="00A16277"/>
    <w:rsid w:val="00A163C2"/>
    <w:rsid w:val="00A166BC"/>
    <w:rsid w:val="00A1671D"/>
    <w:rsid w:val="00A16762"/>
    <w:rsid w:val="00A16C39"/>
    <w:rsid w:val="00A16F1B"/>
    <w:rsid w:val="00A17113"/>
    <w:rsid w:val="00A17159"/>
    <w:rsid w:val="00A17191"/>
    <w:rsid w:val="00A17661"/>
    <w:rsid w:val="00A178D4"/>
    <w:rsid w:val="00A178D7"/>
    <w:rsid w:val="00A17A94"/>
    <w:rsid w:val="00A17BD0"/>
    <w:rsid w:val="00A17BFC"/>
    <w:rsid w:val="00A17F2A"/>
    <w:rsid w:val="00A17F55"/>
    <w:rsid w:val="00A17FBE"/>
    <w:rsid w:val="00A202C9"/>
    <w:rsid w:val="00A20323"/>
    <w:rsid w:val="00A20336"/>
    <w:rsid w:val="00A2073B"/>
    <w:rsid w:val="00A2094A"/>
    <w:rsid w:val="00A20ABC"/>
    <w:rsid w:val="00A20AE3"/>
    <w:rsid w:val="00A20B52"/>
    <w:rsid w:val="00A20BB6"/>
    <w:rsid w:val="00A20BBE"/>
    <w:rsid w:val="00A20D06"/>
    <w:rsid w:val="00A20F08"/>
    <w:rsid w:val="00A20F11"/>
    <w:rsid w:val="00A21170"/>
    <w:rsid w:val="00A211F1"/>
    <w:rsid w:val="00A21204"/>
    <w:rsid w:val="00A214C4"/>
    <w:rsid w:val="00A219D9"/>
    <w:rsid w:val="00A21AF6"/>
    <w:rsid w:val="00A21B51"/>
    <w:rsid w:val="00A21BF5"/>
    <w:rsid w:val="00A22309"/>
    <w:rsid w:val="00A2264D"/>
    <w:rsid w:val="00A2268C"/>
    <w:rsid w:val="00A226A0"/>
    <w:rsid w:val="00A22A5F"/>
    <w:rsid w:val="00A22A86"/>
    <w:rsid w:val="00A22C66"/>
    <w:rsid w:val="00A22F25"/>
    <w:rsid w:val="00A22FB8"/>
    <w:rsid w:val="00A2333B"/>
    <w:rsid w:val="00A234B7"/>
    <w:rsid w:val="00A24128"/>
    <w:rsid w:val="00A241FD"/>
    <w:rsid w:val="00A24370"/>
    <w:rsid w:val="00A24569"/>
    <w:rsid w:val="00A2477F"/>
    <w:rsid w:val="00A24B64"/>
    <w:rsid w:val="00A24BE8"/>
    <w:rsid w:val="00A24D64"/>
    <w:rsid w:val="00A24E7C"/>
    <w:rsid w:val="00A25446"/>
    <w:rsid w:val="00A25641"/>
    <w:rsid w:val="00A25810"/>
    <w:rsid w:val="00A25C68"/>
    <w:rsid w:val="00A25CA4"/>
    <w:rsid w:val="00A25F55"/>
    <w:rsid w:val="00A26267"/>
    <w:rsid w:val="00A2629F"/>
    <w:rsid w:val="00A262D3"/>
    <w:rsid w:val="00A26552"/>
    <w:rsid w:val="00A2659B"/>
    <w:rsid w:val="00A2660C"/>
    <w:rsid w:val="00A2672C"/>
    <w:rsid w:val="00A26741"/>
    <w:rsid w:val="00A267A2"/>
    <w:rsid w:val="00A269EB"/>
    <w:rsid w:val="00A26CED"/>
    <w:rsid w:val="00A26F38"/>
    <w:rsid w:val="00A2717B"/>
    <w:rsid w:val="00A27C9A"/>
    <w:rsid w:val="00A27EB8"/>
    <w:rsid w:val="00A27EEF"/>
    <w:rsid w:val="00A3019A"/>
    <w:rsid w:val="00A303DF"/>
    <w:rsid w:val="00A30469"/>
    <w:rsid w:val="00A305A5"/>
    <w:rsid w:val="00A308F5"/>
    <w:rsid w:val="00A30935"/>
    <w:rsid w:val="00A309CF"/>
    <w:rsid w:val="00A30AF7"/>
    <w:rsid w:val="00A30C56"/>
    <w:rsid w:val="00A30D3E"/>
    <w:rsid w:val="00A30D4B"/>
    <w:rsid w:val="00A30DB6"/>
    <w:rsid w:val="00A311CB"/>
    <w:rsid w:val="00A311D2"/>
    <w:rsid w:val="00A3145B"/>
    <w:rsid w:val="00A314EE"/>
    <w:rsid w:val="00A315CC"/>
    <w:rsid w:val="00A315F0"/>
    <w:rsid w:val="00A3181E"/>
    <w:rsid w:val="00A31820"/>
    <w:rsid w:val="00A31930"/>
    <w:rsid w:val="00A31F00"/>
    <w:rsid w:val="00A3201A"/>
    <w:rsid w:val="00A3292D"/>
    <w:rsid w:val="00A32C16"/>
    <w:rsid w:val="00A32FDB"/>
    <w:rsid w:val="00A33071"/>
    <w:rsid w:val="00A33184"/>
    <w:rsid w:val="00A33521"/>
    <w:rsid w:val="00A33855"/>
    <w:rsid w:val="00A3389B"/>
    <w:rsid w:val="00A338FB"/>
    <w:rsid w:val="00A33CF4"/>
    <w:rsid w:val="00A33EEB"/>
    <w:rsid w:val="00A34093"/>
    <w:rsid w:val="00A3434D"/>
    <w:rsid w:val="00A3438D"/>
    <w:rsid w:val="00A344E0"/>
    <w:rsid w:val="00A34643"/>
    <w:rsid w:val="00A346B8"/>
    <w:rsid w:val="00A3471A"/>
    <w:rsid w:val="00A34AE7"/>
    <w:rsid w:val="00A34BB6"/>
    <w:rsid w:val="00A34FB1"/>
    <w:rsid w:val="00A350EC"/>
    <w:rsid w:val="00A3531E"/>
    <w:rsid w:val="00A35650"/>
    <w:rsid w:val="00A35A00"/>
    <w:rsid w:val="00A35BC9"/>
    <w:rsid w:val="00A35D9F"/>
    <w:rsid w:val="00A35FC8"/>
    <w:rsid w:val="00A361C6"/>
    <w:rsid w:val="00A366C3"/>
    <w:rsid w:val="00A36985"/>
    <w:rsid w:val="00A36B40"/>
    <w:rsid w:val="00A36B7B"/>
    <w:rsid w:val="00A36D4D"/>
    <w:rsid w:val="00A36EF5"/>
    <w:rsid w:val="00A36FBA"/>
    <w:rsid w:val="00A37061"/>
    <w:rsid w:val="00A3718C"/>
    <w:rsid w:val="00A372B8"/>
    <w:rsid w:val="00A37420"/>
    <w:rsid w:val="00A377E0"/>
    <w:rsid w:val="00A378FD"/>
    <w:rsid w:val="00A3793E"/>
    <w:rsid w:val="00A37FC6"/>
    <w:rsid w:val="00A40210"/>
    <w:rsid w:val="00A40304"/>
    <w:rsid w:val="00A4043D"/>
    <w:rsid w:val="00A40629"/>
    <w:rsid w:val="00A40DE1"/>
    <w:rsid w:val="00A40E54"/>
    <w:rsid w:val="00A40E99"/>
    <w:rsid w:val="00A40FD3"/>
    <w:rsid w:val="00A41150"/>
    <w:rsid w:val="00A413CE"/>
    <w:rsid w:val="00A413F7"/>
    <w:rsid w:val="00A41516"/>
    <w:rsid w:val="00A418CE"/>
    <w:rsid w:val="00A42131"/>
    <w:rsid w:val="00A42536"/>
    <w:rsid w:val="00A425AB"/>
    <w:rsid w:val="00A42B32"/>
    <w:rsid w:val="00A42BCC"/>
    <w:rsid w:val="00A42BFE"/>
    <w:rsid w:val="00A42F04"/>
    <w:rsid w:val="00A43297"/>
    <w:rsid w:val="00A433C7"/>
    <w:rsid w:val="00A4365E"/>
    <w:rsid w:val="00A43805"/>
    <w:rsid w:val="00A439B3"/>
    <w:rsid w:val="00A43C73"/>
    <w:rsid w:val="00A43D1A"/>
    <w:rsid w:val="00A43F5B"/>
    <w:rsid w:val="00A43F6D"/>
    <w:rsid w:val="00A4412D"/>
    <w:rsid w:val="00A444DA"/>
    <w:rsid w:val="00A444FE"/>
    <w:rsid w:val="00A450E2"/>
    <w:rsid w:val="00A45498"/>
    <w:rsid w:val="00A4592F"/>
    <w:rsid w:val="00A4596E"/>
    <w:rsid w:val="00A45A39"/>
    <w:rsid w:val="00A45AC9"/>
    <w:rsid w:val="00A45EAC"/>
    <w:rsid w:val="00A45EE0"/>
    <w:rsid w:val="00A45F68"/>
    <w:rsid w:val="00A45FD8"/>
    <w:rsid w:val="00A4612D"/>
    <w:rsid w:val="00A46240"/>
    <w:rsid w:val="00A463E6"/>
    <w:rsid w:val="00A4673B"/>
    <w:rsid w:val="00A467D3"/>
    <w:rsid w:val="00A47063"/>
    <w:rsid w:val="00A47367"/>
    <w:rsid w:val="00A47542"/>
    <w:rsid w:val="00A47642"/>
    <w:rsid w:val="00A4790F"/>
    <w:rsid w:val="00A479C0"/>
    <w:rsid w:val="00A47C2A"/>
    <w:rsid w:val="00A47CCD"/>
    <w:rsid w:val="00A47FAF"/>
    <w:rsid w:val="00A5007A"/>
    <w:rsid w:val="00A500E8"/>
    <w:rsid w:val="00A501A0"/>
    <w:rsid w:val="00A50208"/>
    <w:rsid w:val="00A5039E"/>
    <w:rsid w:val="00A505D7"/>
    <w:rsid w:val="00A508E8"/>
    <w:rsid w:val="00A50D46"/>
    <w:rsid w:val="00A50EB9"/>
    <w:rsid w:val="00A50F43"/>
    <w:rsid w:val="00A50FB2"/>
    <w:rsid w:val="00A51009"/>
    <w:rsid w:val="00A513D3"/>
    <w:rsid w:val="00A51570"/>
    <w:rsid w:val="00A518ED"/>
    <w:rsid w:val="00A51A4D"/>
    <w:rsid w:val="00A51F5D"/>
    <w:rsid w:val="00A521B3"/>
    <w:rsid w:val="00A521B6"/>
    <w:rsid w:val="00A521E5"/>
    <w:rsid w:val="00A5226D"/>
    <w:rsid w:val="00A523A7"/>
    <w:rsid w:val="00A52407"/>
    <w:rsid w:val="00A5298A"/>
    <w:rsid w:val="00A52DA0"/>
    <w:rsid w:val="00A52DC8"/>
    <w:rsid w:val="00A52F45"/>
    <w:rsid w:val="00A530EB"/>
    <w:rsid w:val="00A534E1"/>
    <w:rsid w:val="00A5382F"/>
    <w:rsid w:val="00A539EA"/>
    <w:rsid w:val="00A53A34"/>
    <w:rsid w:val="00A53CFF"/>
    <w:rsid w:val="00A541C5"/>
    <w:rsid w:val="00A5433F"/>
    <w:rsid w:val="00A5450D"/>
    <w:rsid w:val="00A545EB"/>
    <w:rsid w:val="00A546E7"/>
    <w:rsid w:val="00A547AB"/>
    <w:rsid w:val="00A54A25"/>
    <w:rsid w:val="00A54AFD"/>
    <w:rsid w:val="00A54DCF"/>
    <w:rsid w:val="00A55224"/>
    <w:rsid w:val="00A55225"/>
    <w:rsid w:val="00A5548A"/>
    <w:rsid w:val="00A5578E"/>
    <w:rsid w:val="00A55D3B"/>
    <w:rsid w:val="00A56166"/>
    <w:rsid w:val="00A56282"/>
    <w:rsid w:val="00A56358"/>
    <w:rsid w:val="00A5645B"/>
    <w:rsid w:val="00A56723"/>
    <w:rsid w:val="00A5690E"/>
    <w:rsid w:val="00A56939"/>
    <w:rsid w:val="00A569E3"/>
    <w:rsid w:val="00A56C8A"/>
    <w:rsid w:val="00A56CD5"/>
    <w:rsid w:val="00A56D10"/>
    <w:rsid w:val="00A57067"/>
    <w:rsid w:val="00A5706E"/>
    <w:rsid w:val="00A57633"/>
    <w:rsid w:val="00A578D1"/>
    <w:rsid w:val="00A57A8C"/>
    <w:rsid w:val="00A57C60"/>
    <w:rsid w:val="00A57DB7"/>
    <w:rsid w:val="00A57EE7"/>
    <w:rsid w:val="00A60055"/>
    <w:rsid w:val="00A60212"/>
    <w:rsid w:val="00A603B3"/>
    <w:rsid w:val="00A60564"/>
    <w:rsid w:val="00A606AC"/>
    <w:rsid w:val="00A608B5"/>
    <w:rsid w:val="00A61122"/>
    <w:rsid w:val="00A61186"/>
    <w:rsid w:val="00A613BC"/>
    <w:rsid w:val="00A6172F"/>
    <w:rsid w:val="00A61810"/>
    <w:rsid w:val="00A61852"/>
    <w:rsid w:val="00A6189D"/>
    <w:rsid w:val="00A619A8"/>
    <w:rsid w:val="00A61A55"/>
    <w:rsid w:val="00A61CF0"/>
    <w:rsid w:val="00A61D43"/>
    <w:rsid w:val="00A62065"/>
    <w:rsid w:val="00A621B2"/>
    <w:rsid w:val="00A622C0"/>
    <w:rsid w:val="00A623DE"/>
    <w:rsid w:val="00A6253C"/>
    <w:rsid w:val="00A625B5"/>
    <w:rsid w:val="00A627F9"/>
    <w:rsid w:val="00A6291D"/>
    <w:rsid w:val="00A62D3A"/>
    <w:rsid w:val="00A633AA"/>
    <w:rsid w:val="00A63863"/>
    <w:rsid w:val="00A63A93"/>
    <w:rsid w:val="00A63B9D"/>
    <w:rsid w:val="00A63BF4"/>
    <w:rsid w:val="00A64122"/>
    <w:rsid w:val="00A64533"/>
    <w:rsid w:val="00A64556"/>
    <w:rsid w:val="00A645AF"/>
    <w:rsid w:val="00A64666"/>
    <w:rsid w:val="00A646A0"/>
    <w:rsid w:val="00A64C51"/>
    <w:rsid w:val="00A64D5D"/>
    <w:rsid w:val="00A64D97"/>
    <w:rsid w:val="00A64E92"/>
    <w:rsid w:val="00A651D5"/>
    <w:rsid w:val="00A653F9"/>
    <w:rsid w:val="00A65519"/>
    <w:rsid w:val="00A65635"/>
    <w:rsid w:val="00A65D3A"/>
    <w:rsid w:val="00A65D61"/>
    <w:rsid w:val="00A66029"/>
    <w:rsid w:val="00A660F3"/>
    <w:rsid w:val="00A664F0"/>
    <w:rsid w:val="00A66CF3"/>
    <w:rsid w:val="00A66F14"/>
    <w:rsid w:val="00A66F37"/>
    <w:rsid w:val="00A670A5"/>
    <w:rsid w:val="00A67107"/>
    <w:rsid w:val="00A67199"/>
    <w:rsid w:val="00A6721A"/>
    <w:rsid w:val="00A67370"/>
    <w:rsid w:val="00A67423"/>
    <w:rsid w:val="00A6767F"/>
    <w:rsid w:val="00A67B47"/>
    <w:rsid w:val="00A70112"/>
    <w:rsid w:val="00A705D6"/>
    <w:rsid w:val="00A706FE"/>
    <w:rsid w:val="00A7079C"/>
    <w:rsid w:val="00A70BDA"/>
    <w:rsid w:val="00A70FE7"/>
    <w:rsid w:val="00A7115F"/>
    <w:rsid w:val="00A711AC"/>
    <w:rsid w:val="00A7131D"/>
    <w:rsid w:val="00A71533"/>
    <w:rsid w:val="00A7153D"/>
    <w:rsid w:val="00A716F8"/>
    <w:rsid w:val="00A71CA7"/>
    <w:rsid w:val="00A72009"/>
    <w:rsid w:val="00A72020"/>
    <w:rsid w:val="00A720BA"/>
    <w:rsid w:val="00A72162"/>
    <w:rsid w:val="00A722BA"/>
    <w:rsid w:val="00A72440"/>
    <w:rsid w:val="00A724C4"/>
    <w:rsid w:val="00A72A12"/>
    <w:rsid w:val="00A72DD6"/>
    <w:rsid w:val="00A72F1A"/>
    <w:rsid w:val="00A730ED"/>
    <w:rsid w:val="00A7347E"/>
    <w:rsid w:val="00A734D8"/>
    <w:rsid w:val="00A73528"/>
    <w:rsid w:val="00A73726"/>
    <w:rsid w:val="00A73992"/>
    <w:rsid w:val="00A73E38"/>
    <w:rsid w:val="00A73E97"/>
    <w:rsid w:val="00A74179"/>
    <w:rsid w:val="00A74662"/>
    <w:rsid w:val="00A74790"/>
    <w:rsid w:val="00A74CB4"/>
    <w:rsid w:val="00A74CD6"/>
    <w:rsid w:val="00A74FB4"/>
    <w:rsid w:val="00A75156"/>
    <w:rsid w:val="00A7521D"/>
    <w:rsid w:val="00A752FB"/>
    <w:rsid w:val="00A75B75"/>
    <w:rsid w:val="00A75D1D"/>
    <w:rsid w:val="00A75E22"/>
    <w:rsid w:val="00A7667A"/>
    <w:rsid w:val="00A76884"/>
    <w:rsid w:val="00A768EC"/>
    <w:rsid w:val="00A7691B"/>
    <w:rsid w:val="00A76961"/>
    <w:rsid w:val="00A769F6"/>
    <w:rsid w:val="00A76AC8"/>
    <w:rsid w:val="00A76D2F"/>
    <w:rsid w:val="00A76E9D"/>
    <w:rsid w:val="00A77049"/>
    <w:rsid w:val="00A77165"/>
    <w:rsid w:val="00A771A6"/>
    <w:rsid w:val="00A771BB"/>
    <w:rsid w:val="00A7738B"/>
    <w:rsid w:val="00A7782D"/>
    <w:rsid w:val="00A77868"/>
    <w:rsid w:val="00A779CB"/>
    <w:rsid w:val="00A77EC7"/>
    <w:rsid w:val="00A77F65"/>
    <w:rsid w:val="00A8001F"/>
    <w:rsid w:val="00A800C4"/>
    <w:rsid w:val="00A8014F"/>
    <w:rsid w:val="00A80872"/>
    <w:rsid w:val="00A808E6"/>
    <w:rsid w:val="00A80A16"/>
    <w:rsid w:val="00A80A8D"/>
    <w:rsid w:val="00A80A9D"/>
    <w:rsid w:val="00A80E5B"/>
    <w:rsid w:val="00A81349"/>
    <w:rsid w:val="00A8136B"/>
    <w:rsid w:val="00A81694"/>
    <w:rsid w:val="00A81798"/>
    <w:rsid w:val="00A81ACC"/>
    <w:rsid w:val="00A81AE6"/>
    <w:rsid w:val="00A81B54"/>
    <w:rsid w:val="00A81C84"/>
    <w:rsid w:val="00A81DB4"/>
    <w:rsid w:val="00A81DBE"/>
    <w:rsid w:val="00A81EFC"/>
    <w:rsid w:val="00A81FD1"/>
    <w:rsid w:val="00A82397"/>
    <w:rsid w:val="00A828B9"/>
    <w:rsid w:val="00A82924"/>
    <w:rsid w:val="00A82943"/>
    <w:rsid w:val="00A8297F"/>
    <w:rsid w:val="00A82ADB"/>
    <w:rsid w:val="00A82D86"/>
    <w:rsid w:val="00A82DFD"/>
    <w:rsid w:val="00A83304"/>
    <w:rsid w:val="00A83380"/>
    <w:rsid w:val="00A838B4"/>
    <w:rsid w:val="00A83D60"/>
    <w:rsid w:val="00A84122"/>
    <w:rsid w:val="00A8423B"/>
    <w:rsid w:val="00A84323"/>
    <w:rsid w:val="00A843DE"/>
    <w:rsid w:val="00A84738"/>
    <w:rsid w:val="00A84A64"/>
    <w:rsid w:val="00A85388"/>
    <w:rsid w:val="00A853C3"/>
    <w:rsid w:val="00A85F79"/>
    <w:rsid w:val="00A86141"/>
    <w:rsid w:val="00A861C5"/>
    <w:rsid w:val="00A864C8"/>
    <w:rsid w:val="00A86518"/>
    <w:rsid w:val="00A8685E"/>
    <w:rsid w:val="00A869D8"/>
    <w:rsid w:val="00A86BC7"/>
    <w:rsid w:val="00A87130"/>
    <w:rsid w:val="00A8715C"/>
    <w:rsid w:val="00A871B0"/>
    <w:rsid w:val="00A874CB"/>
    <w:rsid w:val="00A87564"/>
    <w:rsid w:val="00A876BE"/>
    <w:rsid w:val="00A876F8"/>
    <w:rsid w:val="00A87903"/>
    <w:rsid w:val="00A87A66"/>
    <w:rsid w:val="00A87C2C"/>
    <w:rsid w:val="00A87C54"/>
    <w:rsid w:val="00A87D88"/>
    <w:rsid w:val="00A87DED"/>
    <w:rsid w:val="00A87FFA"/>
    <w:rsid w:val="00A90250"/>
    <w:rsid w:val="00A9048B"/>
    <w:rsid w:val="00A906BE"/>
    <w:rsid w:val="00A90744"/>
    <w:rsid w:val="00A908D8"/>
    <w:rsid w:val="00A908E9"/>
    <w:rsid w:val="00A90B49"/>
    <w:rsid w:val="00A90C36"/>
    <w:rsid w:val="00A90D38"/>
    <w:rsid w:val="00A90DF2"/>
    <w:rsid w:val="00A90E1D"/>
    <w:rsid w:val="00A910FB"/>
    <w:rsid w:val="00A913D3"/>
    <w:rsid w:val="00A91441"/>
    <w:rsid w:val="00A91450"/>
    <w:rsid w:val="00A9150B"/>
    <w:rsid w:val="00A915E4"/>
    <w:rsid w:val="00A9161A"/>
    <w:rsid w:val="00A91E8C"/>
    <w:rsid w:val="00A9239C"/>
    <w:rsid w:val="00A925AC"/>
    <w:rsid w:val="00A9266F"/>
    <w:rsid w:val="00A9269D"/>
    <w:rsid w:val="00A926F0"/>
    <w:rsid w:val="00A92B1D"/>
    <w:rsid w:val="00A92BA8"/>
    <w:rsid w:val="00A92BCE"/>
    <w:rsid w:val="00A92C0C"/>
    <w:rsid w:val="00A92E39"/>
    <w:rsid w:val="00A92F50"/>
    <w:rsid w:val="00A93217"/>
    <w:rsid w:val="00A93E7B"/>
    <w:rsid w:val="00A9426B"/>
    <w:rsid w:val="00A942CD"/>
    <w:rsid w:val="00A94334"/>
    <w:rsid w:val="00A946D5"/>
    <w:rsid w:val="00A9470A"/>
    <w:rsid w:val="00A94959"/>
    <w:rsid w:val="00A94B4E"/>
    <w:rsid w:val="00A94B5F"/>
    <w:rsid w:val="00A94C3E"/>
    <w:rsid w:val="00A94C73"/>
    <w:rsid w:val="00A94DCE"/>
    <w:rsid w:val="00A9504B"/>
    <w:rsid w:val="00A9516C"/>
    <w:rsid w:val="00A952BF"/>
    <w:rsid w:val="00A95338"/>
    <w:rsid w:val="00A95498"/>
    <w:rsid w:val="00A955BC"/>
    <w:rsid w:val="00A9574D"/>
    <w:rsid w:val="00A95812"/>
    <w:rsid w:val="00A958DE"/>
    <w:rsid w:val="00A95D09"/>
    <w:rsid w:val="00A95E07"/>
    <w:rsid w:val="00A95EA5"/>
    <w:rsid w:val="00A964C5"/>
    <w:rsid w:val="00A96551"/>
    <w:rsid w:val="00A965E0"/>
    <w:rsid w:val="00A96983"/>
    <w:rsid w:val="00A96B46"/>
    <w:rsid w:val="00A96DB3"/>
    <w:rsid w:val="00A96E5B"/>
    <w:rsid w:val="00A96E71"/>
    <w:rsid w:val="00A96ECB"/>
    <w:rsid w:val="00A970C9"/>
    <w:rsid w:val="00A972D6"/>
    <w:rsid w:val="00A9742C"/>
    <w:rsid w:val="00A974A3"/>
    <w:rsid w:val="00A975C5"/>
    <w:rsid w:val="00A9764D"/>
    <w:rsid w:val="00A977E5"/>
    <w:rsid w:val="00A97C75"/>
    <w:rsid w:val="00AA00B6"/>
    <w:rsid w:val="00AA0789"/>
    <w:rsid w:val="00AA084A"/>
    <w:rsid w:val="00AA0938"/>
    <w:rsid w:val="00AA09B3"/>
    <w:rsid w:val="00AA11B4"/>
    <w:rsid w:val="00AA1588"/>
    <w:rsid w:val="00AA1685"/>
    <w:rsid w:val="00AA1733"/>
    <w:rsid w:val="00AA1785"/>
    <w:rsid w:val="00AA18E0"/>
    <w:rsid w:val="00AA1938"/>
    <w:rsid w:val="00AA1CCE"/>
    <w:rsid w:val="00AA20A9"/>
    <w:rsid w:val="00AA20AD"/>
    <w:rsid w:val="00AA231E"/>
    <w:rsid w:val="00AA2856"/>
    <w:rsid w:val="00AA2991"/>
    <w:rsid w:val="00AA29F7"/>
    <w:rsid w:val="00AA2AA0"/>
    <w:rsid w:val="00AA35C5"/>
    <w:rsid w:val="00AA367B"/>
    <w:rsid w:val="00AA36A7"/>
    <w:rsid w:val="00AA37D2"/>
    <w:rsid w:val="00AA3900"/>
    <w:rsid w:val="00AA3A03"/>
    <w:rsid w:val="00AA3CC9"/>
    <w:rsid w:val="00AA3E92"/>
    <w:rsid w:val="00AA41F2"/>
    <w:rsid w:val="00AA448B"/>
    <w:rsid w:val="00AA449A"/>
    <w:rsid w:val="00AA4646"/>
    <w:rsid w:val="00AA47D0"/>
    <w:rsid w:val="00AA4804"/>
    <w:rsid w:val="00AA4889"/>
    <w:rsid w:val="00AA488B"/>
    <w:rsid w:val="00AA48C8"/>
    <w:rsid w:val="00AA4D29"/>
    <w:rsid w:val="00AA4E34"/>
    <w:rsid w:val="00AA5142"/>
    <w:rsid w:val="00AA5222"/>
    <w:rsid w:val="00AA5325"/>
    <w:rsid w:val="00AA55A7"/>
    <w:rsid w:val="00AA59D8"/>
    <w:rsid w:val="00AA5A3B"/>
    <w:rsid w:val="00AA5F61"/>
    <w:rsid w:val="00AA60CD"/>
    <w:rsid w:val="00AA6220"/>
    <w:rsid w:val="00AA64D0"/>
    <w:rsid w:val="00AA6945"/>
    <w:rsid w:val="00AA6CA0"/>
    <w:rsid w:val="00AA6CB8"/>
    <w:rsid w:val="00AA6E0E"/>
    <w:rsid w:val="00AA7124"/>
    <w:rsid w:val="00AA7264"/>
    <w:rsid w:val="00AA76B1"/>
    <w:rsid w:val="00AA774E"/>
    <w:rsid w:val="00AA7980"/>
    <w:rsid w:val="00AA7D7D"/>
    <w:rsid w:val="00AA7EC7"/>
    <w:rsid w:val="00AA7F78"/>
    <w:rsid w:val="00AA7F8B"/>
    <w:rsid w:val="00AB0526"/>
    <w:rsid w:val="00AB06C4"/>
    <w:rsid w:val="00AB071A"/>
    <w:rsid w:val="00AB090B"/>
    <w:rsid w:val="00AB0923"/>
    <w:rsid w:val="00AB0B10"/>
    <w:rsid w:val="00AB0D08"/>
    <w:rsid w:val="00AB0DF8"/>
    <w:rsid w:val="00AB0E8B"/>
    <w:rsid w:val="00AB0EA8"/>
    <w:rsid w:val="00AB1035"/>
    <w:rsid w:val="00AB10AC"/>
    <w:rsid w:val="00AB11E1"/>
    <w:rsid w:val="00AB1235"/>
    <w:rsid w:val="00AB123A"/>
    <w:rsid w:val="00AB13B6"/>
    <w:rsid w:val="00AB14DC"/>
    <w:rsid w:val="00AB16FD"/>
    <w:rsid w:val="00AB1AE9"/>
    <w:rsid w:val="00AB1BFA"/>
    <w:rsid w:val="00AB2063"/>
    <w:rsid w:val="00AB20DF"/>
    <w:rsid w:val="00AB22BC"/>
    <w:rsid w:val="00AB22DB"/>
    <w:rsid w:val="00AB22E5"/>
    <w:rsid w:val="00AB2484"/>
    <w:rsid w:val="00AB26EF"/>
    <w:rsid w:val="00AB272A"/>
    <w:rsid w:val="00AB27E9"/>
    <w:rsid w:val="00AB31B7"/>
    <w:rsid w:val="00AB32AA"/>
    <w:rsid w:val="00AB32E1"/>
    <w:rsid w:val="00AB337D"/>
    <w:rsid w:val="00AB3598"/>
    <w:rsid w:val="00AB36A6"/>
    <w:rsid w:val="00AB36E3"/>
    <w:rsid w:val="00AB3754"/>
    <w:rsid w:val="00AB388C"/>
    <w:rsid w:val="00AB38F1"/>
    <w:rsid w:val="00AB39C4"/>
    <w:rsid w:val="00AB3ACA"/>
    <w:rsid w:val="00AB3EBB"/>
    <w:rsid w:val="00AB419C"/>
    <w:rsid w:val="00AB437A"/>
    <w:rsid w:val="00AB4554"/>
    <w:rsid w:val="00AB46FA"/>
    <w:rsid w:val="00AB474A"/>
    <w:rsid w:val="00AB4C0D"/>
    <w:rsid w:val="00AB4CEA"/>
    <w:rsid w:val="00AB4E5E"/>
    <w:rsid w:val="00AB50FC"/>
    <w:rsid w:val="00AB52A6"/>
    <w:rsid w:val="00AB539A"/>
    <w:rsid w:val="00AB546C"/>
    <w:rsid w:val="00AB5480"/>
    <w:rsid w:val="00AB5500"/>
    <w:rsid w:val="00AB5577"/>
    <w:rsid w:val="00AB57F0"/>
    <w:rsid w:val="00AB5816"/>
    <w:rsid w:val="00AB62DD"/>
    <w:rsid w:val="00AB63E9"/>
    <w:rsid w:val="00AB64AC"/>
    <w:rsid w:val="00AB66F1"/>
    <w:rsid w:val="00AB6E61"/>
    <w:rsid w:val="00AB7237"/>
    <w:rsid w:val="00AB7348"/>
    <w:rsid w:val="00AB7401"/>
    <w:rsid w:val="00AB76E4"/>
    <w:rsid w:val="00AB7716"/>
    <w:rsid w:val="00AB7765"/>
    <w:rsid w:val="00AB7830"/>
    <w:rsid w:val="00AB7970"/>
    <w:rsid w:val="00AB799A"/>
    <w:rsid w:val="00AB7A9F"/>
    <w:rsid w:val="00AB7AE5"/>
    <w:rsid w:val="00AB7BD2"/>
    <w:rsid w:val="00AB7D1D"/>
    <w:rsid w:val="00AB7D38"/>
    <w:rsid w:val="00AB7DF1"/>
    <w:rsid w:val="00AC0308"/>
    <w:rsid w:val="00AC0DB0"/>
    <w:rsid w:val="00AC0E1D"/>
    <w:rsid w:val="00AC0FF0"/>
    <w:rsid w:val="00AC16AD"/>
    <w:rsid w:val="00AC16BE"/>
    <w:rsid w:val="00AC1715"/>
    <w:rsid w:val="00AC1727"/>
    <w:rsid w:val="00AC1748"/>
    <w:rsid w:val="00AC1844"/>
    <w:rsid w:val="00AC1C14"/>
    <w:rsid w:val="00AC1D05"/>
    <w:rsid w:val="00AC2131"/>
    <w:rsid w:val="00AC2402"/>
    <w:rsid w:val="00AC253C"/>
    <w:rsid w:val="00AC26A8"/>
    <w:rsid w:val="00AC2803"/>
    <w:rsid w:val="00AC28E7"/>
    <w:rsid w:val="00AC2A65"/>
    <w:rsid w:val="00AC2A71"/>
    <w:rsid w:val="00AC2B69"/>
    <w:rsid w:val="00AC2BA4"/>
    <w:rsid w:val="00AC2E13"/>
    <w:rsid w:val="00AC311C"/>
    <w:rsid w:val="00AC3449"/>
    <w:rsid w:val="00AC34C5"/>
    <w:rsid w:val="00AC34E1"/>
    <w:rsid w:val="00AC36EF"/>
    <w:rsid w:val="00AC3743"/>
    <w:rsid w:val="00AC39D4"/>
    <w:rsid w:val="00AC3AC6"/>
    <w:rsid w:val="00AC40A7"/>
    <w:rsid w:val="00AC4149"/>
    <w:rsid w:val="00AC45F1"/>
    <w:rsid w:val="00AC46B6"/>
    <w:rsid w:val="00AC48CC"/>
    <w:rsid w:val="00AC4C25"/>
    <w:rsid w:val="00AC5A6F"/>
    <w:rsid w:val="00AC5B1D"/>
    <w:rsid w:val="00AC5C58"/>
    <w:rsid w:val="00AC5DBE"/>
    <w:rsid w:val="00AC5EA5"/>
    <w:rsid w:val="00AC5F14"/>
    <w:rsid w:val="00AC5F79"/>
    <w:rsid w:val="00AC5F8A"/>
    <w:rsid w:val="00AC62DB"/>
    <w:rsid w:val="00AC630D"/>
    <w:rsid w:val="00AC63AB"/>
    <w:rsid w:val="00AC63C6"/>
    <w:rsid w:val="00AC654E"/>
    <w:rsid w:val="00AC6CB4"/>
    <w:rsid w:val="00AC6F2B"/>
    <w:rsid w:val="00AC7062"/>
    <w:rsid w:val="00AC70D4"/>
    <w:rsid w:val="00AC77AE"/>
    <w:rsid w:val="00AC7CA7"/>
    <w:rsid w:val="00AC7CB2"/>
    <w:rsid w:val="00AC7D50"/>
    <w:rsid w:val="00AC7F14"/>
    <w:rsid w:val="00AD005A"/>
    <w:rsid w:val="00AD0087"/>
    <w:rsid w:val="00AD00A0"/>
    <w:rsid w:val="00AD0383"/>
    <w:rsid w:val="00AD03DA"/>
    <w:rsid w:val="00AD04E3"/>
    <w:rsid w:val="00AD07B3"/>
    <w:rsid w:val="00AD0C16"/>
    <w:rsid w:val="00AD11FB"/>
    <w:rsid w:val="00AD1315"/>
    <w:rsid w:val="00AD135E"/>
    <w:rsid w:val="00AD1550"/>
    <w:rsid w:val="00AD1586"/>
    <w:rsid w:val="00AD177C"/>
    <w:rsid w:val="00AD1816"/>
    <w:rsid w:val="00AD18DC"/>
    <w:rsid w:val="00AD1DA6"/>
    <w:rsid w:val="00AD1E17"/>
    <w:rsid w:val="00AD1E8A"/>
    <w:rsid w:val="00AD1EA5"/>
    <w:rsid w:val="00AD1F1A"/>
    <w:rsid w:val="00AD2291"/>
    <w:rsid w:val="00AD23C7"/>
    <w:rsid w:val="00AD2424"/>
    <w:rsid w:val="00AD243E"/>
    <w:rsid w:val="00AD2464"/>
    <w:rsid w:val="00AD2596"/>
    <w:rsid w:val="00AD25D1"/>
    <w:rsid w:val="00AD2A34"/>
    <w:rsid w:val="00AD2CB0"/>
    <w:rsid w:val="00AD3707"/>
    <w:rsid w:val="00AD3781"/>
    <w:rsid w:val="00AD38F9"/>
    <w:rsid w:val="00AD3B0F"/>
    <w:rsid w:val="00AD3B8C"/>
    <w:rsid w:val="00AD3D0F"/>
    <w:rsid w:val="00AD3D3F"/>
    <w:rsid w:val="00AD42EF"/>
    <w:rsid w:val="00AD4380"/>
    <w:rsid w:val="00AD43A3"/>
    <w:rsid w:val="00AD4471"/>
    <w:rsid w:val="00AD4485"/>
    <w:rsid w:val="00AD4CD6"/>
    <w:rsid w:val="00AD4E14"/>
    <w:rsid w:val="00AD5274"/>
    <w:rsid w:val="00AD5491"/>
    <w:rsid w:val="00AD5511"/>
    <w:rsid w:val="00AD5567"/>
    <w:rsid w:val="00AD562D"/>
    <w:rsid w:val="00AD58CF"/>
    <w:rsid w:val="00AD59CD"/>
    <w:rsid w:val="00AD65B3"/>
    <w:rsid w:val="00AD65EF"/>
    <w:rsid w:val="00AD666B"/>
    <w:rsid w:val="00AD66EB"/>
    <w:rsid w:val="00AD6807"/>
    <w:rsid w:val="00AD6849"/>
    <w:rsid w:val="00AD687A"/>
    <w:rsid w:val="00AD69BF"/>
    <w:rsid w:val="00AD6DEE"/>
    <w:rsid w:val="00AD6E81"/>
    <w:rsid w:val="00AD6EEE"/>
    <w:rsid w:val="00AD71B2"/>
    <w:rsid w:val="00AD7460"/>
    <w:rsid w:val="00AD74E6"/>
    <w:rsid w:val="00AD775F"/>
    <w:rsid w:val="00AD799E"/>
    <w:rsid w:val="00AD7A3D"/>
    <w:rsid w:val="00AD7A8F"/>
    <w:rsid w:val="00AD7C38"/>
    <w:rsid w:val="00AD7CC7"/>
    <w:rsid w:val="00AD7CE6"/>
    <w:rsid w:val="00AE035F"/>
    <w:rsid w:val="00AE050B"/>
    <w:rsid w:val="00AE06A8"/>
    <w:rsid w:val="00AE0748"/>
    <w:rsid w:val="00AE078B"/>
    <w:rsid w:val="00AE0894"/>
    <w:rsid w:val="00AE0896"/>
    <w:rsid w:val="00AE0A9D"/>
    <w:rsid w:val="00AE0B45"/>
    <w:rsid w:val="00AE0EA0"/>
    <w:rsid w:val="00AE111E"/>
    <w:rsid w:val="00AE118E"/>
    <w:rsid w:val="00AE1202"/>
    <w:rsid w:val="00AE13AB"/>
    <w:rsid w:val="00AE15BD"/>
    <w:rsid w:val="00AE1758"/>
    <w:rsid w:val="00AE1883"/>
    <w:rsid w:val="00AE1C5E"/>
    <w:rsid w:val="00AE1E6B"/>
    <w:rsid w:val="00AE2480"/>
    <w:rsid w:val="00AE282C"/>
    <w:rsid w:val="00AE2A71"/>
    <w:rsid w:val="00AE2B4B"/>
    <w:rsid w:val="00AE2CB8"/>
    <w:rsid w:val="00AE2DBC"/>
    <w:rsid w:val="00AE2F4E"/>
    <w:rsid w:val="00AE319C"/>
    <w:rsid w:val="00AE370A"/>
    <w:rsid w:val="00AE3735"/>
    <w:rsid w:val="00AE383E"/>
    <w:rsid w:val="00AE3BD9"/>
    <w:rsid w:val="00AE3E1A"/>
    <w:rsid w:val="00AE3E6A"/>
    <w:rsid w:val="00AE3EBD"/>
    <w:rsid w:val="00AE42A3"/>
    <w:rsid w:val="00AE4426"/>
    <w:rsid w:val="00AE4590"/>
    <w:rsid w:val="00AE45C4"/>
    <w:rsid w:val="00AE4B4A"/>
    <w:rsid w:val="00AE4DBA"/>
    <w:rsid w:val="00AE503B"/>
    <w:rsid w:val="00AE5066"/>
    <w:rsid w:val="00AE5118"/>
    <w:rsid w:val="00AE51B5"/>
    <w:rsid w:val="00AE53B6"/>
    <w:rsid w:val="00AE540C"/>
    <w:rsid w:val="00AE571D"/>
    <w:rsid w:val="00AE57FE"/>
    <w:rsid w:val="00AE5B72"/>
    <w:rsid w:val="00AE5D55"/>
    <w:rsid w:val="00AE63D2"/>
    <w:rsid w:val="00AE63ED"/>
    <w:rsid w:val="00AE63EF"/>
    <w:rsid w:val="00AE66E0"/>
    <w:rsid w:val="00AE6762"/>
    <w:rsid w:val="00AE6D7B"/>
    <w:rsid w:val="00AE7116"/>
    <w:rsid w:val="00AE7185"/>
    <w:rsid w:val="00AE7258"/>
    <w:rsid w:val="00AE7492"/>
    <w:rsid w:val="00AE7530"/>
    <w:rsid w:val="00AE75B6"/>
    <w:rsid w:val="00AE78DE"/>
    <w:rsid w:val="00AE7902"/>
    <w:rsid w:val="00AE7A8C"/>
    <w:rsid w:val="00AE7D50"/>
    <w:rsid w:val="00AE7E96"/>
    <w:rsid w:val="00AF0345"/>
    <w:rsid w:val="00AF0535"/>
    <w:rsid w:val="00AF0688"/>
    <w:rsid w:val="00AF0907"/>
    <w:rsid w:val="00AF0ABF"/>
    <w:rsid w:val="00AF0ECF"/>
    <w:rsid w:val="00AF0ED4"/>
    <w:rsid w:val="00AF1003"/>
    <w:rsid w:val="00AF1388"/>
    <w:rsid w:val="00AF1506"/>
    <w:rsid w:val="00AF1956"/>
    <w:rsid w:val="00AF1AC6"/>
    <w:rsid w:val="00AF1E33"/>
    <w:rsid w:val="00AF1F3F"/>
    <w:rsid w:val="00AF2233"/>
    <w:rsid w:val="00AF224D"/>
    <w:rsid w:val="00AF23CE"/>
    <w:rsid w:val="00AF26A2"/>
    <w:rsid w:val="00AF292D"/>
    <w:rsid w:val="00AF29BC"/>
    <w:rsid w:val="00AF29E1"/>
    <w:rsid w:val="00AF2A09"/>
    <w:rsid w:val="00AF2BB4"/>
    <w:rsid w:val="00AF2D2E"/>
    <w:rsid w:val="00AF3023"/>
    <w:rsid w:val="00AF31F9"/>
    <w:rsid w:val="00AF3323"/>
    <w:rsid w:val="00AF33A4"/>
    <w:rsid w:val="00AF3632"/>
    <w:rsid w:val="00AF37FC"/>
    <w:rsid w:val="00AF38F5"/>
    <w:rsid w:val="00AF39D1"/>
    <w:rsid w:val="00AF3B30"/>
    <w:rsid w:val="00AF3BC1"/>
    <w:rsid w:val="00AF3D4B"/>
    <w:rsid w:val="00AF3E23"/>
    <w:rsid w:val="00AF3EAC"/>
    <w:rsid w:val="00AF3EDB"/>
    <w:rsid w:val="00AF3FBD"/>
    <w:rsid w:val="00AF4105"/>
    <w:rsid w:val="00AF411C"/>
    <w:rsid w:val="00AF422C"/>
    <w:rsid w:val="00AF427F"/>
    <w:rsid w:val="00AF4537"/>
    <w:rsid w:val="00AF4573"/>
    <w:rsid w:val="00AF46B1"/>
    <w:rsid w:val="00AF4781"/>
    <w:rsid w:val="00AF4798"/>
    <w:rsid w:val="00AF480C"/>
    <w:rsid w:val="00AF48E8"/>
    <w:rsid w:val="00AF49F4"/>
    <w:rsid w:val="00AF4E36"/>
    <w:rsid w:val="00AF4EF3"/>
    <w:rsid w:val="00AF4F97"/>
    <w:rsid w:val="00AF550C"/>
    <w:rsid w:val="00AF55BF"/>
    <w:rsid w:val="00AF55C6"/>
    <w:rsid w:val="00AF58E9"/>
    <w:rsid w:val="00AF5BA5"/>
    <w:rsid w:val="00AF5D30"/>
    <w:rsid w:val="00AF5EFA"/>
    <w:rsid w:val="00AF647E"/>
    <w:rsid w:val="00AF64F2"/>
    <w:rsid w:val="00AF6AC2"/>
    <w:rsid w:val="00AF6C34"/>
    <w:rsid w:val="00AF71D6"/>
    <w:rsid w:val="00AF7603"/>
    <w:rsid w:val="00AF76B9"/>
    <w:rsid w:val="00AF77C8"/>
    <w:rsid w:val="00AF783A"/>
    <w:rsid w:val="00AF78C1"/>
    <w:rsid w:val="00AF78E0"/>
    <w:rsid w:val="00AF7958"/>
    <w:rsid w:val="00AF7A34"/>
    <w:rsid w:val="00AF7AD7"/>
    <w:rsid w:val="00AF7C29"/>
    <w:rsid w:val="00AF7E80"/>
    <w:rsid w:val="00AF7F58"/>
    <w:rsid w:val="00B00265"/>
    <w:rsid w:val="00B0029F"/>
    <w:rsid w:val="00B007D0"/>
    <w:rsid w:val="00B00ACC"/>
    <w:rsid w:val="00B00C63"/>
    <w:rsid w:val="00B00CB9"/>
    <w:rsid w:val="00B00EB8"/>
    <w:rsid w:val="00B00F34"/>
    <w:rsid w:val="00B0105E"/>
    <w:rsid w:val="00B01313"/>
    <w:rsid w:val="00B013A0"/>
    <w:rsid w:val="00B013AA"/>
    <w:rsid w:val="00B01922"/>
    <w:rsid w:val="00B01B7C"/>
    <w:rsid w:val="00B01C38"/>
    <w:rsid w:val="00B01EAB"/>
    <w:rsid w:val="00B01F04"/>
    <w:rsid w:val="00B0226C"/>
    <w:rsid w:val="00B025A9"/>
    <w:rsid w:val="00B027D7"/>
    <w:rsid w:val="00B02809"/>
    <w:rsid w:val="00B02880"/>
    <w:rsid w:val="00B0291C"/>
    <w:rsid w:val="00B02A10"/>
    <w:rsid w:val="00B02A86"/>
    <w:rsid w:val="00B02B3D"/>
    <w:rsid w:val="00B02C0C"/>
    <w:rsid w:val="00B02C73"/>
    <w:rsid w:val="00B02CC5"/>
    <w:rsid w:val="00B02D17"/>
    <w:rsid w:val="00B02F20"/>
    <w:rsid w:val="00B0305A"/>
    <w:rsid w:val="00B030C0"/>
    <w:rsid w:val="00B03225"/>
    <w:rsid w:val="00B034FB"/>
    <w:rsid w:val="00B03681"/>
    <w:rsid w:val="00B038BD"/>
    <w:rsid w:val="00B03958"/>
    <w:rsid w:val="00B03B10"/>
    <w:rsid w:val="00B03B8D"/>
    <w:rsid w:val="00B03ECF"/>
    <w:rsid w:val="00B04042"/>
    <w:rsid w:val="00B04135"/>
    <w:rsid w:val="00B04345"/>
    <w:rsid w:val="00B04364"/>
    <w:rsid w:val="00B04499"/>
    <w:rsid w:val="00B04AB3"/>
    <w:rsid w:val="00B04AD5"/>
    <w:rsid w:val="00B04E88"/>
    <w:rsid w:val="00B04F0F"/>
    <w:rsid w:val="00B04F32"/>
    <w:rsid w:val="00B052CE"/>
    <w:rsid w:val="00B05442"/>
    <w:rsid w:val="00B05815"/>
    <w:rsid w:val="00B058F7"/>
    <w:rsid w:val="00B05963"/>
    <w:rsid w:val="00B05DE3"/>
    <w:rsid w:val="00B05E5D"/>
    <w:rsid w:val="00B0605B"/>
    <w:rsid w:val="00B06151"/>
    <w:rsid w:val="00B0617C"/>
    <w:rsid w:val="00B06368"/>
    <w:rsid w:val="00B063AD"/>
    <w:rsid w:val="00B063D0"/>
    <w:rsid w:val="00B064C3"/>
    <w:rsid w:val="00B06609"/>
    <w:rsid w:val="00B06A2B"/>
    <w:rsid w:val="00B06A3F"/>
    <w:rsid w:val="00B06B36"/>
    <w:rsid w:val="00B06B8F"/>
    <w:rsid w:val="00B06C4C"/>
    <w:rsid w:val="00B06F2E"/>
    <w:rsid w:val="00B06F81"/>
    <w:rsid w:val="00B070E8"/>
    <w:rsid w:val="00B071A1"/>
    <w:rsid w:val="00B0744C"/>
    <w:rsid w:val="00B075F6"/>
    <w:rsid w:val="00B077E6"/>
    <w:rsid w:val="00B07D38"/>
    <w:rsid w:val="00B07E19"/>
    <w:rsid w:val="00B1028A"/>
    <w:rsid w:val="00B103DD"/>
    <w:rsid w:val="00B10529"/>
    <w:rsid w:val="00B1096D"/>
    <w:rsid w:val="00B10989"/>
    <w:rsid w:val="00B10FC3"/>
    <w:rsid w:val="00B1126F"/>
    <w:rsid w:val="00B113DF"/>
    <w:rsid w:val="00B11A01"/>
    <w:rsid w:val="00B11B89"/>
    <w:rsid w:val="00B11EB2"/>
    <w:rsid w:val="00B11ED1"/>
    <w:rsid w:val="00B121CC"/>
    <w:rsid w:val="00B1221B"/>
    <w:rsid w:val="00B123A8"/>
    <w:rsid w:val="00B12416"/>
    <w:rsid w:val="00B12453"/>
    <w:rsid w:val="00B12650"/>
    <w:rsid w:val="00B127A9"/>
    <w:rsid w:val="00B1284C"/>
    <w:rsid w:val="00B12904"/>
    <w:rsid w:val="00B12987"/>
    <w:rsid w:val="00B12BAD"/>
    <w:rsid w:val="00B12BDF"/>
    <w:rsid w:val="00B12C0B"/>
    <w:rsid w:val="00B13248"/>
    <w:rsid w:val="00B133CC"/>
    <w:rsid w:val="00B13424"/>
    <w:rsid w:val="00B134BF"/>
    <w:rsid w:val="00B13590"/>
    <w:rsid w:val="00B13802"/>
    <w:rsid w:val="00B139FA"/>
    <w:rsid w:val="00B13B62"/>
    <w:rsid w:val="00B13C9B"/>
    <w:rsid w:val="00B13D90"/>
    <w:rsid w:val="00B13E3C"/>
    <w:rsid w:val="00B14720"/>
    <w:rsid w:val="00B14854"/>
    <w:rsid w:val="00B149CF"/>
    <w:rsid w:val="00B14BFA"/>
    <w:rsid w:val="00B14D09"/>
    <w:rsid w:val="00B14EE6"/>
    <w:rsid w:val="00B15232"/>
    <w:rsid w:val="00B153CC"/>
    <w:rsid w:val="00B158FC"/>
    <w:rsid w:val="00B1591B"/>
    <w:rsid w:val="00B15B7F"/>
    <w:rsid w:val="00B15C7E"/>
    <w:rsid w:val="00B160D6"/>
    <w:rsid w:val="00B1622F"/>
    <w:rsid w:val="00B16483"/>
    <w:rsid w:val="00B1658A"/>
    <w:rsid w:val="00B16675"/>
    <w:rsid w:val="00B16787"/>
    <w:rsid w:val="00B16C63"/>
    <w:rsid w:val="00B16C85"/>
    <w:rsid w:val="00B17084"/>
    <w:rsid w:val="00B17199"/>
    <w:rsid w:val="00B17225"/>
    <w:rsid w:val="00B1739F"/>
    <w:rsid w:val="00B17579"/>
    <w:rsid w:val="00B17A5F"/>
    <w:rsid w:val="00B17B2E"/>
    <w:rsid w:val="00B17D66"/>
    <w:rsid w:val="00B17DA8"/>
    <w:rsid w:val="00B17FD4"/>
    <w:rsid w:val="00B2007E"/>
    <w:rsid w:val="00B20357"/>
    <w:rsid w:val="00B204F6"/>
    <w:rsid w:val="00B20526"/>
    <w:rsid w:val="00B20786"/>
    <w:rsid w:val="00B207A5"/>
    <w:rsid w:val="00B2099E"/>
    <w:rsid w:val="00B209FF"/>
    <w:rsid w:val="00B20A78"/>
    <w:rsid w:val="00B20CE8"/>
    <w:rsid w:val="00B20F1F"/>
    <w:rsid w:val="00B2104E"/>
    <w:rsid w:val="00B2113F"/>
    <w:rsid w:val="00B2126C"/>
    <w:rsid w:val="00B2136D"/>
    <w:rsid w:val="00B2153C"/>
    <w:rsid w:val="00B21569"/>
    <w:rsid w:val="00B21A32"/>
    <w:rsid w:val="00B21A34"/>
    <w:rsid w:val="00B21CC7"/>
    <w:rsid w:val="00B21FB9"/>
    <w:rsid w:val="00B2255D"/>
    <w:rsid w:val="00B22776"/>
    <w:rsid w:val="00B22879"/>
    <w:rsid w:val="00B2299C"/>
    <w:rsid w:val="00B22A19"/>
    <w:rsid w:val="00B22BEB"/>
    <w:rsid w:val="00B22C63"/>
    <w:rsid w:val="00B22C88"/>
    <w:rsid w:val="00B22E10"/>
    <w:rsid w:val="00B23216"/>
    <w:rsid w:val="00B234E2"/>
    <w:rsid w:val="00B2368F"/>
    <w:rsid w:val="00B237F3"/>
    <w:rsid w:val="00B23D11"/>
    <w:rsid w:val="00B23F71"/>
    <w:rsid w:val="00B24029"/>
    <w:rsid w:val="00B240B7"/>
    <w:rsid w:val="00B241B4"/>
    <w:rsid w:val="00B242D6"/>
    <w:rsid w:val="00B245BE"/>
    <w:rsid w:val="00B246DB"/>
    <w:rsid w:val="00B24846"/>
    <w:rsid w:val="00B24A35"/>
    <w:rsid w:val="00B24B0E"/>
    <w:rsid w:val="00B24B5E"/>
    <w:rsid w:val="00B24EAE"/>
    <w:rsid w:val="00B24FFF"/>
    <w:rsid w:val="00B25032"/>
    <w:rsid w:val="00B255B9"/>
    <w:rsid w:val="00B257E3"/>
    <w:rsid w:val="00B25BDF"/>
    <w:rsid w:val="00B25F32"/>
    <w:rsid w:val="00B2602E"/>
    <w:rsid w:val="00B26113"/>
    <w:rsid w:val="00B26208"/>
    <w:rsid w:val="00B2623C"/>
    <w:rsid w:val="00B262F8"/>
    <w:rsid w:val="00B2633D"/>
    <w:rsid w:val="00B2642E"/>
    <w:rsid w:val="00B2643A"/>
    <w:rsid w:val="00B264BE"/>
    <w:rsid w:val="00B2668C"/>
    <w:rsid w:val="00B268DE"/>
    <w:rsid w:val="00B26A09"/>
    <w:rsid w:val="00B26DA2"/>
    <w:rsid w:val="00B26E86"/>
    <w:rsid w:val="00B27116"/>
    <w:rsid w:val="00B27132"/>
    <w:rsid w:val="00B2716E"/>
    <w:rsid w:val="00B27415"/>
    <w:rsid w:val="00B27479"/>
    <w:rsid w:val="00B275CB"/>
    <w:rsid w:val="00B27881"/>
    <w:rsid w:val="00B27A63"/>
    <w:rsid w:val="00B27BE0"/>
    <w:rsid w:val="00B27F4C"/>
    <w:rsid w:val="00B305C5"/>
    <w:rsid w:val="00B3061A"/>
    <w:rsid w:val="00B3073C"/>
    <w:rsid w:val="00B30BC1"/>
    <w:rsid w:val="00B30FF9"/>
    <w:rsid w:val="00B3118F"/>
    <w:rsid w:val="00B31460"/>
    <w:rsid w:val="00B3152C"/>
    <w:rsid w:val="00B318A2"/>
    <w:rsid w:val="00B31AB5"/>
    <w:rsid w:val="00B31B69"/>
    <w:rsid w:val="00B31BBC"/>
    <w:rsid w:val="00B31E06"/>
    <w:rsid w:val="00B3235C"/>
    <w:rsid w:val="00B325E2"/>
    <w:rsid w:val="00B326FB"/>
    <w:rsid w:val="00B32D5A"/>
    <w:rsid w:val="00B32EB3"/>
    <w:rsid w:val="00B33058"/>
    <w:rsid w:val="00B3322A"/>
    <w:rsid w:val="00B33335"/>
    <w:rsid w:val="00B3333F"/>
    <w:rsid w:val="00B33881"/>
    <w:rsid w:val="00B33BC8"/>
    <w:rsid w:val="00B3402B"/>
    <w:rsid w:val="00B34107"/>
    <w:rsid w:val="00B34562"/>
    <w:rsid w:val="00B34592"/>
    <w:rsid w:val="00B34666"/>
    <w:rsid w:val="00B34676"/>
    <w:rsid w:val="00B3494A"/>
    <w:rsid w:val="00B34C2E"/>
    <w:rsid w:val="00B34C47"/>
    <w:rsid w:val="00B350DE"/>
    <w:rsid w:val="00B35196"/>
    <w:rsid w:val="00B3536D"/>
    <w:rsid w:val="00B354C8"/>
    <w:rsid w:val="00B354F1"/>
    <w:rsid w:val="00B35E03"/>
    <w:rsid w:val="00B3608B"/>
    <w:rsid w:val="00B36307"/>
    <w:rsid w:val="00B363C1"/>
    <w:rsid w:val="00B365DF"/>
    <w:rsid w:val="00B36E25"/>
    <w:rsid w:val="00B37066"/>
    <w:rsid w:val="00B37A05"/>
    <w:rsid w:val="00B37AD2"/>
    <w:rsid w:val="00B37B42"/>
    <w:rsid w:val="00B37FBC"/>
    <w:rsid w:val="00B400F4"/>
    <w:rsid w:val="00B40545"/>
    <w:rsid w:val="00B4066E"/>
    <w:rsid w:val="00B40702"/>
    <w:rsid w:val="00B40ABB"/>
    <w:rsid w:val="00B40CEA"/>
    <w:rsid w:val="00B40D54"/>
    <w:rsid w:val="00B40D5A"/>
    <w:rsid w:val="00B40DB6"/>
    <w:rsid w:val="00B41121"/>
    <w:rsid w:val="00B411AD"/>
    <w:rsid w:val="00B41292"/>
    <w:rsid w:val="00B41572"/>
    <w:rsid w:val="00B41CD5"/>
    <w:rsid w:val="00B41ED7"/>
    <w:rsid w:val="00B42003"/>
    <w:rsid w:val="00B42305"/>
    <w:rsid w:val="00B42394"/>
    <w:rsid w:val="00B425C0"/>
    <w:rsid w:val="00B42BDB"/>
    <w:rsid w:val="00B42DC6"/>
    <w:rsid w:val="00B42E6A"/>
    <w:rsid w:val="00B433AA"/>
    <w:rsid w:val="00B43438"/>
    <w:rsid w:val="00B434D3"/>
    <w:rsid w:val="00B43506"/>
    <w:rsid w:val="00B4352F"/>
    <w:rsid w:val="00B435E9"/>
    <w:rsid w:val="00B43A24"/>
    <w:rsid w:val="00B43A46"/>
    <w:rsid w:val="00B4400B"/>
    <w:rsid w:val="00B4403B"/>
    <w:rsid w:val="00B440A6"/>
    <w:rsid w:val="00B44710"/>
    <w:rsid w:val="00B44795"/>
    <w:rsid w:val="00B44969"/>
    <w:rsid w:val="00B449DA"/>
    <w:rsid w:val="00B44A39"/>
    <w:rsid w:val="00B44AD8"/>
    <w:rsid w:val="00B44C58"/>
    <w:rsid w:val="00B44C82"/>
    <w:rsid w:val="00B44E3A"/>
    <w:rsid w:val="00B44FB3"/>
    <w:rsid w:val="00B45067"/>
    <w:rsid w:val="00B45362"/>
    <w:rsid w:val="00B455B6"/>
    <w:rsid w:val="00B456A0"/>
    <w:rsid w:val="00B458AC"/>
    <w:rsid w:val="00B45B31"/>
    <w:rsid w:val="00B45B8A"/>
    <w:rsid w:val="00B45E57"/>
    <w:rsid w:val="00B45F2D"/>
    <w:rsid w:val="00B45F8E"/>
    <w:rsid w:val="00B46080"/>
    <w:rsid w:val="00B46193"/>
    <w:rsid w:val="00B461E7"/>
    <w:rsid w:val="00B46285"/>
    <w:rsid w:val="00B464B9"/>
    <w:rsid w:val="00B464F6"/>
    <w:rsid w:val="00B46AE8"/>
    <w:rsid w:val="00B46BF5"/>
    <w:rsid w:val="00B46FA1"/>
    <w:rsid w:val="00B470AF"/>
    <w:rsid w:val="00B47298"/>
    <w:rsid w:val="00B47AAD"/>
    <w:rsid w:val="00B47ACD"/>
    <w:rsid w:val="00B47DCE"/>
    <w:rsid w:val="00B47F94"/>
    <w:rsid w:val="00B47FBC"/>
    <w:rsid w:val="00B500B0"/>
    <w:rsid w:val="00B50252"/>
    <w:rsid w:val="00B502A0"/>
    <w:rsid w:val="00B50352"/>
    <w:rsid w:val="00B5045E"/>
    <w:rsid w:val="00B50466"/>
    <w:rsid w:val="00B50492"/>
    <w:rsid w:val="00B50653"/>
    <w:rsid w:val="00B50718"/>
    <w:rsid w:val="00B508F3"/>
    <w:rsid w:val="00B50B38"/>
    <w:rsid w:val="00B50D59"/>
    <w:rsid w:val="00B50D5D"/>
    <w:rsid w:val="00B51023"/>
    <w:rsid w:val="00B516E2"/>
    <w:rsid w:val="00B51871"/>
    <w:rsid w:val="00B51920"/>
    <w:rsid w:val="00B519F8"/>
    <w:rsid w:val="00B51A18"/>
    <w:rsid w:val="00B51F48"/>
    <w:rsid w:val="00B520A7"/>
    <w:rsid w:val="00B520B9"/>
    <w:rsid w:val="00B521C6"/>
    <w:rsid w:val="00B52837"/>
    <w:rsid w:val="00B5285B"/>
    <w:rsid w:val="00B5303D"/>
    <w:rsid w:val="00B530CC"/>
    <w:rsid w:val="00B53166"/>
    <w:rsid w:val="00B535E5"/>
    <w:rsid w:val="00B5360B"/>
    <w:rsid w:val="00B53667"/>
    <w:rsid w:val="00B53B11"/>
    <w:rsid w:val="00B53B6D"/>
    <w:rsid w:val="00B53D08"/>
    <w:rsid w:val="00B53E03"/>
    <w:rsid w:val="00B53E1A"/>
    <w:rsid w:val="00B53E92"/>
    <w:rsid w:val="00B541BF"/>
    <w:rsid w:val="00B541D1"/>
    <w:rsid w:val="00B543D0"/>
    <w:rsid w:val="00B5442C"/>
    <w:rsid w:val="00B546F3"/>
    <w:rsid w:val="00B549E5"/>
    <w:rsid w:val="00B54B43"/>
    <w:rsid w:val="00B54BFF"/>
    <w:rsid w:val="00B54F94"/>
    <w:rsid w:val="00B55427"/>
    <w:rsid w:val="00B554B1"/>
    <w:rsid w:val="00B55797"/>
    <w:rsid w:val="00B5580D"/>
    <w:rsid w:val="00B5594C"/>
    <w:rsid w:val="00B55AE6"/>
    <w:rsid w:val="00B55C5A"/>
    <w:rsid w:val="00B55C9C"/>
    <w:rsid w:val="00B55E58"/>
    <w:rsid w:val="00B55EBB"/>
    <w:rsid w:val="00B56023"/>
    <w:rsid w:val="00B560B4"/>
    <w:rsid w:val="00B56151"/>
    <w:rsid w:val="00B56604"/>
    <w:rsid w:val="00B5670F"/>
    <w:rsid w:val="00B5678A"/>
    <w:rsid w:val="00B56792"/>
    <w:rsid w:val="00B569DF"/>
    <w:rsid w:val="00B569E8"/>
    <w:rsid w:val="00B56D26"/>
    <w:rsid w:val="00B56DF7"/>
    <w:rsid w:val="00B56E3F"/>
    <w:rsid w:val="00B56F44"/>
    <w:rsid w:val="00B57150"/>
    <w:rsid w:val="00B57715"/>
    <w:rsid w:val="00B5771B"/>
    <w:rsid w:val="00B579AA"/>
    <w:rsid w:val="00B57AFF"/>
    <w:rsid w:val="00B57C71"/>
    <w:rsid w:val="00B57CA3"/>
    <w:rsid w:val="00B602D8"/>
    <w:rsid w:val="00B603B3"/>
    <w:rsid w:val="00B604C1"/>
    <w:rsid w:val="00B60629"/>
    <w:rsid w:val="00B60CA2"/>
    <w:rsid w:val="00B60DE2"/>
    <w:rsid w:val="00B60F72"/>
    <w:rsid w:val="00B61094"/>
    <w:rsid w:val="00B610C1"/>
    <w:rsid w:val="00B61134"/>
    <w:rsid w:val="00B61361"/>
    <w:rsid w:val="00B615ED"/>
    <w:rsid w:val="00B61A93"/>
    <w:rsid w:val="00B61C51"/>
    <w:rsid w:val="00B61DFB"/>
    <w:rsid w:val="00B61E04"/>
    <w:rsid w:val="00B61E92"/>
    <w:rsid w:val="00B61F81"/>
    <w:rsid w:val="00B62055"/>
    <w:rsid w:val="00B62EC9"/>
    <w:rsid w:val="00B63024"/>
    <w:rsid w:val="00B63539"/>
    <w:rsid w:val="00B63B83"/>
    <w:rsid w:val="00B63BCF"/>
    <w:rsid w:val="00B63E50"/>
    <w:rsid w:val="00B63F97"/>
    <w:rsid w:val="00B63FF3"/>
    <w:rsid w:val="00B64054"/>
    <w:rsid w:val="00B64069"/>
    <w:rsid w:val="00B6407F"/>
    <w:rsid w:val="00B640CF"/>
    <w:rsid w:val="00B6411C"/>
    <w:rsid w:val="00B64122"/>
    <w:rsid w:val="00B641A5"/>
    <w:rsid w:val="00B6446A"/>
    <w:rsid w:val="00B64471"/>
    <w:rsid w:val="00B644A6"/>
    <w:rsid w:val="00B644B7"/>
    <w:rsid w:val="00B64742"/>
    <w:rsid w:val="00B647E3"/>
    <w:rsid w:val="00B64A22"/>
    <w:rsid w:val="00B64CC6"/>
    <w:rsid w:val="00B64DED"/>
    <w:rsid w:val="00B6512A"/>
    <w:rsid w:val="00B651EB"/>
    <w:rsid w:val="00B65275"/>
    <w:rsid w:val="00B6540D"/>
    <w:rsid w:val="00B6596C"/>
    <w:rsid w:val="00B65B27"/>
    <w:rsid w:val="00B65C7F"/>
    <w:rsid w:val="00B65EA5"/>
    <w:rsid w:val="00B66031"/>
    <w:rsid w:val="00B665CB"/>
    <w:rsid w:val="00B6661C"/>
    <w:rsid w:val="00B66745"/>
    <w:rsid w:val="00B6674E"/>
    <w:rsid w:val="00B668A8"/>
    <w:rsid w:val="00B66B0B"/>
    <w:rsid w:val="00B66BED"/>
    <w:rsid w:val="00B66C69"/>
    <w:rsid w:val="00B67183"/>
    <w:rsid w:val="00B67199"/>
    <w:rsid w:val="00B671F3"/>
    <w:rsid w:val="00B6736D"/>
    <w:rsid w:val="00B67718"/>
    <w:rsid w:val="00B6782A"/>
    <w:rsid w:val="00B67A5A"/>
    <w:rsid w:val="00B67B3C"/>
    <w:rsid w:val="00B67C7C"/>
    <w:rsid w:val="00B67F8F"/>
    <w:rsid w:val="00B70149"/>
    <w:rsid w:val="00B702A6"/>
    <w:rsid w:val="00B7042D"/>
    <w:rsid w:val="00B70653"/>
    <w:rsid w:val="00B708A7"/>
    <w:rsid w:val="00B708F8"/>
    <w:rsid w:val="00B709A6"/>
    <w:rsid w:val="00B70A54"/>
    <w:rsid w:val="00B70AD0"/>
    <w:rsid w:val="00B70AFA"/>
    <w:rsid w:val="00B70BB1"/>
    <w:rsid w:val="00B70BE8"/>
    <w:rsid w:val="00B70D78"/>
    <w:rsid w:val="00B71241"/>
    <w:rsid w:val="00B71968"/>
    <w:rsid w:val="00B719FB"/>
    <w:rsid w:val="00B71C28"/>
    <w:rsid w:val="00B71D0F"/>
    <w:rsid w:val="00B71E21"/>
    <w:rsid w:val="00B71EC5"/>
    <w:rsid w:val="00B71FD6"/>
    <w:rsid w:val="00B721BA"/>
    <w:rsid w:val="00B7240C"/>
    <w:rsid w:val="00B7268C"/>
    <w:rsid w:val="00B72842"/>
    <w:rsid w:val="00B72BF2"/>
    <w:rsid w:val="00B72D88"/>
    <w:rsid w:val="00B72E49"/>
    <w:rsid w:val="00B72E56"/>
    <w:rsid w:val="00B72E5A"/>
    <w:rsid w:val="00B72E6E"/>
    <w:rsid w:val="00B72F31"/>
    <w:rsid w:val="00B72F45"/>
    <w:rsid w:val="00B73055"/>
    <w:rsid w:val="00B73081"/>
    <w:rsid w:val="00B73101"/>
    <w:rsid w:val="00B73169"/>
    <w:rsid w:val="00B73300"/>
    <w:rsid w:val="00B735D2"/>
    <w:rsid w:val="00B738C4"/>
    <w:rsid w:val="00B739F3"/>
    <w:rsid w:val="00B73C7B"/>
    <w:rsid w:val="00B73C8A"/>
    <w:rsid w:val="00B742D7"/>
    <w:rsid w:val="00B74898"/>
    <w:rsid w:val="00B74AB4"/>
    <w:rsid w:val="00B74AD2"/>
    <w:rsid w:val="00B74ADF"/>
    <w:rsid w:val="00B74C00"/>
    <w:rsid w:val="00B74DCA"/>
    <w:rsid w:val="00B74DD6"/>
    <w:rsid w:val="00B7508C"/>
    <w:rsid w:val="00B7527F"/>
    <w:rsid w:val="00B7528E"/>
    <w:rsid w:val="00B7533F"/>
    <w:rsid w:val="00B75590"/>
    <w:rsid w:val="00B75672"/>
    <w:rsid w:val="00B756D3"/>
    <w:rsid w:val="00B75728"/>
    <w:rsid w:val="00B75856"/>
    <w:rsid w:val="00B759BD"/>
    <w:rsid w:val="00B75CE0"/>
    <w:rsid w:val="00B76083"/>
    <w:rsid w:val="00B76241"/>
    <w:rsid w:val="00B762E1"/>
    <w:rsid w:val="00B763AA"/>
    <w:rsid w:val="00B764AE"/>
    <w:rsid w:val="00B7653F"/>
    <w:rsid w:val="00B767A7"/>
    <w:rsid w:val="00B76864"/>
    <w:rsid w:val="00B76DDC"/>
    <w:rsid w:val="00B76F46"/>
    <w:rsid w:val="00B76FDA"/>
    <w:rsid w:val="00B772D6"/>
    <w:rsid w:val="00B7730E"/>
    <w:rsid w:val="00B7744C"/>
    <w:rsid w:val="00B776AD"/>
    <w:rsid w:val="00B7781F"/>
    <w:rsid w:val="00B77D28"/>
    <w:rsid w:val="00B77E47"/>
    <w:rsid w:val="00B800C1"/>
    <w:rsid w:val="00B8029B"/>
    <w:rsid w:val="00B80348"/>
    <w:rsid w:val="00B8041E"/>
    <w:rsid w:val="00B80BD7"/>
    <w:rsid w:val="00B80E45"/>
    <w:rsid w:val="00B80FED"/>
    <w:rsid w:val="00B812DA"/>
    <w:rsid w:val="00B812E6"/>
    <w:rsid w:val="00B81379"/>
    <w:rsid w:val="00B815E8"/>
    <w:rsid w:val="00B8191F"/>
    <w:rsid w:val="00B8198E"/>
    <w:rsid w:val="00B81A6D"/>
    <w:rsid w:val="00B81AD6"/>
    <w:rsid w:val="00B81B38"/>
    <w:rsid w:val="00B81C9E"/>
    <w:rsid w:val="00B81E40"/>
    <w:rsid w:val="00B820FC"/>
    <w:rsid w:val="00B82220"/>
    <w:rsid w:val="00B825EC"/>
    <w:rsid w:val="00B829F4"/>
    <w:rsid w:val="00B82E9B"/>
    <w:rsid w:val="00B834BE"/>
    <w:rsid w:val="00B834D5"/>
    <w:rsid w:val="00B83801"/>
    <w:rsid w:val="00B839E4"/>
    <w:rsid w:val="00B83B26"/>
    <w:rsid w:val="00B83B5E"/>
    <w:rsid w:val="00B83D84"/>
    <w:rsid w:val="00B8428D"/>
    <w:rsid w:val="00B8485C"/>
    <w:rsid w:val="00B8496D"/>
    <w:rsid w:val="00B84AC0"/>
    <w:rsid w:val="00B84DA4"/>
    <w:rsid w:val="00B84DE9"/>
    <w:rsid w:val="00B85CCF"/>
    <w:rsid w:val="00B85CE4"/>
    <w:rsid w:val="00B85EFB"/>
    <w:rsid w:val="00B86071"/>
    <w:rsid w:val="00B86657"/>
    <w:rsid w:val="00B869A7"/>
    <w:rsid w:val="00B86C04"/>
    <w:rsid w:val="00B8701C"/>
    <w:rsid w:val="00B87077"/>
    <w:rsid w:val="00B87098"/>
    <w:rsid w:val="00B87192"/>
    <w:rsid w:val="00B87431"/>
    <w:rsid w:val="00B875C6"/>
    <w:rsid w:val="00B875DE"/>
    <w:rsid w:val="00B87765"/>
    <w:rsid w:val="00B877A3"/>
    <w:rsid w:val="00B87B0B"/>
    <w:rsid w:val="00B90040"/>
    <w:rsid w:val="00B90311"/>
    <w:rsid w:val="00B90414"/>
    <w:rsid w:val="00B90419"/>
    <w:rsid w:val="00B904EB"/>
    <w:rsid w:val="00B90A09"/>
    <w:rsid w:val="00B90A0D"/>
    <w:rsid w:val="00B90BFD"/>
    <w:rsid w:val="00B90C93"/>
    <w:rsid w:val="00B90D78"/>
    <w:rsid w:val="00B90D8A"/>
    <w:rsid w:val="00B90E79"/>
    <w:rsid w:val="00B90F36"/>
    <w:rsid w:val="00B90FDE"/>
    <w:rsid w:val="00B9105E"/>
    <w:rsid w:val="00B91134"/>
    <w:rsid w:val="00B915DE"/>
    <w:rsid w:val="00B9167F"/>
    <w:rsid w:val="00B91870"/>
    <w:rsid w:val="00B91982"/>
    <w:rsid w:val="00B91A21"/>
    <w:rsid w:val="00B91AAA"/>
    <w:rsid w:val="00B91DFD"/>
    <w:rsid w:val="00B921E1"/>
    <w:rsid w:val="00B922B3"/>
    <w:rsid w:val="00B92411"/>
    <w:rsid w:val="00B92500"/>
    <w:rsid w:val="00B92574"/>
    <w:rsid w:val="00B9274D"/>
    <w:rsid w:val="00B928FB"/>
    <w:rsid w:val="00B92BE5"/>
    <w:rsid w:val="00B92EB2"/>
    <w:rsid w:val="00B93D8C"/>
    <w:rsid w:val="00B93EC5"/>
    <w:rsid w:val="00B9435E"/>
    <w:rsid w:val="00B9451F"/>
    <w:rsid w:val="00B94833"/>
    <w:rsid w:val="00B94876"/>
    <w:rsid w:val="00B94C9E"/>
    <w:rsid w:val="00B94CD7"/>
    <w:rsid w:val="00B94D26"/>
    <w:rsid w:val="00B950B9"/>
    <w:rsid w:val="00B951F7"/>
    <w:rsid w:val="00B95243"/>
    <w:rsid w:val="00B9566C"/>
    <w:rsid w:val="00B95717"/>
    <w:rsid w:val="00B95848"/>
    <w:rsid w:val="00B95BF0"/>
    <w:rsid w:val="00B95F1F"/>
    <w:rsid w:val="00B960BB"/>
    <w:rsid w:val="00B96418"/>
    <w:rsid w:val="00B967A9"/>
    <w:rsid w:val="00B96A7B"/>
    <w:rsid w:val="00B96B72"/>
    <w:rsid w:val="00B96BCC"/>
    <w:rsid w:val="00B96BEA"/>
    <w:rsid w:val="00B97052"/>
    <w:rsid w:val="00B97129"/>
    <w:rsid w:val="00B9722E"/>
    <w:rsid w:val="00B9726D"/>
    <w:rsid w:val="00B97374"/>
    <w:rsid w:val="00B97382"/>
    <w:rsid w:val="00B97395"/>
    <w:rsid w:val="00B97412"/>
    <w:rsid w:val="00B97452"/>
    <w:rsid w:val="00B97667"/>
    <w:rsid w:val="00B976EF"/>
    <w:rsid w:val="00B97FB1"/>
    <w:rsid w:val="00BA0239"/>
    <w:rsid w:val="00BA0429"/>
    <w:rsid w:val="00BA04E0"/>
    <w:rsid w:val="00BA051F"/>
    <w:rsid w:val="00BA05A2"/>
    <w:rsid w:val="00BA0B22"/>
    <w:rsid w:val="00BA0E91"/>
    <w:rsid w:val="00BA103F"/>
    <w:rsid w:val="00BA1235"/>
    <w:rsid w:val="00BA149E"/>
    <w:rsid w:val="00BA1540"/>
    <w:rsid w:val="00BA15DA"/>
    <w:rsid w:val="00BA176C"/>
    <w:rsid w:val="00BA1821"/>
    <w:rsid w:val="00BA1875"/>
    <w:rsid w:val="00BA194F"/>
    <w:rsid w:val="00BA1A01"/>
    <w:rsid w:val="00BA1A5C"/>
    <w:rsid w:val="00BA1BFF"/>
    <w:rsid w:val="00BA1CBC"/>
    <w:rsid w:val="00BA23DB"/>
    <w:rsid w:val="00BA24A5"/>
    <w:rsid w:val="00BA2991"/>
    <w:rsid w:val="00BA2BC8"/>
    <w:rsid w:val="00BA30AA"/>
    <w:rsid w:val="00BA3125"/>
    <w:rsid w:val="00BA3776"/>
    <w:rsid w:val="00BA39D6"/>
    <w:rsid w:val="00BA3B1A"/>
    <w:rsid w:val="00BA3D1B"/>
    <w:rsid w:val="00BA4399"/>
    <w:rsid w:val="00BA43CA"/>
    <w:rsid w:val="00BA4728"/>
    <w:rsid w:val="00BA47B8"/>
    <w:rsid w:val="00BA4E1C"/>
    <w:rsid w:val="00BA5042"/>
    <w:rsid w:val="00BA5696"/>
    <w:rsid w:val="00BA571F"/>
    <w:rsid w:val="00BA5824"/>
    <w:rsid w:val="00BA58E6"/>
    <w:rsid w:val="00BA5990"/>
    <w:rsid w:val="00BA5CCE"/>
    <w:rsid w:val="00BA5CD8"/>
    <w:rsid w:val="00BA5D89"/>
    <w:rsid w:val="00BA6020"/>
    <w:rsid w:val="00BA62EE"/>
    <w:rsid w:val="00BA68D8"/>
    <w:rsid w:val="00BA6911"/>
    <w:rsid w:val="00BA6B16"/>
    <w:rsid w:val="00BA6CCE"/>
    <w:rsid w:val="00BA6F62"/>
    <w:rsid w:val="00BA7128"/>
    <w:rsid w:val="00BA7544"/>
    <w:rsid w:val="00BA7609"/>
    <w:rsid w:val="00BA767A"/>
    <w:rsid w:val="00BA776E"/>
    <w:rsid w:val="00BA77EF"/>
    <w:rsid w:val="00BA7A82"/>
    <w:rsid w:val="00BA7E34"/>
    <w:rsid w:val="00BB0047"/>
    <w:rsid w:val="00BB0262"/>
    <w:rsid w:val="00BB03E4"/>
    <w:rsid w:val="00BB05F4"/>
    <w:rsid w:val="00BB06B4"/>
    <w:rsid w:val="00BB073A"/>
    <w:rsid w:val="00BB089D"/>
    <w:rsid w:val="00BB099A"/>
    <w:rsid w:val="00BB11F0"/>
    <w:rsid w:val="00BB127B"/>
    <w:rsid w:val="00BB1573"/>
    <w:rsid w:val="00BB1695"/>
    <w:rsid w:val="00BB1981"/>
    <w:rsid w:val="00BB1A13"/>
    <w:rsid w:val="00BB22B7"/>
    <w:rsid w:val="00BB22EE"/>
    <w:rsid w:val="00BB2421"/>
    <w:rsid w:val="00BB27CF"/>
    <w:rsid w:val="00BB2847"/>
    <w:rsid w:val="00BB2993"/>
    <w:rsid w:val="00BB2B94"/>
    <w:rsid w:val="00BB2C23"/>
    <w:rsid w:val="00BB2D1D"/>
    <w:rsid w:val="00BB2D89"/>
    <w:rsid w:val="00BB2FA7"/>
    <w:rsid w:val="00BB3F5F"/>
    <w:rsid w:val="00BB4148"/>
    <w:rsid w:val="00BB4337"/>
    <w:rsid w:val="00BB4463"/>
    <w:rsid w:val="00BB4763"/>
    <w:rsid w:val="00BB4953"/>
    <w:rsid w:val="00BB4FD9"/>
    <w:rsid w:val="00BB5059"/>
    <w:rsid w:val="00BB50C5"/>
    <w:rsid w:val="00BB5182"/>
    <w:rsid w:val="00BB5511"/>
    <w:rsid w:val="00BB5CB0"/>
    <w:rsid w:val="00BB5D6B"/>
    <w:rsid w:val="00BB5D8B"/>
    <w:rsid w:val="00BB5F5F"/>
    <w:rsid w:val="00BB6162"/>
    <w:rsid w:val="00BB6540"/>
    <w:rsid w:val="00BB6585"/>
    <w:rsid w:val="00BB68F5"/>
    <w:rsid w:val="00BB69C8"/>
    <w:rsid w:val="00BB6AA7"/>
    <w:rsid w:val="00BB6D1D"/>
    <w:rsid w:val="00BB6DB1"/>
    <w:rsid w:val="00BB6E81"/>
    <w:rsid w:val="00BB6F2A"/>
    <w:rsid w:val="00BB70DD"/>
    <w:rsid w:val="00BB7394"/>
    <w:rsid w:val="00BB73CB"/>
    <w:rsid w:val="00BB73ED"/>
    <w:rsid w:val="00BB746B"/>
    <w:rsid w:val="00BB75EB"/>
    <w:rsid w:val="00BB76C0"/>
    <w:rsid w:val="00BB7EDD"/>
    <w:rsid w:val="00BB7F69"/>
    <w:rsid w:val="00BC024F"/>
    <w:rsid w:val="00BC03C3"/>
    <w:rsid w:val="00BC0402"/>
    <w:rsid w:val="00BC050A"/>
    <w:rsid w:val="00BC072A"/>
    <w:rsid w:val="00BC0E8D"/>
    <w:rsid w:val="00BC0FC3"/>
    <w:rsid w:val="00BC129C"/>
    <w:rsid w:val="00BC1842"/>
    <w:rsid w:val="00BC1AC0"/>
    <w:rsid w:val="00BC1B97"/>
    <w:rsid w:val="00BC1C02"/>
    <w:rsid w:val="00BC1F50"/>
    <w:rsid w:val="00BC1F85"/>
    <w:rsid w:val="00BC1FA1"/>
    <w:rsid w:val="00BC26D4"/>
    <w:rsid w:val="00BC29E8"/>
    <w:rsid w:val="00BC2AC0"/>
    <w:rsid w:val="00BC2EC3"/>
    <w:rsid w:val="00BC2EEE"/>
    <w:rsid w:val="00BC3457"/>
    <w:rsid w:val="00BC37D4"/>
    <w:rsid w:val="00BC384E"/>
    <w:rsid w:val="00BC39E0"/>
    <w:rsid w:val="00BC4088"/>
    <w:rsid w:val="00BC430B"/>
    <w:rsid w:val="00BC450D"/>
    <w:rsid w:val="00BC4ABB"/>
    <w:rsid w:val="00BC4C4E"/>
    <w:rsid w:val="00BC4C6A"/>
    <w:rsid w:val="00BC5275"/>
    <w:rsid w:val="00BC52AB"/>
    <w:rsid w:val="00BC53EE"/>
    <w:rsid w:val="00BC5542"/>
    <w:rsid w:val="00BC563B"/>
    <w:rsid w:val="00BC5741"/>
    <w:rsid w:val="00BC58B4"/>
    <w:rsid w:val="00BC5A18"/>
    <w:rsid w:val="00BC5A33"/>
    <w:rsid w:val="00BC5C22"/>
    <w:rsid w:val="00BC5E76"/>
    <w:rsid w:val="00BC5EDF"/>
    <w:rsid w:val="00BC60D4"/>
    <w:rsid w:val="00BC63DC"/>
    <w:rsid w:val="00BC6DF7"/>
    <w:rsid w:val="00BC6E3D"/>
    <w:rsid w:val="00BC740C"/>
    <w:rsid w:val="00BC752F"/>
    <w:rsid w:val="00BC759E"/>
    <w:rsid w:val="00BC761D"/>
    <w:rsid w:val="00BC784C"/>
    <w:rsid w:val="00BC7B62"/>
    <w:rsid w:val="00BC7D01"/>
    <w:rsid w:val="00BD0013"/>
    <w:rsid w:val="00BD0266"/>
    <w:rsid w:val="00BD030E"/>
    <w:rsid w:val="00BD032F"/>
    <w:rsid w:val="00BD045B"/>
    <w:rsid w:val="00BD0479"/>
    <w:rsid w:val="00BD0484"/>
    <w:rsid w:val="00BD0D2F"/>
    <w:rsid w:val="00BD0D4F"/>
    <w:rsid w:val="00BD0DF6"/>
    <w:rsid w:val="00BD136A"/>
    <w:rsid w:val="00BD13BE"/>
    <w:rsid w:val="00BD13D3"/>
    <w:rsid w:val="00BD156C"/>
    <w:rsid w:val="00BD157A"/>
    <w:rsid w:val="00BD15A2"/>
    <w:rsid w:val="00BD1889"/>
    <w:rsid w:val="00BD19DD"/>
    <w:rsid w:val="00BD1A9A"/>
    <w:rsid w:val="00BD1B8E"/>
    <w:rsid w:val="00BD1C4F"/>
    <w:rsid w:val="00BD21DD"/>
    <w:rsid w:val="00BD2308"/>
    <w:rsid w:val="00BD2496"/>
    <w:rsid w:val="00BD24ED"/>
    <w:rsid w:val="00BD26CF"/>
    <w:rsid w:val="00BD2AF3"/>
    <w:rsid w:val="00BD2D19"/>
    <w:rsid w:val="00BD3155"/>
    <w:rsid w:val="00BD316B"/>
    <w:rsid w:val="00BD3304"/>
    <w:rsid w:val="00BD332B"/>
    <w:rsid w:val="00BD3500"/>
    <w:rsid w:val="00BD3527"/>
    <w:rsid w:val="00BD36A7"/>
    <w:rsid w:val="00BD3761"/>
    <w:rsid w:val="00BD3795"/>
    <w:rsid w:val="00BD3A87"/>
    <w:rsid w:val="00BD3B04"/>
    <w:rsid w:val="00BD3C52"/>
    <w:rsid w:val="00BD3E37"/>
    <w:rsid w:val="00BD3FD3"/>
    <w:rsid w:val="00BD411A"/>
    <w:rsid w:val="00BD411D"/>
    <w:rsid w:val="00BD45F0"/>
    <w:rsid w:val="00BD4702"/>
    <w:rsid w:val="00BD4753"/>
    <w:rsid w:val="00BD48E9"/>
    <w:rsid w:val="00BD4B05"/>
    <w:rsid w:val="00BD4B78"/>
    <w:rsid w:val="00BD4D53"/>
    <w:rsid w:val="00BD4F7E"/>
    <w:rsid w:val="00BD51AD"/>
    <w:rsid w:val="00BD51D6"/>
    <w:rsid w:val="00BD5351"/>
    <w:rsid w:val="00BD580B"/>
    <w:rsid w:val="00BD5812"/>
    <w:rsid w:val="00BD591B"/>
    <w:rsid w:val="00BD5B7F"/>
    <w:rsid w:val="00BD5DCA"/>
    <w:rsid w:val="00BD5F2B"/>
    <w:rsid w:val="00BD5FA2"/>
    <w:rsid w:val="00BD5FB0"/>
    <w:rsid w:val="00BD64C1"/>
    <w:rsid w:val="00BD64EB"/>
    <w:rsid w:val="00BD6675"/>
    <w:rsid w:val="00BD6875"/>
    <w:rsid w:val="00BD69B8"/>
    <w:rsid w:val="00BD6A7D"/>
    <w:rsid w:val="00BD72FC"/>
    <w:rsid w:val="00BD73D0"/>
    <w:rsid w:val="00BD7568"/>
    <w:rsid w:val="00BD79A4"/>
    <w:rsid w:val="00BD7A16"/>
    <w:rsid w:val="00BD7C31"/>
    <w:rsid w:val="00BD7CAA"/>
    <w:rsid w:val="00BD7EA9"/>
    <w:rsid w:val="00BD7F2D"/>
    <w:rsid w:val="00BE043F"/>
    <w:rsid w:val="00BE044B"/>
    <w:rsid w:val="00BE080B"/>
    <w:rsid w:val="00BE0816"/>
    <w:rsid w:val="00BE0988"/>
    <w:rsid w:val="00BE0A62"/>
    <w:rsid w:val="00BE0AC4"/>
    <w:rsid w:val="00BE0B7E"/>
    <w:rsid w:val="00BE1330"/>
    <w:rsid w:val="00BE14D7"/>
    <w:rsid w:val="00BE1556"/>
    <w:rsid w:val="00BE172B"/>
    <w:rsid w:val="00BE17A6"/>
    <w:rsid w:val="00BE1861"/>
    <w:rsid w:val="00BE1A5C"/>
    <w:rsid w:val="00BE1AF1"/>
    <w:rsid w:val="00BE215B"/>
    <w:rsid w:val="00BE21A2"/>
    <w:rsid w:val="00BE23E0"/>
    <w:rsid w:val="00BE246D"/>
    <w:rsid w:val="00BE2607"/>
    <w:rsid w:val="00BE260D"/>
    <w:rsid w:val="00BE266F"/>
    <w:rsid w:val="00BE2808"/>
    <w:rsid w:val="00BE289D"/>
    <w:rsid w:val="00BE293E"/>
    <w:rsid w:val="00BE2CC7"/>
    <w:rsid w:val="00BE2F2C"/>
    <w:rsid w:val="00BE3172"/>
    <w:rsid w:val="00BE334F"/>
    <w:rsid w:val="00BE3463"/>
    <w:rsid w:val="00BE3501"/>
    <w:rsid w:val="00BE359B"/>
    <w:rsid w:val="00BE364C"/>
    <w:rsid w:val="00BE365F"/>
    <w:rsid w:val="00BE367B"/>
    <w:rsid w:val="00BE36E1"/>
    <w:rsid w:val="00BE3866"/>
    <w:rsid w:val="00BE3C1B"/>
    <w:rsid w:val="00BE3F71"/>
    <w:rsid w:val="00BE4014"/>
    <w:rsid w:val="00BE4057"/>
    <w:rsid w:val="00BE40AD"/>
    <w:rsid w:val="00BE4222"/>
    <w:rsid w:val="00BE4660"/>
    <w:rsid w:val="00BE46BD"/>
    <w:rsid w:val="00BE4B28"/>
    <w:rsid w:val="00BE4F26"/>
    <w:rsid w:val="00BE5046"/>
    <w:rsid w:val="00BE504A"/>
    <w:rsid w:val="00BE512C"/>
    <w:rsid w:val="00BE5235"/>
    <w:rsid w:val="00BE531E"/>
    <w:rsid w:val="00BE532D"/>
    <w:rsid w:val="00BE55DB"/>
    <w:rsid w:val="00BE564D"/>
    <w:rsid w:val="00BE59FB"/>
    <w:rsid w:val="00BE5BFF"/>
    <w:rsid w:val="00BE5C53"/>
    <w:rsid w:val="00BE5DB7"/>
    <w:rsid w:val="00BE5FCD"/>
    <w:rsid w:val="00BE62B9"/>
    <w:rsid w:val="00BE657D"/>
    <w:rsid w:val="00BE67BC"/>
    <w:rsid w:val="00BE6805"/>
    <w:rsid w:val="00BE6D9B"/>
    <w:rsid w:val="00BE7018"/>
    <w:rsid w:val="00BE717B"/>
    <w:rsid w:val="00BE72DA"/>
    <w:rsid w:val="00BE73A4"/>
    <w:rsid w:val="00BE742F"/>
    <w:rsid w:val="00BE74EF"/>
    <w:rsid w:val="00BE7846"/>
    <w:rsid w:val="00BE79E0"/>
    <w:rsid w:val="00BE7CDA"/>
    <w:rsid w:val="00BE7F68"/>
    <w:rsid w:val="00BE7FB5"/>
    <w:rsid w:val="00BF0126"/>
    <w:rsid w:val="00BF01C5"/>
    <w:rsid w:val="00BF0283"/>
    <w:rsid w:val="00BF035B"/>
    <w:rsid w:val="00BF036C"/>
    <w:rsid w:val="00BF037A"/>
    <w:rsid w:val="00BF04BD"/>
    <w:rsid w:val="00BF0983"/>
    <w:rsid w:val="00BF09F0"/>
    <w:rsid w:val="00BF0AA2"/>
    <w:rsid w:val="00BF1194"/>
    <w:rsid w:val="00BF11E6"/>
    <w:rsid w:val="00BF169E"/>
    <w:rsid w:val="00BF16EA"/>
    <w:rsid w:val="00BF1770"/>
    <w:rsid w:val="00BF17AA"/>
    <w:rsid w:val="00BF1A12"/>
    <w:rsid w:val="00BF1A24"/>
    <w:rsid w:val="00BF1C37"/>
    <w:rsid w:val="00BF1EAF"/>
    <w:rsid w:val="00BF202A"/>
    <w:rsid w:val="00BF2171"/>
    <w:rsid w:val="00BF236F"/>
    <w:rsid w:val="00BF23D6"/>
    <w:rsid w:val="00BF275B"/>
    <w:rsid w:val="00BF2888"/>
    <w:rsid w:val="00BF28E1"/>
    <w:rsid w:val="00BF2A94"/>
    <w:rsid w:val="00BF2B5F"/>
    <w:rsid w:val="00BF2DCF"/>
    <w:rsid w:val="00BF2E83"/>
    <w:rsid w:val="00BF3004"/>
    <w:rsid w:val="00BF33FB"/>
    <w:rsid w:val="00BF34C1"/>
    <w:rsid w:val="00BF3C7E"/>
    <w:rsid w:val="00BF3DC1"/>
    <w:rsid w:val="00BF3F03"/>
    <w:rsid w:val="00BF3F1D"/>
    <w:rsid w:val="00BF41DE"/>
    <w:rsid w:val="00BF420D"/>
    <w:rsid w:val="00BF4498"/>
    <w:rsid w:val="00BF48A6"/>
    <w:rsid w:val="00BF4DAD"/>
    <w:rsid w:val="00BF4E00"/>
    <w:rsid w:val="00BF52E6"/>
    <w:rsid w:val="00BF538E"/>
    <w:rsid w:val="00BF5C6A"/>
    <w:rsid w:val="00BF5CB9"/>
    <w:rsid w:val="00BF5DE8"/>
    <w:rsid w:val="00BF6362"/>
    <w:rsid w:val="00BF68E1"/>
    <w:rsid w:val="00BF695E"/>
    <w:rsid w:val="00BF6DB1"/>
    <w:rsid w:val="00BF6E95"/>
    <w:rsid w:val="00BF70E6"/>
    <w:rsid w:val="00BF71BC"/>
    <w:rsid w:val="00BF723D"/>
    <w:rsid w:val="00BF7676"/>
    <w:rsid w:val="00BF77F2"/>
    <w:rsid w:val="00BF7812"/>
    <w:rsid w:val="00BF79E6"/>
    <w:rsid w:val="00BF7C92"/>
    <w:rsid w:val="00BF7FBB"/>
    <w:rsid w:val="00C001AD"/>
    <w:rsid w:val="00C001C1"/>
    <w:rsid w:val="00C0045F"/>
    <w:rsid w:val="00C007D6"/>
    <w:rsid w:val="00C007DC"/>
    <w:rsid w:val="00C00863"/>
    <w:rsid w:val="00C008FD"/>
    <w:rsid w:val="00C00B81"/>
    <w:rsid w:val="00C00C99"/>
    <w:rsid w:val="00C00F03"/>
    <w:rsid w:val="00C013AB"/>
    <w:rsid w:val="00C01403"/>
    <w:rsid w:val="00C0165A"/>
    <w:rsid w:val="00C01B1B"/>
    <w:rsid w:val="00C01B1E"/>
    <w:rsid w:val="00C01D07"/>
    <w:rsid w:val="00C01DB7"/>
    <w:rsid w:val="00C01EDF"/>
    <w:rsid w:val="00C02123"/>
    <w:rsid w:val="00C025E3"/>
    <w:rsid w:val="00C02643"/>
    <w:rsid w:val="00C02650"/>
    <w:rsid w:val="00C02734"/>
    <w:rsid w:val="00C028D3"/>
    <w:rsid w:val="00C02B29"/>
    <w:rsid w:val="00C03002"/>
    <w:rsid w:val="00C03017"/>
    <w:rsid w:val="00C03401"/>
    <w:rsid w:val="00C03656"/>
    <w:rsid w:val="00C03B98"/>
    <w:rsid w:val="00C03CF5"/>
    <w:rsid w:val="00C03E63"/>
    <w:rsid w:val="00C03F0B"/>
    <w:rsid w:val="00C044E6"/>
    <w:rsid w:val="00C04667"/>
    <w:rsid w:val="00C04830"/>
    <w:rsid w:val="00C0491E"/>
    <w:rsid w:val="00C04AD9"/>
    <w:rsid w:val="00C0519A"/>
    <w:rsid w:val="00C0527C"/>
    <w:rsid w:val="00C0550D"/>
    <w:rsid w:val="00C058C7"/>
    <w:rsid w:val="00C059CB"/>
    <w:rsid w:val="00C0609D"/>
    <w:rsid w:val="00C0619D"/>
    <w:rsid w:val="00C061BA"/>
    <w:rsid w:val="00C06269"/>
    <w:rsid w:val="00C06536"/>
    <w:rsid w:val="00C065B4"/>
    <w:rsid w:val="00C06868"/>
    <w:rsid w:val="00C06AF7"/>
    <w:rsid w:val="00C06B1C"/>
    <w:rsid w:val="00C0738F"/>
    <w:rsid w:val="00C07537"/>
    <w:rsid w:val="00C0756D"/>
    <w:rsid w:val="00C076C0"/>
    <w:rsid w:val="00C079A9"/>
    <w:rsid w:val="00C07B49"/>
    <w:rsid w:val="00C07DC7"/>
    <w:rsid w:val="00C07FB3"/>
    <w:rsid w:val="00C10000"/>
    <w:rsid w:val="00C10116"/>
    <w:rsid w:val="00C10253"/>
    <w:rsid w:val="00C10300"/>
    <w:rsid w:val="00C103A3"/>
    <w:rsid w:val="00C103E6"/>
    <w:rsid w:val="00C10449"/>
    <w:rsid w:val="00C1099F"/>
    <w:rsid w:val="00C109C7"/>
    <w:rsid w:val="00C11179"/>
    <w:rsid w:val="00C1123E"/>
    <w:rsid w:val="00C11395"/>
    <w:rsid w:val="00C114FB"/>
    <w:rsid w:val="00C1165A"/>
    <w:rsid w:val="00C11727"/>
    <w:rsid w:val="00C118F4"/>
    <w:rsid w:val="00C1199B"/>
    <w:rsid w:val="00C11AB2"/>
    <w:rsid w:val="00C11B16"/>
    <w:rsid w:val="00C11B29"/>
    <w:rsid w:val="00C11CCD"/>
    <w:rsid w:val="00C12015"/>
    <w:rsid w:val="00C1210D"/>
    <w:rsid w:val="00C123F8"/>
    <w:rsid w:val="00C124EC"/>
    <w:rsid w:val="00C12509"/>
    <w:rsid w:val="00C1256F"/>
    <w:rsid w:val="00C12699"/>
    <w:rsid w:val="00C12A5D"/>
    <w:rsid w:val="00C12AED"/>
    <w:rsid w:val="00C12CA7"/>
    <w:rsid w:val="00C12D3B"/>
    <w:rsid w:val="00C1304C"/>
    <w:rsid w:val="00C13112"/>
    <w:rsid w:val="00C133BD"/>
    <w:rsid w:val="00C136BE"/>
    <w:rsid w:val="00C13ACB"/>
    <w:rsid w:val="00C13BAE"/>
    <w:rsid w:val="00C13CB0"/>
    <w:rsid w:val="00C13E7D"/>
    <w:rsid w:val="00C13FEE"/>
    <w:rsid w:val="00C14128"/>
    <w:rsid w:val="00C143FB"/>
    <w:rsid w:val="00C14607"/>
    <w:rsid w:val="00C14823"/>
    <w:rsid w:val="00C14911"/>
    <w:rsid w:val="00C14AC9"/>
    <w:rsid w:val="00C14FD2"/>
    <w:rsid w:val="00C15026"/>
    <w:rsid w:val="00C152B7"/>
    <w:rsid w:val="00C152DD"/>
    <w:rsid w:val="00C15358"/>
    <w:rsid w:val="00C15370"/>
    <w:rsid w:val="00C156C6"/>
    <w:rsid w:val="00C15BCE"/>
    <w:rsid w:val="00C15E2A"/>
    <w:rsid w:val="00C15E84"/>
    <w:rsid w:val="00C160C4"/>
    <w:rsid w:val="00C1629A"/>
    <w:rsid w:val="00C16A2D"/>
    <w:rsid w:val="00C16BE6"/>
    <w:rsid w:val="00C16D9E"/>
    <w:rsid w:val="00C16DBC"/>
    <w:rsid w:val="00C17263"/>
    <w:rsid w:val="00C17346"/>
    <w:rsid w:val="00C17399"/>
    <w:rsid w:val="00C175BF"/>
    <w:rsid w:val="00C1783A"/>
    <w:rsid w:val="00C178C3"/>
    <w:rsid w:val="00C17BF6"/>
    <w:rsid w:val="00C17CB0"/>
    <w:rsid w:val="00C17CF1"/>
    <w:rsid w:val="00C17E48"/>
    <w:rsid w:val="00C20327"/>
    <w:rsid w:val="00C204A5"/>
    <w:rsid w:val="00C204AD"/>
    <w:rsid w:val="00C20618"/>
    <w:rsid w:val="00C2076B"/>
    <w:rsid w:val="00C20A85"/>
    <w:rsid w:val="00C20A91"/>
    <w:rsid w:val="00C20CEF"/>
    <w:rsid w:val="00C21246"/>
    <w:rsid w:val="00C21508"/>
    <w:rsid w:val="00C21688"/>
    <w:rsid w:val="00C21728"/>
    <w:rsid w:val="00C219C5"/>
    <w:rsid w:val="00C21D7E"/>
    <w:rsid w:val="00C21DA1"/>
    <w:rsid w:val="00C223FD"/>
    <w:rsid w:val="00C2240E"/>
    <w:rsid w:val="00C22DDC"/>
    <w:rsid w:val="00C2301A"/>
    <w:rsid w:val="00C230E9"/>
    <w:rsid w:val="00C23142"/>
    <w:rsid w:val="00C232CC"/>
    <w:rsid w:val="00C23737"/>
    <w:rsid w:val="00C23AF7"/>
    <w:rsid w:val="00C23B43"/>
    <w:rsid w:val="00C23C04"/>
    <w:rsid w:val="00C243A6"/>
    <w:rsid w:val="00C24556"/>
    <w:rsid w:val="00C249C7"/>
    <w:rsid w:val="00C24A99"/>
    <w:rsid w:val="00C24EE4"/>
    <w:rsid w:val="00C25109"/>
    <w:rsid w:val="00C2535E"/>
    <w:rsid w:val="00C25662"/>
    <w:rsid w:val="00C2567C"/>
    <w:rsid w:val="00C2567F"/>
    <w:rsid w:val="00C25728"/>
    <w:rsid w:val="00C25776"/>
    <w:rsid w:val="00C25969"/>
    <w:rsid w:val="00C25C4F"/>
    <w:rsid w:val="00C25F0A"/>
    <w:rsid w:val="00C260AB"/>
    <w:rsid w:val="00C263A3"/>
    <w:rsid w:val="00C26454"/>
    <w:rsid w:val="00C2662B"/>
    <w:rsid w:val="00C26CEF"/>
    <w:rsid w:val="00C26DB5"/>
    <w:rsid w:val="00C2707C"/>
    <w:rsid w:val="00C2717D"/>
    <w:rsid w:val="00C272D8"/>
    <w:rsid w:val="00C277CD"/>
    <w:rsid w:val="00C27865"/>
    <w:rsid w:val="00C27BF0"/>
    <w:rsid w:val="00C27D97"/>
    <w:rsid w:val="00C27F61"/>
    <w:rsid w:val="00C301C9"/>
    <w:rsid w:val="00C303C9"/>
    <w:rsid w:val="00C30579"/>
    <w:rsid w:val="00C306FD"/>
    <w:rsid w:val="00C307DD"/>
    <w:rsid w:val="00C30891"/>
    <w:rsid w:val="00C308EA"/>
    <w:rsid w:val="00C30B55"/>
    <w:rsid w:val="00C30C53"/>
    <w:rsid w:val="00C30C90"/>
    <w:rsid w:val="00C30D52"/>
    <w:rsid w:val="00C30E8D"/>
    <w:rsid w:val="00C30F35"/>
    <w:rsid w:val="00C30F5B"/>
    <w:rsid w:val="00C312BD"/>
    <w:rsid w:val="00C31393"/>
    <w:rsid w:val="00C3147F"/>
    <w:rsid w:val="00C317D7"/>
    <w:rsid w:val="00C3190D"/>
    <w:rsid w:val="00C31C99"/>
    <w:rsid w:val="00C31D92"/>
    <w:rsid w:val="00C31D9A"/>
    <w:rsid w:val="00C31E56"/>
    <w:rsid w:val="00C320F8"/>
    <w:rsid w:val="00C32102"/>
    <w:rsid w:val="00C32178"/>
    <w:rsid w:val="00C32234"/>
    <w:rsid w:val="00C3248A"/>
    <w:rsid w:val="00C328C2"/>
    <w:rsid w:val="00C329F6"/>
    <w:rsid w:val="00C32A18"/>
    <w:rsid w:val="00C32ABD"/>
    <w:rsid w:val="00C32C85"/>
    <w:rsid w:val="00C32FA1"/>
    <w:rsid w:val="00C333C1"/>
    <w:rsid w:val="00C334CB"/>
    <w:rsid w:val="00C33540"/>
    <w:rsid w:val="00C3358E"/>
    <w:rsid w:val="00C3364E"/>
    <w:rsid w:val="00C33C7A"/>
    <w:rsid w:val="00C341C2"/>
    <w:rsid w:val="00C341E2"/>
    <w:rsid w:val="00C34565"/>
    <w:rsid w:val="00C3458D"/>
    <w:rsid w:val="00C3462D"/>
    <w:rsid w:val="00C34AE7"/>
    <w:rsid w:val="00C34C07"/>
    <w:rsid w:val="00C34CD0"/>
    <w:rsid w:val="00C34CE9"/>
    <w:rsid w:val="00C34F01"/>
    <w:rsid w:val="00C34F41"/>
    <w:rsid w:val="00C351FE"/>
    <w:rsid w:val="00C35246"/>
    <w:rsid w:val="00C3542D"/>
    <w:rsid w:val="00C3572E"/>
    <w:rsid w:val="00C359D4"/>
    <w:rsid w:val="00C35B49"/>
    <w:rsid w:val="00C35D51"/>
    <w:rsid w:val="00C360EE"/>
    <w:rsid w:val="00C36133"/>
    <w:rsid w:val="00C36575"/>
    <w:rsid w:val="00C36810"/>
    <w:rsid w:val="00C36827"/>
    <w:rsid w:val="00C36F9E"/>
    <w:rsid w:val="00C370AE"/>
    <w:rsid w:val="00C370F4"/>
    <w:rsid w:val="00C37165"/>
    <w:rsid w:val="00C371E0"/>
    <w:rsid w:val="00C373AC"/>
    <w:rsid w:val="00C37581"/>
    <w:rsid w:val="00C376DE"/>
    <w:rsid w:val="00C378A5"/>
    <w:rsid w:val="00C37A8F"/>
    <w:rsid w:val="00C37AF5"/>
    <w:rsid w:val="00C37D06"/>
    <w:rsid w:val="00C37D6E"/>
    <w:rsid w:val="00C37D72"/>
    <w:rsid w:val="00C37DA5"/>
    <w:rsid w:val="00C37F55"/>
    <w:rsid w:val="00C401DF"/>
    <w:rsid w:val="00C406F6"/>
    <w:rsid w:val="00C40713"/>
    <w:rsid w:val="00C40735"/>
    <w:rsid w:val="00C408C4"/>
    <w:rsid w:val="00C40B2A"/>
    <w:rsid w:val="00C40B97"/>
    <w:rsid w:val="00C40CE7"/>
    <w:rsid w:val="00C40DAF"/>
    <w:rsid w:val="00C40ECD"/>
    <w:rsid w:val="00C40FF9"/>
    <w:rsid w:val="00C4107F"/>
    <w:rsid w:val="00C4113D"/>
    <w:rsid w:val="00C41204"/>
    <w:rsid w:val="00C412BA"/>
    <w:rsid w:val="00C41806"/>
    <w:rsid w:val="00C41CA7"/>
    <w:rsid w:val="00C41D25"/>
    <w:rsid w:val="00C4204F"/>
    <w:rsid w:val="00C42337"/>
    <w:rsid w:val="00C423BF"/>
    <w:rsid w:val="00C424B1"/>
    <w:rsid w:val="00C42666"/>
    <w:rsid w:val="00C427EB"/>
    <w:rsid w:val="00C42870"/>
    <w:rsid w:val="00C4289A"/>
    <w:rsid w:val="00C42A4E"/>
    <w:rsid w:val="00C42B23"/>
    <w:rsid w:val="00C42DA6"/>
    <w:rsid w:val="00C43297"/>
    <w:rsid w:val="00C432E7"/>
    <w:rsid w:val="00C437C8"/>
    <w:rsid w:val="00C4385E"/>
    <w:rsid w:val="00C43A8B"/>
    <w:rsid w:val="00C43BE7"/>
    <w:rsid w:val="00C43D06"/>
    <w:rsid w:val="00C43D33"/>
    <w:rsid w:val="00C441C9"/>
    <w:rsid w:val="00C44586"/>
    <w:rsid w:val="00C4463F"/>
    <w:rsid w:val="00C447CA"/>
    <w:rsid w:val="00C44977"/>
    <w:rsid w:val="00C449EF"/>
    <w:rsid w:val="00C44AD1"/>
    <w:rsid w:val="00C44B8C"/>
    <w:rsid w:val="00C44F25"/>
    <w:rsid w:val="00C44F80"/>
    <w:rsid w:val="00C44F90"/>
    <w:rsid w:val="00C455AC"/>
    <w:rsid w:val="00C45649"/>
    <w:rsid w:val="00C457DF"/>
    <w:rsid w:val="00C458CE"/>
    <w:rsid w:val="00C45979"/>
    <w:rsid w:val="00C459CE"/>
    <w:rsid w:val="00C45A14"/>
    <w:rsid w:val="00C45C01"/>
    <w:rsid w:val="00C45DE4"/>
    <w:rsid w:val="00C46116"/>
    <w:rsid w:val="00C461AA"/>
    <w:rsid w:val="00C4646A"/>
    <w:rsid w:val="00C464FD"/>
    <w:rsid w:val="00C46567"/>
    <w:rsid w:val="00C465DD"/>
    <w:rsid w:val="00C467D4"/>
    <w:rsid w:val="00C468D5"/>
    <w:rsid w:val="00C4729E"/>
    <w:rsid w:val="00C47378"/>
    <w:rsid w:val="00C47AC3"/>
    <w:rsid w:val="00C47ACA"/>
    <w:rsid w:val="00C500B6"/>
    <w:rsid w:val="00C502B0"/>
    <w:rsid w:val="00C504CC"/>
    <w:rsid w:val="00C5087D"/>
    <w:rsid w:val="00C5088D"/>
    <w:rsid w:val="00C50BC9"/>
    <w:rsid w:val="00C50F96"/>
    <w:rsid w:val="00C50FC4"/>
    <w:rsid w:val="00C5112B"/>
    <w:rsid w:val="00C51236"/>
    <w:rsid w:val="00C51290"/>
    <w:rsid w:val="00C51A8D"/>
    <w:rsid w:val="00C5225C"/>
    <w:rsid w:val="00C52289"/>
    <w:rsid w:val="00C522E4"/>
    <w:rsid w:val="00C5277E"/>
    <w:rsid w:val="00C52B2D"/>
    <w:rsid w:val="00C52B6D"/>
    <w:rsid w:val="00C52D3A"/>
    <w:rsid w:val="00C5304B"/>
    <w:rsid w:val="00C531D2"/>
    <w:rsid w:val="00C53257"/>
    <w:rsid w:val="00C532AB"/>
    <w:rsid w:val="00C532FD"/>
    <w:rsid w:val="00C534E6"/>
    <w:rsid w:val="00C534F0"/>
    <w:rsid w:val="00C53730"/>
    <w:rsid w:val="00C53ABE"/>
    <w:rsid w:val="00C53C62"/>
    <w:rsid w:val="00C54514"/>
    <w:rsid w:val="00C54835"/>
    <w:rsid w:val="00C54A03"/>
    <w:rsid w:val="00C54AB6"/>
    <w:rsid w:val="00C54FBE"/>
    <w:rsid w:val="00C556EB"/>
    <w:rsid w:val="00C55883"/>
    <w:rsid w:val="00C559EE"/>
    <w:rsid w:val="00C562CA"/>
    <w:rsid w:val="00C56AD1"/>
    <w:rsid w:val="00C56BFC"/>
    <w:rsid w:val="00C56CDE"/>
    <w:rsid w:val="00C56D0E"/>
    <w:rsid w:val="00C56D33"/>
    <w:rsid w:val="00C56F81"/>
    <w:rsid w:val="00C57000"/>
    <w:rsid w:val="00C5702D"/>
    <w:rsid w:val="00C57068"/>
    <w:rsid w:val="00C57220"/>
    <w:rsid w:val="00C572E9"/>
    <w:rsid w:val="00C5739A"/>
    <w:rsid w:val="00C575BC"/>
    <w:rsid w:val="00C576DA"/>
    <w:rsid w:val="00C5784E"/>
    <w:rsid w:val="00C57D24"/>
    <w:rsid w:val="00C57DDA"/>
    <w:rsid w:val="00C601EC"/>
    <w:rsid w:val="00C602F2"/>
    <w:rsid w:val="00C60415"/>
    <w:rsid w:val="00C60463"/>
    <w:rsid w:val="00C604E7"/>
    <w:rsid w:val="00C6098B"/>
    <w:rsid w:val="00C60A71"/>
    <w:rsid w:val="00C60B0F"/>
    <w:rsid w:val="00C60B5C"/>
    <w:rsid w:val="00C60E65"/>
    <w:rsid w:val="00C60EB3"/>
    <w:rsid w:val="00C60EE4"/>
    <w:rsid w:val="00C60F57"/>
    <w:rsid w:val="00C61132"/>
    <w:rsid w:val="00C61486"/>
    <w:rsid w:val="00C61541"/>
    <w:rsid w:val="00C615AA"/>
    <w:rsid w:val="00C61611"/>
    <w:rsid w:val="00C616CB"/>
    <w:rsid w:val="00C617AD"/>
    <w:rsid w:val="00C6192E"/>
    <w:rsid w:val="00C619AA"/>
    <w:rsid w:val="00C61F35"/>
    <w:rsid w:val="00C61F7B"/>
    <w:rsid w:val="00C62246"/>
    <w:rsid w:val="00C622E2"/>
    <w:rsid w:val="00C623DB"/>
    <w:rsid w:val="00C62634"/>
    <w:rsid w:val="00C626EE"/>
    <w:rsid w:val="00C62719"/>
    <w:rsid w:val="00C62725"/>
    <w:rsid w:val="00C62AE0"/>
    <w:rsid w:val="00C62BAC"/>
    <w:rsid w:val="00C62DB4"/>
    <w:rsid w:val="00C632B9"/>
    <w:rsid w:val="00C6342C"/>
    <w:rsid w:val="00C6346A"/>
    <w:rsid w:val="00C63F9C"/>
    <w:rsid w:val="00C641F1"/>
    <w:rsid w:val="00C642BC"/>
    <w:rsid w:val="00C643DA"/>
    <w:rsid w:val="00C643DF"/>
    <w:rsid w:val="00C64978"/>
    <w:rsid w:val="00C64E1B"/>
    <w:rsid w:val="00C64E44"/>
    <w:rsid w:val="00C64ECD"/>
    <w:rsid w:val="00C64FDD"/>
    <w:rsid w:val="00C651B5"/>
    <w:rsid w:val="00C656B6"/>
    <w:rsid w:val="00C656F7"/>
    <w:rsid w:val="00C6575A"/>
    <w:rsid w:val="00C6580D"/>
    <w:rsid w:val="00C6589A"/>
    <w:rsid w:val="00C65B02"/>
    <w:rsid w:val="00C65BE6"/>
    <w:rsid w:val="00C66028"/>
    <w:rsid w:val="00C66173"/>
    <w:rsid w:val="00C66226"/>
    <w:rsid w:val="00C66227"/>
    <w:rsid w:val="00C66682"/>
    <w:rsid w:val="00C66ACC"/>
    <w:rsid w:val="00C670EB"/>
    <w:rsid w:val="00C671C0"/>
    <w:rsid w:val="00C6766B"/>
    <w:rsid w:val="00C676EE"/>
    <w:rsid w:val="00C6772E"/>
    <w:rsid w:val="00C677B4"/>
    <w:rsid w:val="00C67A17"/>
    <w:rsid w:val="00C67AB5"/>
    <w:rsid w:val="00C67BB6"/>
    <w:rsid w:val="00C67C56"/>
    <w:rsid w:val="00C67F66"/>
    <w:rsid w:val="00C70058"/>
    <w:rsid w:val="00C700E4"/>
    <w:rsid w:val="00C70438"/>
    <w:rsid w:val="00C70509"/>
    <w:rsid w:val="00C70830"/>
    <w:rsid w:val="00C70939"/>
    <w:rsid w:val="00C70ED9"/>
    <w:rsid w:val="00C7109F"/>
    <w:rsid w:val="00C713C5"/>
    <w:rsid w:val="00C718CE"/>
    <w:rsid w:val="00C71AA3"/>
    <w:rsid w:val="00C71AC4"/>
    <w:rsid w:val="00C71CC2"/>
    <w:rsid w:val="00C71EB0"/>
    <w:rsid w:val="00C71EF4"/>
    <w:rsid w:val="00C72011"/>
    <w:rsid w:val="00C72341"/>
    <w:rsid w:val="00C7266A"/>
    <w:rsid w:val="00C7276E"/>
    <w:rsid w:val="00C72799"/>
    <w:rsid w:val="00C7298D"/>
    <w:rsid w:val="00C72AF2"/>
    <w:rsid w:val="00C72D70"/>
    <w:rsid w:val="00C72E6B"/>
    <w:rsid w:val="00C739CB"/>
    <w:rsid w:val="00C73A67"/>
    <w:rsid w:val="00C73C10"/>
    <w:rsid w:val="00C73CD0"/>
    <w:rsid w:val="00C746BE"/>
    <w:rsid w:val="00C74709"/>
    <w:rsid w:val="00C74729"/>
    <w:rsid w:val="00C7491F"/>
    <w:rsid w:val="00C74EB2"/>
    <w:rsid w:val="00C75361"/>
    <w:rsid w:val="00C753A8"/>
    <w:rsid w:val="00C754BB"/>
    <w:rsid w:val="00C755A5"/>
    <w:rsid w:val="00C7566F"/>
    <w:rsid w:val="00C75744"/>
    <w:rsid w:val="00C75A72"/>
    <w:rsid w:val="00C75A7A"/>
    <w:rsid w:val="00C75BF5"/>
    <w:rsid w:val="00C75CEC"/>
    <w:rsid w:val="00C75D45"/>
    <w:rsid w:val="00C760A6"/>
    <w:rsid w:val="00C762D9"/>
    <w:rsid w:val="00C763E4"/>
    <w:rsid w:val="00C76597"/>
    <w:rsid w:val="00C76880"/>
    <w:rsid w:val="00C76A0B"/>
    <w:rsid w:val="00C76E9B"/>
    <w:rsid w:val="00C76EC5"/>
    <w:rsid w:val="00C775A1"/>
    <w:rsid w:val="00C7787D"/>
    <w:rsid w:val="00C77E83"/>
    <w:rsid w:val="00C80114"/>
    <w:rsid w:val="00C8051D"/>
    <w:rsid w:val="00C80556"/>
    <w:rsid w:val="00C805B7"/>
    <w:rsid w:val="00C80826"/>
    <w:rsid w:val="00C80BD9"/>
    <w:rsid w:val="00C80E84"/>
    <w:rsid w:val="00C810AA"/>
    <w:rsid w:val="00C811B1"/>
    <w:rsid w:val="00C814E9"/>
    <w:rsid w:val="00C81777"/>
    <w:rsid w:val="00C817FC"/>
    <w:rsid w:val="00C8183C"/>
    <w:rsid w:val="00C81DA9"/>
    <w:rsid w:val="00C81DB4"/>
    <w:rsid w:val="00C82278"/>
    <w:rsid w:val="00C82477"/>
    <w:rsid w:val="00C82689"/>
    <w:rsid w:val="00C8268B"/>
    <w:rsid w:val="00C826C0"/>
    <w:rsid w:val="00C827F6"/>
    <w:rsid w:val="00C82C1C"/>
    <w:rsid w:val="00C82EF8"/>
    <w:rsid w:val="00C831EE"/>
    <w:rsid w:val="00C833E2"/>
    <w:rsid w:val="00C83593"/>
    <w:rsid w:val="00C839B2"/>
    <w:rsid w:val="00C83CA1"/>
    <w:rsid w:val="00C83EF7"/>
    <w:rsid w:val="00C83F6C"/>
    <w:rsid w:val="00C83FF8"/>
    <w:rsid w:val="00C841DC"/>
    <w:rsid w:val="00C841E8"/>
    <w:rsid w:val="00C842C4"/>
    <w:rsid w:val="00C84328"/>
    <w:rsid w:val="00C8450D"/>
    <w:rsid w:val="00C84545"/>
    <w:rsid w:val="00C84697"/>
    <w:rsid w:val="00C848D4"/>
    <w:rsid w:val="00C84988"/>
    <w:rsid w:val="00C849BD"/>
    <w:rsid w:val="00C84B63"/>
    <w:rsid w:val="00C84CC4"/>
    <w:rsid w:val="00C84E73"/>
    <w:rsid w:val="00C8536B"/>
    <w:rsid w:val="00C854B9"/>
    <w:rsid w:val="00C8573E"/>
    <w:rsid w:val="00C857F0"/>
    <w:rsid w:val="00C858B4"/>
    <w:rsid w:val="00C85A04"/>
    <w:rsid w:val="00C85A0D"/>
    <w:rsid w:val="00C85A58"/>
    <w:rsid w:val="00C85A80"/>
    <w:rsid w:val="00C85AEB"/>
    <w:rsid w:val="00C85DAA"/>
    <w:rsid w:val="00C85E40"/>
    <w:rsid w:val="00C85FCB"/>
    <w:rsid w:val="00C863BC"/>
    <w:rsid w:val="00C86615"/>
    <w:rsid w:val="00C86845"/>
    <w:rsid w:val="00C86874"/>
    <w:rsid w:val="00C86B13"/>
    <w:rsid w:val="00C86B96"/>
    <w:rsid w:val="00C86C0C"/>
    <w:rsid w:val="00C86F20"/>
    <w:rsid w:val="00C87121"/>
    <w:rsid w:val="00C871A3"/>
    <w:rsid w:val="00C871E4"/>
    <w:rsid w:val="00C874FB"/>
    <w:rsid w:val="00C8767A"/>
    <w:rsid w:val="00C87AA3"/>
    <w:rsid w:val="00C87B70"/>
    <w:rsid w:val="00C87CE3"/>
    <w:rsid w:val="00C90246"/>
    <w:rsid w:val="00C9055E"/>
    <w:rsid w:val="00C90671"/>
    <w:rsid w:val="00C908BA"/>
    <w:rsid w:val="00C908E6"/>
    <w:rsid w:val="00C90A1D"/>
    <w:rsid w:val="00C911BB"/>
    <w:rsid w:val="00C9128E"/>
    <w:rsid w:val="00C9133F"/>
    <w:rsid w:val="00C91603"/>
    <w:rsid w:val="00C91B81"/>
    <w:rsid w:val="00C91BC9"/>
    <w:rsid w:val="00C91C8C"/>
    <w:rsid w:val="00C91E30"/>
    <w:rsid w:val="00C91F3B"/>
    <w:rsid w:val="00C920B9"/>
    <w:rsid w:val="00C924B0"/>
    <w:rsid w:val="00C92505"/>
    <w:rsid w:val="00C92F1C"/>
    <w:rsid w:val="00C92F96"/>
    <w:rsid w:val="00C931AC"/>
    <w:rsid w:val="00C93279"/>
    <w:rsid w:val="00C936ED"/>
    <w:rsid w:val="00C93834"/>
    <w:rsid w:val="00C93849"/>
    <w:rsid w:val="00C93850"/>
    <w:rsid w:val="00C93A40"/>
    <w:rsid w:val="00C93AF6"/>
    <w:rsid w:val="00C93C8A"/>
    <w:rsid w:val="00C93CA5"/>
    <w:rsid w:val="00C93CE8"/>
    <w:rsid w:val="00C93E1D"/>
    <w:rsid w:val="00C93EE8"/>
    <w:rsid w:val="00C93FC9"/>
    <w:rsid w:val="00C93FCA"/>
    <w:rsid w:val="00C94151"/>
    <w:rsid w:val="00C94A58"/>
    <w:rsid w:val="00C94BA1"/>
    <w:rsid w:val="00C952A0"/>
    <w:rsid w:val="00C9531A"/>
    <w:rsid w:val="00C954B7"/>
    <w:rsid w:val="00C95569"/>
    <w:rsid w:val="00C9578B"/>
    <w:rsid w:val="00C959AF"/>
    <w:rsid w:val="00C95A17"/>
    <w:rsid w:val="00C95A68"/>
    <w:rsid w:val="00C95C54"/>
    <w:rsid w:val="00C95DE3"/>
    <w:rsid w:val="00C95E60"/>
    <w:rsid w:val="00C960A0"/>
    <w:rsid w:val="00C961EE"/>
    <w:rsid w:val="00C96534"/>
    <w:rsid w:val="00C967E1"/>
    <w:rsid w:val="00C967E6"/>
    <w:rsid w:val="00C96A10"/>
    <w:rsid w:val="00C96AB2"/>
    <w:rsid w:val="00C96AB9"/>
    <w:rsid w:val="00C96AD2"/>
    <w:rsid w:val="00C96B7A"/>
    <w:rsid w:val="00C96C71"/>
    <w:rsid w:val="00C96C98"/>
    <w:rsid w:val="00C96FBC"/>
    <w:rsid w:val="00C97227"/>
    <w:rsid w:val="00C972C5"/>
    <w:rsid w:val="00C973E8"/>
    <w:rsid w:val="00C975D6"/>
    <w:rsid w:val="00C9762C"/>
    <w:rsid w:val="00C97A7F"/>
    <w:rsid w:val="00C97A8E"/>
    <w:rsid w:val="00C97E61"/>
    <w:rsid w:val="00CA00D7"/>
    <w:rsid w:val="00CA03B5"/>
    <w:rsid w:val="00CA04B3"/>
    <w:rsid w:val="00CA0519"/>
    <w:rsid w:val="00CA0559"/>
    <w:rsid w:val="00CA0704"/>
    <w:rsid w:val="00CA0A5C"/>
    <w:rsid w:val="00CA0AAB"/>
    <w:rsid w:val="00CA0BB3"/>
    <w:rsid w:val="00CA1276"/>
    <w:rsid w:val="00CA136C"/>
    <w:rsid w:val="00CA1393"/>
    <w:rsid w:val="00CA14A0"/>
    <w:rsid w:val="00CA1569"/>
    <w:rsid w:val="00CA1671"/>
    <w:rsid w:val="00CA19E9"/>
    <w:rsid w:val="00CA1A0D"/>
    <w:rsid w:val="00CA1B35"/>
    <w:rsid w:val="00CA1D98"/>
    <w:rsid w:val="00CA1DB0"/>
    <w:rsid w:val="00CA1E5E"/>
    <w:rsid w:val="00CA1E9A"/>
    <w:rsid w:val="00CA1EF4"/>
    <w:rsid w:val="00CA1F27"/>
    <w:rsid w:val="00CA210D"/>
    <w:rsid w:val="00CA2248"/>
    <w:rsid w:val="00CA23A9"/>
    <w:rsid w:val="00CA257B"/>
    <w:rsid w:val="00CA2762"/>
    <w:rsid w:val="00CA2832"/>
    <w:rsid w:val="00CA28C7"/>
    <w:rsid w:val="00CA2993"/>
    <w:rsid w:val="00CA2A31"/>
    <w:rsid w:val="00CA2AAA"/>
    <w:rsid w:val="00CA2BEB"/>
    <w:rsid w:val="00CA2C15"/>
    <w:rsid w:val="00CA3073"/>
    <w:rsid w:val="00CA30C8"/>
    <w:rsid w:val="00CA3135"/>
    <w:rsid w:val="00CA3319"/>
    <w:rsid w:val="00CA34ED"/>
    <w:rsid w:val="00CA3A73"/>
    <w:rsid w:val="00CA3ABD"/>
    <w:rsid w:val="00CA3AE8"/>
    <w:rsid w:val="00CA3B27"/>
    <w:rsid w:val="00CA3C90"/>
    <w:rsid w:val="00CA3CA9"/>
    <w:rsid w:val="00CA3D55"/>
    <w:rsid w:val="00CA3E0D"/>
    <w:rsid w:val="00CA3E6C"/>
    <w:rsid w:val="00CA4343"/>
    <w:rsid w:val="00CA4348"/>
    <w:rsid w:val="00CA435D"/>
    <w:rsid w:val="00CA4459"/>
    <w:rsid w:val="00CA46E0"/>
    <w:rsid w:val="00CA4891"/>
    <w:rsid w:val="00CA4B6A"/>
    <w:rsid w:val="00CA4B8E"/>
    <w:rsid w:val="00CA4EB6"/>
    <w:rsid w:val="00CA510E"/>
    <w:rsid w:val="00CA528A"/>
    <w:rsid w:val="00CA53CC"/>
    <w:rsid w:val="00CA5405"/>
    <w:rsid w:val="00CA55D4"/>
    <w:rsid w:val="00CA5615"/>
    <w:rsid w:val="00CA567F"/>
    <w:rsid w:val="00CA56BE"/>
    <w:rsid w:val="00CA56D7"/>
    <w:rsid w:val="00CA56E4"/>
    <w:rsid w:val="00CA5708"/>
    <w:rsid w:val="00CA577E"/>
    <w:rsid w:val="00CA5B5F"/>
    <w:rsid w:val="00CA5B76"/>
    <w:rsid w:val="00CA5BAA"/>
    <w:rsid w:val="00CA5E9B"/>
    <w:rsid w:val="00CA61AB"/>
    <w:rsid w:val="00CA650F"/>
    <w:rsid w:val="00CA6A98"/>
    <w:rsid w:val="00CA6ED2"/>
    <w:rsid w:val="00CA6EF5"/>
    <w:rsid w:val="00CA6EFD"/>
    <w:rsid w:val="00CA6F06"/>
    <w:rsid w:val="00CA6F5D"/>
    <w:rsid w:val="00CA73B3"/>
    <w:rsid w:val="00CA74B6"/>
    <w:rsid w:val="00CA75D8"/>
    <w:rsid w:val="00CA75F3"/>
    <w:rsid w:val="00CB048E"/>
    <w:rsid w:val="00CB073B"/>
    <w:rsid w:val="00CB0AEE"/>
    <w:rsid w:val="00CB0DAD"/>
    <w:rsid w:val="00CB0DCB"/>
    <w:rsid w:val="00CB1009"/>
    <w:rsid w:val="00CB111A"/>
    <w:rsid w:val="00CB1139"/>
    <w:rsid w:val="00CB14A2"/>
    <w:rsid w:val="00CB17BF"/>
    <w:rsid w:val="00CB1907"/>
    <w:rsid w:val="00CB1A94"/>
    <w:rsid w:val="00CB1EBB"/>
    <w:rsid w:val="00CB1EBF"/>
    <w:rsid w:val="00CB2071"/>
    <w:rsid w:val="00CB2411"/>
    <w:rsid w:val="00CB2504"/>
    <w:rsid w:val="00CB2745"/>
    <w:rsid w:val="00CB30A1"/>
    <w:rsid w:val="00CB31B7"/>
    <w:rsid w:val="00CB33E7"/>
    <w:rsid w:val="00CB37B3"/>
    <w:rsid w:val="00CB3AC1"/>
    <w:rsid w:val="00CB3D33"/>
    <w:rsid w:val="00CB3D59"/>
    <w:rsid w:val="00CB3E74"/>
    <w:rsid w:val="00CB404A"/>
    <w:rsid w:val="00CB40CE"/>
    <w:rsid w:val="00CB41CB"/>
    <w:rsid w:val="00CB424B"/>
    <w:rsid w:val="00CB4421"/>
    <w:rsid w:val="00CB4567"/>
    <w:rsid w:val="00CB463E"/>
    <w:rsid w:val="00CB466F"/>
    <w:rsid w:val="00CB46C2"/>
    <w:rsid w:val="00CB480C"/>
    <w:rsid w:val="00CB4CCF"/>
    <w:rsid w:val="00CB5264"/>
    <w:rsid w:val="00CB53EE"/>
    <w:rsid w:val="00CB5BC2"/>
    <w:rsid w:val="00CB5C77"/>
    <w:rsid w:val="00CB5D0B"/>
    <w:rsid w:val="00CB60D8"/>
    <w:rsid w:val="00CB6138"/>
    <w:rsid w:val="00CB6193"/>
    <w:rsid w:val="00CB61A3"/>
    <w:rsid w:val="00CB6201"/>
    <w:rsid w:val="00CB62B3"/>
    <w:rsid w:val="00CB6663"/>
    <w:rsid w:val="00CB673A"/>
    <w:rsid w:val="00CB675A"/>
    <w:rsid w:val="00CB69F3"/>
    <w:rsid w:val="00CB6A7C"/>
    <w:rsid w:val="00CB6D7C"/>
    <w:rsid w:val="00CB6DBF"/>
    <w:rsid w:val="00CB73BE"/>
    <w:rsid w:val="00CB7416"/>
    <w:rsid w:val="00CB768C"/>
    <w:rsid w:val="00CB76B9"/>
    <w:rsid w:val="00CB782B"/>
    <w:rsid w:val="00CB788A"/>
    <w:rsid w:val="00CB7911"/>
    <w:rsid w:val="00CB79C4"/>
    <w:rsid w:val="00CB7C87"/>
    <w:rsid w:val="00CB7D44"/>
    <w:rsid w:val="00CB7DB9"/>
    <w:rsid w:val="00CB7DBD"/>
    <w:rsid w:val="00CC0306"/>
    <w:rsid w:val="00CC0325"/>
    <w:rsid w:val="00CC0374"/>
    <w:rsid w:val="00CC038E"/>
    <w:rsid w:val="00CC03AF"/>
    <w:rsid w:val="00CC044A"/>
    <w:rsid w:val="00CC06A1"/>
    <w:rsid w:val="00CC06AF"/>
    <w:rsid w:val="00CC089D"/>
    <w:rsid w:val="00CC0A2D"/>
    <w:rsid w:val="00CC0A6D"/>
    <w:rsid w:val="00CC0AF5"/>
    <w:rsid w:val="00CC0B32"/>
    <w:rsid w:val="00CC0C38"/>
    <w:rsid w:val="00CC0F35"/>
    <w:rsid w:val="00CC0F6C"/>
    <w:rsid w:val="00CC0FD9"/>
    <w:rsid w:val="00CC1067"/>
    <w:rsid w:val="00CC10B8"/>
    <w:rsid w:val="00CC15CD"/>
    <w:rsid w:val="00CC15DD"/>
    <w:rsid w:val="00CC2125"/>
    <w:rsid w:val="00CC2425"/>
    <w:rsid w:val="00CC2733"/>
    <w:rsid w:val="00CC2814"/>
    <w:rsid w:val="00CC2C81"/>
    <w:rsid w:val="00CC2CA3"/>
    <w:rsid w:val="00CC2E23"/>
    <w:rsid w:val="00CC2E46"/>
    <w:rsid w:val="00CC2ED5"/>
    <w:rsid w:val="00CC2EDC"/>
    <w:rsid w:val="00CC30E0"/>
    <w:rsid w:val="00CC333A"/>
    <w:rsid w:val="00CC34F1"/>
    <w:rsid w:val="00CC3582"/>
    <w:rsid w:val="00CC3BDC"/>
    <w:rsid w:val="00CC3DCE"/>
    <w:rsid w:val="00CC3E73"/>
    <w:rsid w:val="00CC3FEE"/>
    <w:rsid w:val="00CC4145"/>
    <w:rsid w:val="00CC41F6"/>
    <w:rsid w:val="00CC4318"/>
    <w:rsid w:val="00CC43F5"/>
    <w:rsid w:val="00CC447E"/>
    <w:rsid w:val="00CC44C1"/>
    <w:rsid w:val="00CC455C"/>
    <w:rsid w:val="00CC46C6"/>
    <w:rsid w:val="00CC4A57"/>
    <w:rsid w:val="00CC4E41"/>
    <w:rsid w:val="00CC4F55"/>
    <w:rsid w:val="00CC51D0"/>
    <w:rsid w:val="00CC543D"/>
    <w:rsid w:val="00CC55F3"/>
    <w:rsid w:val="00CC627D"/>
    <w:rsid w:val="00CC62BA"/>
    <w:rsid w:val="00CC6364"/>
    <w:rsid w:val="00CC699B"/>
    <w:rsid w:val="00CC6B14"/>
    <w:rsid w:val="00CC6B2B"/>
    <w:rsid w:val="00CC6B83"/>
    <w:rsid w:val="00CC70FC"/>
    <w:rsid w:val="00CC722B"/>
    <w:rsid w:val="00CC75E8"/>
    <w:rsid w:val="00CC7657"/>
    <w:rsid w:val="00CC79D1"/>
    <w:rsid w:val="00CC7C24"/>
    <w:rsid w:val="00CC7E70"/>
    <w:rsid w:val="00CC7E96"/>
    <w:rsid w:val="00CC7EF7"/>
    <w:rsid w:val="00CC7F74"/>
    <w:rsid w:val="00CC7FB7"/>
    <w:rsid w:val="00CD0104"/>
    <w:rsid w:val="00CD0197"/>
    <w:rsid w:val="00CD0285"/>
    <w:rsid w:val="00CD02B3"/>
    <w:rsid w:val="00CD02CC"/>
    <w:rsid w:val="00CD071A"/>
    <w:rsid w:val="00CD07F9"/>
    <w:rsid w:val="00CD0AC1"/>
    <w:rsid w:val="00CD0AFD"/>
    <w:rsid w:val="00CD0D01"/>
    <w:rsid w:val="00CD0D36"/>
    <w:rsid w:val="00CD0E7A"/>
    <w:rsid w:val="00CD1226"/>
    <w:rsid w:val="00CD163F"/>
    <w:rsid w:val="00CD1903"/>
    <w:rsid w:val="00CD22D8"/>
    <w:rsid w:val="00CD23A6"/>
    <w:rsid w:val="00CD2551"/>
    <w:rsid w:val="00CD2747"/>
    <w:rsid w:val="00CD2D38"/>
    <w:rsid w:val="00CD2D6A"/>
    <w:rsid w:val="00CD2DFA"/>
    <w:rsid w:val="00CD3079"/>
    <w:rsid w:val="00CD30E2"/>
    <w:rsid w:val="00CD32B6"/>
    <w:rsid w:val="00CD33E2"/>
    <w:rsid w:val="00CD3526"/>
    <w:rsid w:val="00CD3CFB"/>
    <w:rsid w:val="00CD3F4F"/>
    <w:rsid w:val="00CD3F68"/>
    <w:rsid w:val="00CD44FB"/>
    <w:rsid w:val="00CD4A67"/>
    <w:rsid w:val="00CD4B7F"/>
    <w:rsid w:val="00CD4D01"/>
    <w:rsid w:val="00CD4E3F"/>
    <w:rsid w:val="00CD4EAE"/>
    <w:rsid w:val="00CD5060"/>
    <w:rsid w:val="00CD5088"/>
    <w:rsid w:val="00CD5101"/>
    <w:rsid w:val="00CD51E6"/>
    <w:rsid w:val="00CD549D"/>
    <w:rsid w:val="00CD5833"/>
    <w:rsid w:val="00CD5A33"/>
    <w:rsid w:val="00CD5C44"/>
    <w:rsid w:val="00CD5D3C"/>
    <w:rsid w:val="00CD5D85"/>
    <w:rsid w:val="00CD5EE3"/>
    <w:rsid w:val="00CD5FCC"/>
    <w:rsid w:val="00CD635A"/>
    <w:rsid w:val="00CD6409"/>
    <w:rsid w:val="00CD679D"/>
    <w:rsid w:val="00CD6975"/>
    <w:rsid w:val="00CD6AB9"/>
    <w:rsid w:val="00CD6B5E"/>
    <w:rsid w:val="00CD6DF7"/>
    <w:rsid w:val="00CD73E8"/>
    <w:rsid w:val="00CD7736"/>
    <w:rsid w:val="00CD7BA4"/>
    <w:rsid w:val="00CD7C12"/>
    <w:rsid w:val="00CD7CA3"/>
    <w:rsid w:val="00CE00C8"/>
    <w:rsid w:val="00CE00CC"/>
    <w:rsid w:val="00CE022C"/>
    <w:rsid w:val="00CE0278"/>
    <w:rsid w:val="00CE04A5"/>
    <w:rsid w:val="00CE068B"/>
    <w:rsid w:val="00CE07AA"/>
    <w:rsid w:val="00CE085D"/>
    <w:rsid w:val="00CE0A34"/>
    <w:rsid w:val="00CE0A48"/>
    <w:rsid w:val="00CE0FA1"/>
    <w:rsid w:val="00CE1108"/>
    <w:rsid w:val="00CE11BC"/>
    <w:rsid w:val="00CE12EA"/>
    <w:rsid w:val="00CE1455"/>
    <w:rsid w:val="00CE1466"/>
    <w:rsid w:val="00CE15A0"/>
    <w:rsid w:val="00CE19EE"/>
    <w:rsid w:val="00CE1C34"/>
    <w:rsid w:val="00CE215A"/>
    <w:rsid w:val="00CE2905"/>
    <w:rsid w:val="00CE29F2"/>
    <w:rsid w:val="00CE2C9B"/>
    <w:rsid w:val="00CE2FF1"/>
    <w:rsid w:val="00CE3191"/>
    <w:rsid w:val="00CE3659"/>
    <w:rsid w:val="00CE37EA"/>
    <w:rsid w:val="00CE385B"/>
    <w:rsid w:val="00CE392F"/>
    <w:rsid w:val="00CE3C6F"/>
    <w:rsid w:val="00CE3D18"/>
    <w:rsid w:val="00CE416C"/>
    <w:rsid w:val="00CE41E8"/>
    <w:rsid w:val="00CE4204"/>
    <w:rsid w:val="00CE4261"/>
    <w:rsid w:val="00CE44B0"/>
    <w:rsid w:val="00CE4B2E"/>
    <w:rsid w:val="00CE4B6F"/>
    <w:rsid w:val="00CE4B72"/>
    <w:rsid w:val="00CE4CA7"/>
    <w:rsid w:val="00CE519F"/>
    <w:rsid w:val="00CE5297"/>
    <w:rsid w:val="00CE53D5"/>
    <w:rsid w:val="00CE559E"/>
    <w:rsid w:val="00CE567D"/>
    <w:rsid w:val="00CE5946"/>
    <w:rsid w:val="00CE5AF8"/>
    <w:rsid w:val="00CE5B58"/>
    <w:rsid w:val="00CE5C61"/>
    <w:rsid w:val="00CE5D07"/>
    <w:rsid w:val="00CE5F85"/>
    <w:rsid w:val="00CE6164"/>
    <w:rsid w:val="00CE647D"/>
    <w:rsid w:val="00CE66CB"/>
    <w:rsid w:val="00CE677E"/>
    <w:rsid w:val="00CE69E9"/>
    <w:rsid w:val="00CE6CDD"/>
    <w:rsid w:val="00CE6D5F"/>
    <w:rsid w:val="00CE6F17"/>
    <w:rsid w:val="00CE7422"/>
    <w:rsid w:val="00CE7892"/>
    <w:rsid w:val="00CE7949"/>
    <w:rsid w:val="00CE7B28"/>
    <w:rsid w:val="00CE7BAA"/>
    <w:rsid w:val="00CE7FE0"/>
    <w:rsid w:val="00CF014A"/>
    <w:rsid w:val="00CF0800"/>
    <w:rsid w:val="00CF086C"/>
    <w:rsid w:val="00CF09F7"/>
    <w:rsid w:val="00CF11E1"/>
    <w:rsid w:val="00CF1422"/>
    <w:rsid w:val="00CF1796"/>
    <w:rsid w:val="00CF18C4"/>
    <w:rsid w:val="00CF18EE"/>
    <w:rsid w:val="00CF1CB8"/>
    <w:rsid w:val="00CF1F33"/>
    <w:rsid w:val="00CF1F5D"/>
    <w:rsid w:val="00CF1F7A"/>
    <w:rsid w:val="00CF2059"/>
    <w:rsid w:val="00CF21F5"/>
    <w:rsid w:val="00CF26AF"/>
    <w:rsid w:val="00CF2869"/>
    <w:rsid w:val="00CF2E5A"/>
    <w:rsid w:val="00CF2EBB"/>
    <w:rsid w:val="00CF342A"/>
    <w:rsid w:val="00CF343D"/>
    <w:rsid w:val="00CF3E1A"/>
    <w:rsid w:val="00CF45A0"/>
    <w:rsid w:val="00CF4877"/>
    <w:rsid w:val="00CF48C9"/>
    <w:rsid w:val="00CF4AFE"/>
    <w:rsid w:val="00CF4BC1"/>
    <w:rsid w:val="00CF5063"/>
    <w:rsid w:val="00CF579B"/>
    <w:rsid w:val="00CF58AE"/>
    <w:rsid w:val="00CF5A73"/>
    <w:rsid w:val="00CF5B35"/>
    <w:rsid w:val="00CF5BD3"/>
    <w:rsid w:val="00CF5EF5"/>
    <w:rsid w:val="00CF6280"/>
    <w:rsid w:val="00CF62DD"/>
    <w:rsid w:val="00CF6651"/>
    <w:rsid w:val="00CF667B"/>
    <w:rsid w:val="00CF6712"/>
    <w:rsid w:val="00CF68E9"/>
    <w:rsid w:val="00CF6B7F"/>
    <w:rsid w:val="00CF6CF9"/>
    <w:rsid w:val="00CF703E"/>
    <w:rsid w:val="00CF7053"/>
    <w:rsid w:val="00CF7699"/>
    <w:rsid w:val="00CF7B08"/>
    <w:rsid w:val="00CF7BBB"/>
    <w:rsid w:val="00CF7FBF"/>
    <w:rsid w:val="00D002CC"/>
    <w:rsid w:val="00D0040D"/>
    <w:rsid w:val="00D00440"/>
    <w:rsid w:val="00D006EC"/>
    <w:rsid w:val="00D00762"/>
    <w:rsid w:val="00D0080F"/>
    <w:rsid w:val="00D00924"/>
    <w:rsid w:val="00D009C8"/>
    <w:rsid w:val="00D009CE"/>
    <w:rsid w:val="00D00A73"/>
    <w:rsid w:val="00D00B12"/>
    <w:rsid w:val="00D00BFE"/>
    <w:rsid w:val="00D00F29"/>
    <w:rsid w:val="00D01252"/>
    <w:rsid w:val="00D013CA"/>
    <w:rsid w:val="00D014D0"/>
    <w:rsid w:val="00D014E7"/>
    <w:rsid w:val="00D01676"/>
    <w:rsid w:val="00D01AB5"/>
    <w:rsid w:val="00D01BEB"/>
    <w:rsid w:val="00D01D77"/>
    <w:rsid w:val="00D02056"/>
    <w:rsid w:val="00D020A0"/>
    <w:rsid w:val="00D021EA"/>
    <w:rsid w:val="00D02641"/>
    <w:rsid w:val="00D0264D"/>
    <w:rsid w:val="00D02904"/>
    <w:rsid w:val="00D02997"/>
    <w:rsid w:val="00D02BE9"/>
    <w:rsid w:val="00D02D4B"/>
    <w:rsid w:val="00D02E53"/>
    <w:rsid w:val="00D02EF8"/>
    <w:rsid w:val="00D0324E"/>
    <w:rsid w:val="00D0339C"/>
    <w:rsid w:val="00D03981"/>
    <w:rsid w:val="00D04001"/>
    <w:rsid w:val="00D0413B"/>
    <w:rsid w:val="00D0420B"/>
    <w:rsid w:val="00D04474"/>
    <w:rsid w:val="00D0453F"/>
    <w:rsid w:val="00D045B8"/>
    <w:rsid w:val="00D045E3"/>
    <w:rsid w:val="00D046C6"/>
    <w:rsid w:val="00D047D1"/>
    <w:rsid w:val="00D047DB"/>
    <w:rsid w:val="00D049CD"/>
    <w:rsid w:val="00D04A4B"/>
    <w:rsid w:val="00D04C6B"/>
    <w:rsid w:val="00D050B1"/>
    <w:rsid w:val="00D0573A"/>
    <w:rsid w:val="00D058B1"/>
    <w:rsid w:val="00D0595E"/>
    <w:rsid w:val="00D0599A"/>
    <w:rsid w:val="00D05A36"/>
    <w:rsid w:val="00D05A9D"/>
    <w:rsid w:val="00D05C54"/>
    <w:rsid w:val="00D05D0C"/>
    <w:rsid w:val="00D0648A"/>
    <w:rsid w:val="00D06FA6"/>
    <w:rsid w:val="00D07262"/>
    <w:rsid w:val="00D072A0"/>
    <w:rsid w:val="00D0760B"/>
    <w:rsid w:val="00D0761C"/>
    <w:rsid w:val="00D077E4"/>
    <w:rsid w:val="00D07934"/>
    <w:rsid w:val="00D07B97"/>
    <w:rsid w:val="00D07BBF"/>
    <w:rsid w:val="00D07C56"/>
    <w:rsid w:val="00D1049C"/>
    <w:rsid w:val="00D1051A"/>
    <w:rsid w:val="00D10B42"/>
    <w:rsid w:val="00D10BAF"/>
    <w:rsid w:val="00D10DF6"/>
    <w:rsid w:val="00D11305"/>
    <w:rsid w:val="00D115B0"/>
    <w:rsid w:val="00D11727"/>
    <w:rsid w:val="00D119BB"/>
    <w:rsid w:val="00D11B67"/>
    <w:rsid w:val="00D11C4F"/>
    <w:rsid w:val="00D11DBC"/>
    <w:rsid w:val="00D11F62"/>
    <w:rsid w:val="00D11F88"/>
    <w:rsid w:val="00D122C6"/>
    <w:rsid w:val="00D123B4"/>
    <w:rsid w:val="00D12486"/>
    <w:rsid w:val="00D12607"/>
    <w:rsid w:val="00D12644"/>
    <w:rsid w:val="00D126D7"/>
    <w:rsid w:val="00D126E0"/>
    <w:rsid w:val="00D12713"/>
    <w:rsid w:val="00D1292B"/>
    <w:rsid w:val="00D12937"/>
    <w:rsid w:val="00D12A38"/>
    <w:rsid w:val="00D12CBD"/>
    <w:rsid w:val="00D12E9E"/>
    <w:rsid w:val="00D13395"/>
    <w:rsid w:val="00D135A2"/>
    <w:rsid w:val="00D136BB"/>
    <w:rsid w:val="00D13884"/>
    <w:rsid w:val="00D13C3B"/>
    <w:rsid w:val="00D13F6B"/>
    <w:rsid w:val="00D14109"/>
    <w:rsid w:val="00D141FD"/>
    <w:rsid w:val="00D145AD"/>
    <w:rsid w:val="00D14641"/>
    <w:rsid w:val="00D146BA"/>
    <w:rsid w:val="00D14741"/>
    <w:rsid w:val="00D14AAD"/>
    <w:rsid w:val="00D14B8A"/>
    <w:rsid w:val="00D14D6F"/>
    <w:rsid w:val="00D14EB9"/>
    <w:rsid w:val="00D14F76"/>
    <w:rsid w:val="00D152F6"/>
    <w:rsid w:val="00D153BA"/>
    <w:rsid w:val="00D15527"/>
    <w:rsid w:val="00D15654"/>
    <w:rsid w:val="00D156EB"/>
    <w:rsid w:val="00D1585D"/>
    <w:rsid w:val="00D158DA"/>
    <w:rsid w:val="00D15B7D"/>
    <w:rsid w:val="00D16337"/>
    <w:rsid w:val="00D16479"/>
    <w:rsid w:val="00D16551"/>
    <w:rsid w:val="00D1676A"/>
    <w:rsid w:val="00D16A79"/>
    <w:rsid w:val="00D16B6C"/>
    <w:rsid w:val="00D16DF6"/>
    <w:rsid w:val="00D16FDD"/>
    <w:rsid w:val="00D17337"/>
    <w:rsid w:val="00D179BA"/>
    <w:rsid w:val="00D17A45"/>
    <w:rsid w:val="00D17B40"/>
    <w:rsid w:val="00D17D16"/>
    <w:rsid w:val="00D201F0"/>
    <w:rsid w:val="00D2036E"/>
    <w:rsid w:val="00D2044A"/>
    <w:rsid w:val="00D20560"/>
    <w:rsid w:val="00D206E0"/>
    <w:rsid w:val="00D20771"/>
    <w:rsid w:val="00D20846"/>
    <w:rsid w:val="00D20F8C"/>
    <w:rsid w:val="00D21046"/>
    <w:rsid w:val="00D21305"/>
    <w:rsid w:val="00D21541"/>
    <w:rsid w:val="00D21553"/>
    <w:rsid w:val="00D216CB"/>
    <w:rsid w:val="00D21B90"/>
    <w:rsid w:val="00D21BC9"/>
    <w:rsid w:val="00D21C28"/>
    <w:rsid w:val="00D21FC1"/>
    <w:rsid w:val="00D2201D"/>
    <w:rsid w:val="00D22051"/>
    <w:rsid w:val="00D22062"/>
    <w:rsid w:val="00D220E7"/>
    <w:rsid w:val="00D221CA"/>
    <w:rsid w:val="00D2224D"/>
    <w:rsid w:val="00D2236E"/>
    <w:rsid w:val="00D22463"/>
    <w:rsid w:val="00D22E37"/>
    <w:rsid w:val="00D22E45"/>
    <w:rsid w:val="00D22E70"/>
    <w:rsid w:val="00D231CA"/>
    <w:rsid w:val="00D23450"/>
    <w:rsid w:val="00D2350B"/>
    <w:rsid w:val="00D236E3"/>
    <w:rsid w:val="00D23718"/>
    <w:rsid w:val="00D23BA5"/>
    <w:rsid w:val="00D23E7D"/>
    <w:rsid w:val="00D23EBC"/>
    <w:rsid w:val="00D2406F"/>
    <w:rsid w:val="00D2425C"/>
    <w:rsid w:val="00D243C7"/>
    <w:rsid w:val="00D245A1"/>
    <w:rsid w:val="00D245B6"/>
    <w:rsid w:val="00D2477F"/>
    <w:rsid w:val="00D249FB"/>
    <w:rsid w:val="00D24D0B"/>
    <w:rsid w:val="00D24DAB"/>
    <w:rsid w:val="00D24E87"/>
    <w:rsid w:val="00D24ECA"/>
    <w:rsid w:val="00D24EDA"/>
    <w:rsid w:val="00D25220"/>
    <w:rsid w:val="00D25927"/>
    <w:rsid w:val="00D25979"/>
    <w:rsid w:val="00D25E71"/>
    <w:rsid w:val="00D26028"/>
    <w:rsid w:val="00D261DB"/>
    <w:rsid w:val="00D261F5"/>
    <w:rsid w:val="00D262A8"/>
    <w:rsid w:val="00D2632F"/>
    <w:rsid w:val="00D263FD"/>
    <w:rsid w:val="00D263FE"/>
    <w:rsid w:val="00D2675E"/>
    <w:rsid w:val="00D26818"/>
    <w:rsid w:val="00D268A5"/>
    <w:rsid w:val="00D269A8"/>
    <w:rsid w:val="00D26A69"/>
    <w:rsid w:val="00D26BA9"/>
    <w:rsid w:val="00D2700E"/>
    <w:rsid w:val="00D27022"/>
    <w:rsid w:val="00D27031"/>
    <w:rsid w:val="00D273BA"/>
    <w:rsid w:val="00D27454"/>
    <w:rsid w:val="00D275E9"/>
    <w:rsid w:val="00D27823"/>
    <w:rsid w:val="00D278EC"/>
    <w:rsid w:val="00D279F9"/>
    <w:rsid w:val="00D27A95"/>
    <w:rsid w:val="00D27B6A"/>
    <w:rsid w:val="00D27BFF"/>
    <w:rsid w:val="00D30031"/>
    <w:rsid w:val="00D30058"/>
    <w:rsid w:val="00D30223"/>
    <w:rsid w:val="00D3049F"/>
    <w:rsid w:val="00D306A5"/>
    <w:rsid w:val="00D30855"/>
    <w:rsid w:val="00D308CF"/>
    <w:rsid w:val="00D30B74"/>
    <w:rsid w:val="00D3114B"/>
    <w:rsid w:val="00D3151B"/>
    <w:rsid w:val="00D315A6"/>
    <w:rsid w:val="00D3174E"/>
    <w:rsid w:val="00D31809"/>
    <w:rsid w:val="00D31974"/>
    <w:rsid w:val="00D31DC5"/>
    <w:rsid w:val="00D3250F"/>
    <w:rsid w:val="00D32705"/>
    <w:rsid w:val="00D32D07"/>
    <w:rsid w:val="00D330DD"/>
    <w:rsid w:val="00D33254"/>
    <w:rsid w:val="00D33917"/>
    <w:rsid w:val="00D33D71"/>
    <w:rsid w:val="00D33E58"/>
    <w:rsid w:val="00D340BE"/>
    <w:rsid w:val="00D34339"/>
    <w:rsid w:val="00D3469C"/>
    <w:rsid w:val="00D34746"/>
    <w:rsid w:val="00D34772"/>
    <w:rsid w:val="00D347E3"/>
    <w:rsid w:val="00D34A3B"/>
    <w:rsid w:val="00D34D75"/>
    <w:rsid w:val="00D34E5E"/>
    <w:rsid w:val="00D352EC"/>
    <w:rsid w:val="00D35823"/>
    <w:rsid w:val="00D35AA6"/>
    <w:rsid w:val="00D35ADD"/>
    <w:rsid w:val="00D35B7F"/>
    <w:rsid w:val="00D35D86"/>
    <w:rsid w:val="00D35F10"/>
    <w:rsid w:val="00D36209"/>
    <w:rsid w:val="00D3627B"/>
    <w:rsid w:val="00D367AB"/>
    <w:rsid w:val="00D36C10"/>
    <w:rsid w:val="00D372D3"/>
    <w:rsid w:val="00D372DB"/>
    <w:rsid w:val="00D37343"/>
    <w:rsid w:val="00D373BA"/>
    <w:rsid w:val="00D37736"/>
    <w:rsid w:val="00D377CB"/>
    <w:rsid w:val="00D37B0B"/>
    <w:rsid w:val="00D37B66"/>
    <w:rsid w:val="00D37C38"/>
    <w:rsid w:val="00D37D8F"/>
    <w:rsid w:val="00D4020C"/>
    <w:rsid w:val="00D40558"/>
    <w:rsid w:val="00D405D8"/>
    <w:rsid w:val="00D406B2"/>
    <w:rsid w:val="00D407C7"/>
    <w:rsid w:val="00D40807"/>
    <w:rsid w:val="00D40A9D"/>
    <w:rsid w:val="00D40DA2"/>
    <w:rsid w:val="00D40E74"/>
    <w:rsid w:val="00D40F44"/>
    <w:rsid w:val="00D4110D"/>
    <w:rsid w:val="00D415A1"/>
    <w:rsid w:val="00D41640"/>
    <w:rsid w:val="00D41755"/>
    <w:rsid w:val="00D41C04"/>
    <w:rsid w:val="00D41D75"/>
    <w:rsid w:val="00D41D8B"/>
    <w:rsid w:val="00D42120"/>
    <w:rsid w:val="00D4243D"/>
    <w:rsid w:val="00D42506"/>
    <w:rsid w:val="00D426CD"/>
    <w:rsid w:val="00D427A2"/>
    <w:rsid w:val="00D427B7"/>
    <w:rsid w:val="00D42AA2"/>
    <w:rsid w:val="00D42D71"/>
    <w:rsid w:val="00D42D9B"/>
    <w:rsid w:val="00D42E1F"/>
    <w:rsid w:val="00D43329"/>
    <w:rsid w:val="00D4343C"/>
    <w:rsid w:val="00D434D6"/>
    <w:rsid w:val="00D4364E"/>
    <w:rsid w:val="00D4367D"/>
    <w:rsid w:val="00D43695"/>
    <w:rsid w:val="00D436F2"/>
    <w:rsid w:val="00D43B90"/>
    <w:rsid w:val="00D43D10"/>
    <w:rsid w:val="00D4402F"/>
    <w:rsid w:val="00D44101"/>
    <w:rsid w:val="00D44144"/>
    <w:rsid w:val="00D44161"/>
    <w:rsid w:val="00D444BF"/>
    <w:rsid w:val="00D4479C"/>
    <w:rsid w:val="00D44A53"/>
    <w:rsid w:val="00D44BE3"/>
    <w:rsid w:val="00D44BEA"/>
    <w:rsid w:val="00D44C75"/>
    <w:rsid w:val="00D44D10"/>
    <w:rsid w:val="00D45125"/>
    <w:rsid w:val="00D4540C"/>
    <w:rsid w:val="00D4545B"/>
    <w:rsid w:val="00D454DC"/>
    <w:rsid w:val="00D45906"/>
    <w:rsid w:val="00D45978"/>
    <w:rsid w:val="00D45CCE"/>
    <w:rsid w:val="00D45CF1"/>
    <w:rsid w:val="00D45E8F"/>
    <w:rsid w:val="00D45EC9"/>
    <w:rsid w:val="00D45F71"/>
    <w:rsid w:val="00D46178"/>
    <w:rsid w:val="00D46184"/>
    <w:rsid w:val="00D46312"/>
    <w:rsid w:val="00D4687B"/>
    <w:rsid w:val="00D468C5"/>
    <w:rsid w:val="00D46B80"/>
    <w:rsid w:val="00D46C51"/>
    <w:rsid w:val="00D46D36"/>
    <w:rsid w:val="00D46D62"/>
    <w:rsid w:val="00D46E9E"/>
    <w:rsid w:val="00D46F7B"/>
    <w:rsid w:val="00D46F94"/>
    <w:rsid w:val="00D47004"/>
    <w:rsid w:val="00D471E5"/>
    <w:rsid w:val="00D4735F"/>
    <w:rsid w:val="00D47505"/>
    <w:rsid w:val="00D47538"/>
    <w:rsid w:val="00D477DC"/>
    <w:rsid w:val="00D478CF"/>
    <w:rsid w:val="00D47A14"/>
    <w:rsid w:val="00D47F91"/>
    <w:rsid w:val="00D5004C"/>
    <w:rsid w:val="00D500D5"/>
    <w:rsid w:val="00D50117"/>
    <w:rsid w:val="00D50192"/>
    <w:rsid w:val="00D50285"/>
    <w:rsid w:val="00D50375"/>
    <w:rsid w:val="00D5043C"/>
    <w:rsid w:val="00D50448"/>
    <w:rsid w:val="00D50547"/>
    <w:rsid w:val="00D50577"/>
    <w:rsid w:val="00D506DA"/>
    <w:rsid w:val="00D507AE"/>
    <w:rsid w:val="00D50ABF"/>
    <w:rsid w:val="00D50E2F"/>
    <w:rsid w:val="00D50FB0"/>
    <w:rsid w:val="00D516E4"/>
    <w:rsid w:val="00D51897"/>
    <w:rsid w:val="00D51C74"/>
    <w:rsid w:val="00D52171"/>
    <w:rsid w:val="00D522DB"/>
    <w:rsid w:val="00D523AE"/>
    <w:rsid w:val="00D52559"/>
    <w:rsid w:val="00D5286C"/>
    <w:rsid w:val="00D5288E"/>
    <w:rsid w:val="00D529FB"/>
    <w:rsid w:val="00D52B63"/>
    <w:rsid w:val="00D52D4A"/>
    <w:rsid w:val="00D52D7D"/>
    <w:rsid w:val="00D5310A"/>
    <w:rsid w:val="00D53397"/>
    <w:rsid w:val="00D53803"/>
    <w:rsid w:val="00D53867"/>
    <w:rsid w:val="00D538E2"/>
    <w:rsid w:val="00D53A9E"/>
    <w:rsid w:val="00D53B08"/>
    <w:rsid w:val="00D53C54"/>
    <w:rsid w:val="00D540D7"/>
    <w:rsid w:val="00D540F6"/>
    <w:rsid w:val="00D54106"/>
    <w:rsid w:val="00D541AD"/>
    <w:rsid w:val="00D54233"/>
    <w:rsid w:val="00D54422"/>
    <w:rsid w:val="00D54529"/>
    <w:rsid w:val="00D546D7"/>
    <w:rsid w:val="00D54935"/>
    <w:rsid w:val="00D54B7A"/>
    <w:rsid w:val="00D55006"/>
    <w:rsid w:val="00D55723"/>
    <w:rsid w:val="00D5594C"/>
    <w:rsid w:val="00D559B0"/>
    <w:rsid w:val="00D55A61"/>
    <w:rsid w:val="00D55A7A"/>
    <w:rsid w:val="00D55B50"/>
    <w:rsid w:val="00D55C58"/>
    <w:rsid w:val="00D55CF7"/>
    <w:rsid w:val="00D562E7"/>
    <w:rsid w:val="00D564C2"/>
    <w:rsid w:val="00D567E0"/>
    <w:rsid w:val="00D56A2C"/>
    <w:rsid w:val="00D56AD1"/>
    <w:rsid w:val="00D56C9B"/>
    <w:rsid w:val="00D56CA2"/>
    <w:rsid w:val="00D56D7C"/>
    <w:rsid w:val="00D56E5E"/>
    <w:rsid w:val="00D56EA4"/>
    <w:rsid w:val="00D57054"/>
    <w:rsid w:val="00D57329"/>
    <w:rsid w:val="00D5765A"/>
    <w:rsid w:val="00D578C1"/>
    <w:rsid w:val="00D578EE"/>
    <w:rsid w:val="00D578F6"/>
    <w:rsid w:val="00D57ECF"/>
    <w:rsid w:val="00D601EF"/>
    <w:rsid w:val="00D6020E"/>
    <w:rsid w:val="00D60378"/>
    <w:rsid w:val="00D60492"/>
    <w:rsid w:val="00D60586"/>
    <w:rsid w:val="00D6069C"/>
    <w:rsid w:val="00D607A8"/>
    <w:rsid w:val="00D607B8"/>
    <w:rsid w:val="00D607D7"/>
    <w:rsid w:val="00D60956"/>
    <w:rsid w:val="00D60993"/>
    <w:rsid w:val="00D60ED5"/>
    <w:rsid w:val="00D61085"/>
    <w:rsid w:val="00D61095"/>
    <w:rsid w:val="00D613C1"/>
    <w:rsid w:val="00D61493"/>
    <w:rsid w:val="00D618F2"/>
    <w:rsid w:val="00D61A8D"/>
    <w:rsid w:val="00D61E73"/>
    <w:rsid w:val="00D61E81"/>
    <w:rsid w:val="00D61F45"/>
    <w:rsid w:val="00D61F4A"/>
    <w:rsid w:val="00D62015"/>
    <w:rsid w:val="00D623CE"/>
    <w:rsid w:val="00D624A8"/>
    <w:rsid w:val="00D626E7"/>
    <w:rsid w:val="00D62A7A"/>
    <w:rsid w:val="00D62DAB"/>
    <w:rsid w:val="00D62E14"/>
    <w:rsid w:val="00D63171"/>
    <w:rsid w:val="00D63182"/>
    <w:rsid w:val="00D639CE"/>
    <w:rsid w:val="00D63B6F"/>
    <w:rsid w:val="00D63D19"/>
    <w:rsid w:val="00D63E2A"/>
    <w:rsid w:val="00D63F21"/>
    <w:rsid w:val="00D63F55"/>
    <w:rsid w:val="00D64416"/>
    <w:rsid w:val="00D6445B"/>
    <w:rsid w:val="00D64560"/>
    <w:rsid w:val="00D646FB"/>
    <w:rsid w:val="00D64748"/>
    <w:rsid w:val="00D64C2C"/>
    <w:rsid w:val="00D64CC2"/>
    <w:rsid w:val="00D64E4A"/>
    <w:rsid w:val="00D653B2"/>
    <w:rsid w:val="00D65884"/>
    <w:rsid w:val="00D658DD"/>
    <w:rsid w:val="00D659D2"/>
    <w:rsid w:val="00D659FC"/>
    <w:rsid w:val="00D65BA0"/>
    <w:rsid w:val="00D65CCB"/>
    <w:rsid w:val="00D65CE3"/>
    <w:rsid w:val="00D65D19"/>
    <w:rsid w:val="00D65ED3"/>
    <w:rsid w:val="00D65F63"/>
    <w:rsid w:val="00D6644C"/>
    <w:rsid w:val="00D66511"/>
    <w:rsid w:val="00D66597"/>
    <w:rsid w:val="00D66B8B"/>
    <w:rsid w:val="00D66C5D"/>
    <w:rsid w:val="00D66E23"/>
    <w:rsid w:val="00D66F4C"/>
    <w:rsid w:val="00D6701B"/>
    <w:rsid w:val="00D671BB"/>
    <w:rsid w:val="00D67392"/>
    <w:rsid w:val="00D676CE"/>
    <w:rsid w:val="00D679C9"/>
    <w:rsid w:val="00D67AA7"/>
    <w:rsid w:val="00D67CCA"/>
    <w:rsid w:val="00D67E8D"/>
    <w:rsid w:val="00D67F9A"/>
    <w:rsid w:val="00D68D59"/>
    <w:rsid w:val="00D70440"/>
    <w:rsid w:val="00D70C4B"/>
    <w:rsid w:val="00D70CE0"/>
    <w:rsid w:val="00D71039"/>
    <w:rsid w:val="00D71534"/>
    <w:rsid w:val="00D7167B"/>
    <w:rsid w:val="00D71706"/>
    <w:rsid w:val="00D7181F"/>
    <w:rsid w:val="00D718E0"/>
    <w:rsid w:val="00D7196F"/>
    <w:rsid w:val="00D71A69"/>
    <w:rsid w:val="00D71BD3"/>
    <w:rsid w:val="00D71DE6"/>
    <w:rsid w:val="00D71EEA"/>
    <w:rsid w:val="00D72035"/>
    <w:rsid w:val="00D720F9"/>
    <w:rsid w:val="00D726DB"/>
    <w:rsid w:val="00D728A8"/>
    <w:rsid w:val="00D72D09"/>
    <w:rsid w:val="00D73098"/>
    <w:rsid w:val="00D732A9"/>
    <w:rsid w:val="00D73339"/>
    <w:rsid w:val="00D734EE"/>
    <w:rsid w:val="00D73777"/>
    <w:rsid w:val="00D73781"/>
    <w:rsid w:val="00D73A20"/>
    <w:rsid w:val="00D73A3D"/>
    <w:rsid w:val="00D73C98"/>
    <w:rsid w:val="00D73DE6"/>
    <w:rsid w:val="00D7413E"/>
    <w:rsid w:val="00D744AD"/>
    <w:rsid w:val="00D74593"/>
    <w:rsid w:val="00D7466A"/>
    <w:rsid w:val="00D749B6"/>
    <w:rsid w:val="00D74AC1"/>
    <w:rsid w:val="00D74E77"/>
    <w:rsid w:val="00D7509E"/>
    <w:rsid w:val="00D75368"/>
    <w:rsid w:val="00D75483"/>
    <w:rsid w:val="00D75511"/>
    <w:rsid w:val="00D7588D"/>
    <w:rsid w:val="00D75B04"/>
    <w:rsid w:val="00D75BCB"/>
    <w:rsid w:val="00D763FD"/>
    <w:rsid w:val="00D764D1"/>
    <w:rsid w:val="00D76647"/>
    <w:rsid w:val="00D7673F"/>
    <w:rsid w:val="00D76830"/>
    <w:rsid w:val="00D76858"/>
    <w:rsid w:val="00D7687A"/>
    <w:rsid w:val="00D76A5A"/>
    <w:rsid w:val="00D76B78"/>
    <w:rsid w:val="00D76E12"/>
    <w:rsid w:val="00D76F94"/>
    <w:rsid w:val="00D7710D"/>
    <w:rsid w:val="00D772B3"/>
    <w:rsid w:val="00D7744B"/>
    <w:rsid w:val="00D779E4"/>
    <w:rsid w:val="00D77BDF"/>
    <w:rsid w:val="00D77C6E"/>
    <w:rsid w:val="00D77DF5"/>
    <w:rsid w:val="00D77F8A"/>
    <w:rsid w:val="00D80372"/>
    <w:rsid w:val="00D80807"/>
    <w:rsid w:val="00D8095D"/>
    <w:rsid w:val="00D80B78"/>
    <w:rsid w:val="00D80BBF"/>
    <w:rsid w:val="00D80CB9"/>
    <w:rsid w:val="00D80F94"/>
    <w:rsid w:val="00D810C2"/>
    <w:rsid w:val="00D81444"/>
    <w:rsid w:val="00D8168D"/>
    <w:rsid w:val="00D8175E"/>
    <w:rsid w:val="00D81A12"/>
    <w:rsid w:val="00D81AE1"/>
    <w:rsid w:val="00D81B65"/>
    <w:rsid w:val="00D81C5B"/>
    <w:rsid w:val="00D82151"/>
    <w:rsid w:val="00D821B6"/>
    <w:rsid w:val="00D82310"/>
    <w:rsid w:val="00D82402"/>
    <w:rsid w:val="00D82474"/>
    <w:rsid w:val="00D8263E"/>
    <w:rsid w:val="00D8296D"/>
    <w:rsid w:val="00D829BA"/>
    <w:rsid w:val="00D82CAB"/>
    <w:rsid w:val="00D82E75"/>
    <w:rsid w:val="00D83144"/>
    <w:rsid w:val="00D8325D"/>
    <w:rsid w:val="00D83690"/>
    <w:rsid w:val="00D836EB"/>
    <w:rsid w:val="00D8377E"/>
    <w:rsid w:val="00D837A6"/>
    <w:rsid w:val="00D83959"/>
    <w:rsid w:val="00D83C26"/>
    <w:rsid w:val="00D83E4F"/>
    <w:rsid w:val="00D841B7"/>
    <w:rsid w:val="00D84C56"/>
    <w:rsid w:val="00D84E4E"/>
    <w:rsid w:val="00D850D0"/>
    <w:rsid w:val="00D852EB"/>
    <w:rsid w:val="00D853CC"/>
    <w:rsid w:val="00D85436"/>
    <w:rsid w:val="00D85A49"/>
    <w:rsid w:val="00D85A9C"/>
    <w:rsid w:val="00D85BC6"/>
    <w:rsid w:val="00D85BE2"/>
    <w:rsid w:val="00D85F53"/>
    <w:rsid w:val="00D8617C"/>
    <w:rsid w:val="00D86243"/>
    <w:rsid w:val="00D862E6"/>
    <w:rsid w:val="00D86323"/>
    <w:rsid w:val="00D8639F"/>
    <w:rsid w:val="00D863E0"/>
    <w:rsid w:val="00D86878"/>
    <w:rsid w:val="00D868CD"/>
    <w:rsid w:val="00D86A70"/>
    <w:rsid w:val="00D86BB8"/>
    <w:rsid w:val="00D86BC2"/>
    <w:rsid w:val="00D86D08"/>
    <w:rsid w:val="00D86F19"/>
    <w:rsid w:val="00D86FBA"/>
    <w:rsid w:val="00D87348"/>
    <w:rsid w:val="00D87459"/>
    <w:rsid w:val="00D874A0"/>
    <w:rsid w:val="00D8771D"/>
    <w:rsid w:val="00D878EE"/>
    <w:rsid w:val="00D87EE0"/>
    <w:rsid w:val="00D9017B"/>
    <w:rsid w:val="00D9073A"/>
    <w:rsid w:val="00D90875"/>
    <w:rsid w:val="00D90B9D"/>
    <w:rsid w:val="00D90BBB"/>
    <w:rsid w:val="00D90C40"/>
    <w:rsid w:val="00D90C66"/>
    <w:rsid w:val="00D90C96"/>
    <w:rsid w:val="00D90E1E"/>
    <w:rsid w:val="00D90F9C"/>
    <w:rsid w:val="00D9101B"/>
    <w:rsid w:val="00D91038"/>
    <w:rsid w:val="00D9113C"/>
    <w:rsid w:val="00D91458"/>
    <w:rsid w:val="00D91AFF"/>
    <w:rsid w:val="00D91E39"/>
    <w:rsid w:val="00D91F29"/>
    <w:rsid w:val="00D91F96"/>
    <w:rsid w:val="00D9224E"/>
    <w:rsid w:val="00D9230C"/>
    <w:rsid w:val="00D923BC"/>
    <w:rsid w:val="00D923DB"/>
    <w:rsid w:val="00D92639"/>
    <w:rsid w:val="00D9293D"/>
    <w:rsid w:val="00D92967"/>
    <w:rsid w:val="00D92B37"/>
    <w:rsid w:val="00D92C7E"/>
    <w:rsid w:val="00D92D98"/>
    <w:rsid w:val="00D9314F"/>
    <w:rsid w:val="00D93241"/>
    <w:rsid w:val="00D933D4"/>
    <w:rsid w:val="00D9386D"/>
    <w:rsid w:val="00D93927"/>
    <w:rsid w:val="00D93B9B"/>
    <w:rsid w:val="00D93BF0"/>
    <w:rsid w:val="00D93CA3"/>
    <w:rsid w:val="00D93E7C"/>
    <w:rsid w:val="00D93E90"/>
    <w:rsid w:val="00D9430F"/>
    <w:rsid w:val="00D943A4"/>
    <w:rsid w:val="00D9459D"/>
    <w:rsid w:val="00D945F7"/>
    <w:rsid w:val="00D94A66"/>
    <w:rsid w:val="00D94A77"/>
    <w:rsid w:val="00D94B16"/>
    <w:rsid w:val="00D95007"/>
    <w:rsid w:val="00D95160"/>
    <w:rsid w:val="00D95510"/>
    <w:rsid w:val="00D95555"/>
    <w:rsid w:val="00D95806"/>
    <w:rsid w:val="00D95DF1"/>
    <w:rsid w:val="00D95E75"/>
    <w:rsid w:val="00D960F8"/>
    <w:rsid w:val="00D96490"/>
    <w:rsid w:val="00D965DD"/>
    <w:rsid w:val="00D9673E"/>
    <w:rsid w:val="00D96A2D"/>
    <w:rsid w:val="00D96A31"/>
    <w:rsid w:val="00D96C26"/>
    <w:rsid w:val="00D96C3B"/>
    <w:rsid w:val="00D96CC6"/>
    <w:rsid w:val="00D96D2D"/>
    <w:rsid w:val="00D96EA7"/>
    <w:rsid w:val="00D973C1"/>
    <w:rsid w:val="00D974B1"/>
    <w:rsid w:val="00D9773A"/>
    <w:rsid w:val="00D97755"/>
    <w:rsid w:val="00D97817"/>
    <w:rsid w:val="00D978A1"/>
    <w:rsid w:val="00D979B2"/>
    <w:rsid w:val="00D97A49"/>
    <w:rsid w:val="00D97A4C"/>
    <w:rsid w:val="00D97B2E"/>
    <w:rsid w:val="00D97C21"/>
    <w:rsid w:val="00D97CFB"/>
    <w:rsid w:val="00D97DF1"/>
    <w:rsid w:val="00DA0019"/>
    <w:rsid w:val="00DA0052"/>
    <w:rsid w:val="00DA0643"/>
    <w:rsid w:val="00DA0824"/>
    <w:rsid w:val="00DA08FB"/>
    <w:rsid w:val="00DA0928"/>
    <w:rsid w:val="00DA0BE1"/>
    <w:rsid w:val="00DA0C28"/>
    <w:rsid w:val="00DA0CAE"/>
    <w:rsid w:val="00DA10DD"/>
    <w:rsid w:val="00DA15A0"/>
    <w:rsid w:val="00DA16E9"/>
    <w:rsid w:val="00DA1B1D"/>
    <w:rsid w:val="00DA1BFB"/>
    <w:rsid w:val="00DA1C9C"/>
    <w:rsid w:val="00DA1E9E"/>
    <w:rsid w:val="00DA1EFF"/>
    <w:rsid w:val="00DA1F08"/>
    <w:rsid w:val="00DA20CC"/>
    <w:rsid w:val="00DA21C9"/>
    <w:rsid w:val="00DA21FC"/>
    <w:rsid w:val="00DA22FF"/>
    <w:rsid w:val="00DA231F"/>
    <w:rsid w:val="00DA240F"/>
    <w:rsid w:val="00DA24D5"/>
    <w:rsid w:val="00DA25AA"/>
    <w:rsid w:val="00DA2683"/>
    <w:rsid w:val="00DA2ADB"/>
    <w:rsid w:val="00DA2B99"/>
    <w:rsid w:val="00DA3076"/>
    <w:rsid w:val="00DA30F0"/>
    <w:rsid w:val="00DA32F5"/>
    <w:rsid w:val="00DA3633"/>
    <w:rsid w:val="00DA3837"/>
    <w:rsid w:val="00DA39CB"/>
    <w:rsid w:val="00DA3B44"/>
    <w:rsid w:val="00DA3B5C"/>
    <w:rsid w:val="00DA3E06"/>
    <w:rsid w:val="00DA3F72"/>
    <w:rsid w:val="00DA3F82"/>
    <w:rsid w:val="00DA4123"/>
    <w:rsid w:val="00DA429F"/>
    <w:rsid w:val="00DA4543"/>
    <w:rsid w:val="00DA4607"/>
    <w:rsid w:val="00DA4631"/>
    <w:rsid w:val="00DA4792"/>
    <w:rsid w:val="00DA48C7"/>
    <w:rsid w:val="00DA4961"/>
    <w:rsid w:val="00DA4A45"/>
    <w:rsid w:val="00DA4AE2"/>
    <w:rsid w:val="00DA4B84"/>
    <w:rsid w:val="00DA4EFE"/>
    <w:rsid w:val="00DA4F0E"/>
    <w:rsid w:val="00DA4FD6"/>
    <w:rsid w:val="00DA5151"/>
    <w:rsid w:val="00DA51F7"/>
    <w:rsid w:val="00DA523F"/>
    <w:rsid w:val="00DA54F3"/>
    <w:rsid w:val="00DA5CF2"/>
    <w:rsid w:val="00DA5E34"/>
    <w:rsid w:val="00DA5E35"/>
    <w:rsid w:val="00DA602D"/>
    <w:rsid w:val="00DA61C6"/>
    <w:rsid w:val="00DA61E1"/>
    <w:rsid w:val="00DA6444"/>
    <w:rsid w:val="00DA69F5"/>
    <w:rsid w:val="00DA6B94"/>
    <w:rsid w:val="00DA6D1C"/>
    <w:rsid w:val="00DA702A"/>
    <w:rsid w:val="00DA7102"/>
    <w:rsid w:val="00DA71DD"/>
    <w:rsid w:val="00DA74DD"/>
    <w:rsid w:val="00DA74F3"/>
    <w:rsid w:val="00DA7A01"/>
    <w:rsid w:val="00DA7CC6"/>
    <w:rsid w:val="00DA7CFE"/>
    <w:rsid w:val="00DA7E10"/>
    <w:rsid w:val="00DA7E3E"/>
    <w:rsid w:val="00DA7E4D"/>
    <w:rsid w:val="00DA7FCE"/>
    <w:rsid w:val="00DB01DA"/>
    <w:rsid w:val="00DB05A7"/>
    <w:rsid w:val="00DB068A"/>
    <w:rsid w:val="00DB0719"/>
    <w:rsid w:val="00DB0788"/>
    <w:rsid w:val="00DB0967"/>
    <w:rsid w:val="00DB0972"/>
    <w:rsid w:val="00DB0A07"/>
    <w:rsid w:val="00DB0B3D"/>
    <w:rsid w:val="00DB0F0E"/>
    <w:rsid w:val="00DB155E"/>
    <w:rsid w:val="00DB1886"/>
    <w:rsid w:val="00DB18B9"/>
    <w:rsid w:val="00DB1989"/>
    <w:rsid w:val="00DB1A15"/>
    <w:rsid w:val="00DB1A98"/>
    <w:rsid w:val="00DB1AA6"/>
    <w:rsid w:val="00DB1F41"/>
    <w:rsid w:val="00DB1F8A"/>
    <w:rsid w:val="00DB21A6"/>
    <w:rsid w:val="00DB23FC"/>
    <w:rsid w:val="00DB2406"/>
    <w:rsid w:val="00DB27AC"/>
    <w:rsid w:val="00DB27DF"/>
    <w:rsid w:val="00DB29F5"/>
    <w:rsid w:val="00DB2A6B"/>
    <w:rsid w:val="00DB2B49"/>
    <w:rsid w:val="00DB2DE4"/>
    <w:rsid w:val="00DB2DE6"/>
    <w:rsid w:val="00DB2E2C"/>
    <w:rsid w:val="00DB2E85"/>
    <w:rsid w:val="00DB2F69"/>
    <w:rsid w:val="00DB305B"/>
    <w:rsid w:val="00DB3293"/>
    <w:rsid w:val="00DB3610"/>
    <w:rsid w:val="00DB3693"/>
    <w:rsid w:val="00DB3784"/>
    <w:rsid w:val="00DB3872"/>
    <w:rsid w:val="00DB38B4"/>
    <w:rsid w:val="00DB395E"/>
    <w:rsid w:val="00DB3A94"/>
    <w:rsid w:val="00DB3C2B"/>
    <w:rsid w:val="00DB3CEF"/>
    <w:rsid w:val="00DB3D63"/>
    <w:rsid w:val="00DB415D"/>
    <w:rsid w:val="00DB4201"/>
    <w:rsid w:val="00DB4219"/>
    <w:rsid w:val="00DB4227"/>
    <w:rsid w:val="00DB4375"/>
    <w:rsid w:val="00DB472D"/>
    <w:rsid w:val="00DB4941"/>
    <w:rsid w:val="00DB4AF9"/>
    <w:rsid w:val="00DB4B63"/>
    <w:rsid w:val="00DB4BEC"/>
    <w:rsid w:val="00DB4E93"/>
    <w:rsid w:val="00DB507B"/>
    <w:rsid w:val="00DB522E"/>
    <w:rsid w:val="00DB5233"/>
    <w:rsid w:val="00DB5B1C"/>
    <w:rsid w:val="00DB5B98"/>
    <w:rsid w:val="00DB5E82"/>
    <w:rsid w:val="00DB63B8"/>
    <w:rsid w:val="00DB675F"/>
    <w:rsid w:val="00DB6B79"/>
    <w:rsid w:val="00DB6B89"/>
    <w:rsid w:val="00DB6C5E"/>
    <w:rsid w:val="00DB6CCC"/>
    <w:rsid w:val="00DB70B2"/>
    <w:rsid w:val="00DB70C6"/>
    <w:rsid w:val="00DB7603"/>
    <w:rsid w:val="00DB7650"/>
    <w:rsid w:val="00DB7921"/>
    <w:rsid w:val="00DB792B"/>
    <w:rsid w:val="00DB7A2A"/>
    <w:rsid w:val="00DB7CF6"/>
    <w:rsid w:val="00DB7E0B"/>
    <w:rsid w:val="00DB7E37"/>
    <w:rsid w:val="00DB7F59"/>
    <w:rsid w:val="00DC019F"/>
    <w:rsid w:val="00DC0458"/>
    <w:rsid w:val="00DC06AB"/>
    <w:rsid w:val="00DC0751"/>
    <w:rsid w:val="00DC0F93"/>
    <w:rsid w:val="00DC1020"/>
    <w:rsid w:val="00DC1024"/>
    <w:rsid w:val="00DC1030"/>
    <w:rsid w:val="00DC1132"/>
    <w:rsid w:val="00DC1212"/>
    <w:rsid w:val="00DC13CE"/>
    <w:rsid w:val="00DC1489"/>
    <w:rsid w:val="00DC17BA"/>
    <w:rsid w:val="00DC1B13"/>
    <w:rsid w:val="00DC1C51"/>
    <w:rsid w:val="00DC1D9E"/>
    <w:rsid w:val="00DC1F3D"/>
    <w:rsid w:val="00DC2269"/>
    <w:rsid w:val="00DC235A"/>
    <w:rsid w:val="00DC244E"/>
    <w:rsid w:val="00DC2499"/>
    <w:rsid w:val="00DC24D7"/>
    <w:rsid w:val="00DC29BC"/>
    <w:rsid w:val="00DC2D0A"/>
    <w:rsid w:val="00DC2EB6"/>
    <w:rsid w:val="00DC2F45"/>
    <w:rsid w:val="00DC2FA9"/>
    <w:rsid w:val="00DC314A"/>
    <w:rsid w:val="00DC33F0"/>
    <w:rsid w:val="00DC35CC"/>
    <w:rsid w:val="00DC377B"/>
    <w:rsid w:val="00DC3B99"/>
    <w:rsid w:val="00DC3DD9"/>
    <w:rsid w:val="00DC41B0"/>
    <w:rsid w:val="00DC465C"/>
    <w:rsid w:val="00DC4669"/>
    <w:rsid w:val="00DC46B2"/>
    <w:rsid w:val="00DC4ADC"/>
    <w:rsid w:val="00DC4BEC"/>
    <w:rsid w:val="00DC4DA6"/>
    <w:rsid w:val="00DC4F9D"/>
    <w:rsid w:val="00DC500B"/>
    <w:rsid w:val="00DC5085"/>
    <w:rsid w:val="00DC50B3"/>
    <w:rsid w:val="00DC50FA"/>
    <w:rsid w:val="00DC51AC"/>
    <w:rsid w:val="00DC5357"/>
    <w:rsid w:val="00DC591C"/>
    <w:rsid w:val="00DC5A4B"/>
    <w:rsid w:val="00DC5BB1"/>
    <w:rsid w:val="00DC5CCB"/>
    <w:rsid w:val="00DC5E71"/>
    <w:rsid w:val="00DC5F6A"/>
    <w:rsid w:val="00DC600D"/>
    <w:rsid w:val="00DC63B1"/>
    <w:rsid w:val="00DC64CE"/>
    <w:rsid w:val="00DC6617"/>
    <w:rsid w:val="00DC67B4"/>
    <w:rsid w:val="00DC6C94"/>
    <w:rsid w:val="00DC6DCB"/>
    <w:rsid w:val="00DC7097"/>
    <w:rsid w:val="00DC71F2"/>
    <w:rsid w:val="00DC772F"/>
    <w:rsid w:val="00DC7852"/>
    <w:rsid w:val="00DC7A4F"/>
    <w:rsid w:val="00DC7C19"/>
    <w:rsid w:val="00DC7F03"/>
    <w:rsid w:val="00DC7F7E"/>
    <w:rsid w:val="00DD008E"/>
    <w:rsid w:val="00DD0150"/>
    <w:rsid w:val="00DD05E4"/>
    <w:rsid w:val="00DD063B"/>
    <w:rsid w:val="00DD07F8"/>
    <w:rsid w:val="00DD0ABD"/>
    <w:rsid w:val="00DD0BBC"/>
    <w:rsid w:val="00DD0D3B"/>
    <w:rsid w:val="00DD0EF3"/>
    <w:rsid w:val="00DD1070"/>
    <w:rsid w:val="00DD115D"/>
    <w:rsid w:val="00DD1591"/>
    <w:rsid w:val="00DD194D"/>
    <w:rsid w:val="00DD1A72"/>
    <w:rsid w:val="00DD1AC0"/>
    <w:rsid w:val="00DD1C90"/>
    <w:rsid w:val="00DD1F06"/>
    <w:rsid w:val="00DD1F27"/>
    <w:rsid w:val="00DD2412"/>
    <w:rsid w:val="00DD26BD"/>
    <w:rsid w:val="00DD2811"/>
    <w:rsid w:val="00DD2931"/>
    <w:rsid w:val="00DD2A95"/>
    <w:rsid w:val="00DD2BAF"/>
    <w:rsid w:val="00DD2DCC"/>
    <w:rsid w:val="00DD2E91"/>
    <w:rsid w:val="00DD2EC8"/>
    <w:rsid w:val="00DD2FA0"/>
    <w:rsid w:val="00DD3249"/>
    <w:rsid w:val="00DD3535"/>
    <w:rsid w:val="00DD379D"/>
    <w:rsid w:val="00DD37D0"/>
    <w:rsid w:val="00DD3F9E"/>
    <w:rsid w:val="00DD3F9F"/>
    <w:rsid w:val="00DD4305"/>
    <w:rsid w:val="00DD432C"/>
    <w:rsid w:val="00DD47A8"/>
    <w:rsid w:val="00DD497A"/>
    <w:rsid w:val="00DD4BB0"/>
    <w:rsid w:val="00DD4C9C"/>
    <w:rsid w:val="00DD4CA7"/>
    <w:rsid w:val="00DD4E8B"/>
    <w:rsid w:val="00DD537A"/>
    <w:rsid w:val="00DD55A1"/>
    <w:rsid w:val="00DD56BD"/>
    <w:rsid w:val="00DD5A60"/>
    <w:rsid w:val="00DD5B31"/>
    <w:rsid w:val="00DD5BC9"/>
    <w:rsid w:val="00DD5DC3"/>
    <w:rsid w:val="00DD5DCD"/>
    <w:rsid w:val="00DD5E9A"/>
    <w:rsid w:val="00DD60C8"/>
    <w:rsid w:val="00DD6321"/>
    <w:rsid w:val="00DD63A5"/>
    <w:rsid w:val="00DD66DA"/>
    <w:rsid w:val="00DD6E02"/>
    <w:rsid w:val="00DD6FB8"/>
    <w:rsid w:val="00DD732F"/>
    <w:rsid w:val="00DD73B6"/>
    <w:rsid w:val="00DD7848"/>
    <w:rsid w:val="00DD79ED"/>
    <w:rsid w:val="00DD7A9B"/>
    <w:rsid w:val="00DD7B73"/>
    <w:rsid w:val="00DD7DE0"/>
    <w:rsid w:val="00DD7E5E"/>
    <w:rsid w:val="00DD7E60"/>
    <w:rsid w:val="00DD7EFA"/>
    <w:rsid w:val="00DD7F7D"/>
    <w:rsid w:val="00DE03E1"/>
    <w:rsid w:val="00DE06E4"/>
    <w:rsid w:val="00DE07A1"/>
    <w:rsid w:val="00DE07A2"/>
    <w:rsid w:val="00DE08A1"/>
    <w:rsid w:val="00DE0F5C"/>
    <w:rsid w:val="00DE1035"/>
    <w:rsid w:val="00DE12C1"/>
    <w:rsid w:val="00DE1681"/>
    <w:rsid w:val="00DE16FD"/>
    <w:rsid w:val="00DE1780"/>
    <w:rsid w:val="00DE1E59"/>
    <w:rsid w:val="00DE2343"/>
    <w:rsid w:val="00DE281A"/>
    <w:rsid w:val="00DE290A"/>
    <w:rsid w:val="00DE2A19"/>
    <w:rsid w:val="00DE2CE6"/>
    <w:rsid w:val="00DE2D82"/>
    <w:rsid w:val="00DE2EF3"/>
    <w:rsid w:val="00DE308C"/>
    <w:rsid w:val="00DE30AE"/>
    <w:rsid w:val="00DE31A2"/>
    <w:rsid w:val="00DE347B"/>
    <w:rsid w:val="00DE3492"/>
    <w:rsid w:val="00DE3629"/>
    <w:rsid w:val="00DE3697"/>
    <w:rsid w:val="00DE36B0"/>
    <w:rsid w:val="00DE384D"/>
    <w:rsid w:val="00DE3924"/>
    <w:rsid w:val="00DE3B82"/>
    <w:rsid w:val="00DE3E45"/>
    <w:rsid w:val="00DE3F06"/>
    <w:rsid w:val="00DE41E3"/>
    <w:rsid w:val="00DE43CB"/>
    <w:rsid w:val="00DE46D5"/>
    <w:rsid w:val="00DE488F"/>
    <w:rsid w:val="00DE49DC"/>
    <w:rsid w:val="00DE49FE"/>
    <w:rsid w:val="00DE5336"/>
    <w:rsid w:val="00DE5346"/>
    <w:rsid w:val="00DE535E"/>
    <w:rsid w:val="00DE5713"/>
    <w:rsid w:val="00DE5806"/>
    <w:rsid w:val="00DE59D4"/>
    <w:rsid w:val="00DE5A2A"/>
    <w:rsid w:val="00DE67AD"/>
    <w:rsid w:val="00DE6BC3"/>
    <w:rsid w:val="00DE6C92"/>
    <w:rsid w:val="00DE6F5D"/>
    <w:rsid w:val="00DE6FE8"/>
    <w:rsid w:val="00DE72B8"/>
    <w:rsid w:val="00DE737F"/>
    <w:rsid w:val="00DE790A"/>
    <w:rsid w:val="00DE7923"/>
    <w:rsid w:val="00DE7D85"/>
    <w:rsid w:val="00DE7FE2"/>
    <w:rsid w:val="00DF0062"/>
    <w:rsid w:val="00DF04EC"/>
    <w:rsid w:val="00DF085A"/>
    <w:rsid w:val="00DF0DBE"/>
    <w:rsid w:val="00DF14CE"/>
    <w:rsid w:val="00DF1CC7"/>
    <w:rsid w:val="00DF1CE4"/>
    <w:rsid w:val="00DF1E68"/>
    <w:rsid w:val="00DF1EA2"/>
    <w:rsid w:val="00DF2254"/>
    <w:rsid w:val="00DF2265"/>
    <w:rsid w:val="00DF2291"/>
    <w:rsid w:val="00DF22CA"/>
    <w:rsid w:val="00DF2501"/>
    <w:rsid w:val="00DF2514"/>
    <w:rsid w:val="00DF252A"/>
    <w:rsid w:val="00DF259A"/>
    <w:rsid w:val="00DF2C6A"/>
    <w:rsid w:val="00DF2E3D"/>
    <w:rsid w:val="00DF2EFB"/>
    <w:rsid w:val="00DF32B7"/>
    <w:rsid w:val="00DF3D11"/>
    <w:rsid w:val="00DF3EAA"/>
    <w:rsid w:val="00DF3EB6"/>
    <w:rsid w:val="00DF41E3"/>
    <w:rsid w:val="00DF43D2"/>
    <w:rsid w:val="00DF4442"/>
    <w:rsid w:val="00DF466C"/>
    <w:rsid w:val="00DF4B9A"/>
    <w:rsid w:val="00DF4E14"/>
    <w:rsid w:val="00DF4F19"/>
    <w:rsid w:val="00DF505A"/>
    <w:rsid w:val="00DF54B0"/>
    <w:rsid w:val="00DF562C"/>
    <w:rsid w:val="00DF56A3"/>
    <w:rsid w:val="00DF5B23"/>
    <w:rsid w:val="00DF5C37"/>
    <w:rsid w:val="00DF5F51"/>
    <w:rsid w:val="00DF63B9"/>
    <w:rsid w:val="00DF66D7"/>
    <w:rsid w:val="00DF66F0"/>
    <w:rsid w:val="00DF6D9E"/>
    <w:rsid w:val="00DF7154"/>
    <w:rsid w:val="00DF72E8"/>
    <w:rsid w:val="00DF759E"/>
    <w:rsid w:val="00DF7690"/>
    <w:rsid w:val="00DF77ED"/>
    <w:rsid w:val="00DF787A"/>
    <w:rsid w:val="00DF7A50"/>
    <w:rsid w:val="00DF7A85"/>
    <w:rsid w:val="00DF7F59"/>
    <w:rsid w:val="00E00054"/>
    <w:rsid w:val="00E00153"/>
    <w:rsid w:val="00E00419"/>
    <w:rsid w:val="00E006AA"/>
    <w:rsid w:val="00E0095A"/>
    <w:rsid w:val="00E00B7F"/>
    <w:rsid w:val="00E00D3F"/>
    <w:rsid w:val="00E00E37"/>
    <w:rsid w:val="00E00EF9"/>
    <w:rsid w:val="00E011B0"/>
    <w:rsid w:val="00E01B1D"/>
    <w:rsid w:val="00E01C60"/>
    <w:rsid w:val="00E01ED1"/>
    <w:rsid w:val="00E01FB9"/>
    <w:rsid w:val="00E02331"/>
    <w:rsid w:val="00E023D8"/>
    <w:rsid w:val="00E024A2"/>
    <w:rsid w:val="00E0250C"/>
    <w:rsid w:val="00E02891"/>
    <w:rsid w:val="00E0290D"/>
    <w:rsid w:val="00E02C2E"/>
    <w:rsid w:val="00E02E50"/>
    <w:rsid w:val="00E02F22"/>
    <w:rsid w:val="00E0331B"/>
    <w:rsid w:val="00E03B3F"/>
    <w:rsid w:val="00E03C92"/>
    <w:rsid w:val="00E03CB0"/>
    <w:rsid w:val="00E03ECF"/>
    <w:rsid w:val="00E03ED3"/>
    <w:rsid w:val="00E03FF1"/>
    <w:rsid w:val="00E040B0"/>
    <w:rsid w:val="00E0411F"/>
    <w:rsid w:val="00E042C0"/>
    <w:rsid w:val="00E042C7"/>
    <w:rsid w:val="00E043C9"/>
    <w:rsid w:val="00E0447D"/>
    <w:rsid w:val="00E045E9"/>
    <w:rsid w:val="00E0462E"/>
    <w:rsid w:val="00E04689"/>
    <w:rsid w:val="00E04B64"/>
    <w:rsid w:val="00E04B9B"/>
    <w:rsid w:val="00E04BC2"/>
    <w:rsid w:val="00E04E09"/>
    <w:rsid w:val="00E04FAC"/>
    <w:rsid w:val="00E051DB"/>
    <w:rsid w:val="00E05438"/>
    <w:rsid w:val="00E05600"/>
    <w:rsid w:val="00E057AB"/>
    <w:rsid w:val="00E059F3"/>
    <w:rsid w:val="00E05B13"/>
    <w:rsid w:val="00E05D36"/>
    <w:rsid w:val="00E05D56"/>
    <w:rsid w:val="00E06059"/>
    <w:rsid w:val="00E060AE"/>
    <w:rsid w:val="00E06566"/>
    <w:rsid w:val="00E06567"/>
    <w:rsid w:val="00E0664F"/>
    <w:rsid w:val="00E0677F"/>
    <w:rsid w:val="00E067D3"/>
    <w:rsid w:val="00E06995"/>
    <w:rsid w:val="00E06DC7"/>
    <w:rsid w:val="00E06E37"/>
    <w:rsid w:val="00E06F04"/>
    <w:rsid w:val="00E06F45"/>
    <w:rsid w:val="00E07100"/>
    <w:rsid w:val="00E07264"/>
    <w:rsid w:val="00E07411"/>
    <w:rsid w:val="00E074AE"/>
    <w:rsid w:val="00E07519"/>
    <w:rsid w:val="00E07624"/>
    <w:rsid w:val="00E076F1"/>
    <w:rsid w:val="00E0788C"/>
    <w:rsid w:val="00E078AD"/>
    <w:rsid w:val="00E07B42"/>
    <w:rsid w:val="00E07CBF"/>
    <w:rsid w:val="00E07D51"/>
    <w:rsid w:val="00E07EFE"/>
    <w:rsid w:val="00E10520"/>
    <w:rsid w:val="00E10567"/>
    <w:rsid w:val="00E1087B"/>
    <w:rsid w:val="00E10A42"/>
    <w:rsid w:val="00E10AE2"/>
    <w:rsid w:val="00E10E3C"/>
    <w:rsid w:val="00E10F75"/>
    <w:rsid w:val="00E10F7F"/>
    <w:rsid w:val="00E11231"/>
    <w:rsid w:val="00E114C9"/>
    <w:rsid w:val="00E11718"/>
    <w:rsid w:val="00E11CE0"/>
    <w:rsid w:val="00E11D34"/>
    <w:rsid w:val="00E11D79"/>
    <w:rsid w:val="00E11EF2"/>
    <w:rsid w:val="00E125E8"/>
    <w:rsid w:val="00E12751"/>
    <w:rsid w:val="00E128E1"/>
    <w:rsid w:val="00E12D21"/>
    <w:rsid w:val="00E12E0A"/>
    <w:rsid w:val="00E12F17"/>
    <w:rsid w:val="00E12F3B"/>
    <w:rsid w:val="00E12F80"/>
    <w:rsid w:val="00E13008"/>
    <w:rsid w:val="00E13299"/>
    <w:rsid w:val="00E136CF"/>
    <w:rsid w:val="00E13779"/>
    <w:rsid w:val="00E1386A"/>
    <w:rsid w:val="00E138B8"/>
    <w:rsid w:val="00E138E4"/>
    <w:rsid w:val="00E13B9A"/>
    <w:rsid w:val="00E13C88"/>
    <w:rsid w:val="00E13CB4"/>
    <w:rsid w:val="00E1400F"/>
    <w:rsid w:val="00E1402D"/>
    <w:rsid w:val="00E14092"/>
    <w:rsid w:val="00E140C4"/>
    <w:rsid w:val="00E14188"/>
    <w:rsid w:val="00E141BC"/>
    <w:rsid w:val="00E14828"/>
    <w:rsid w:val="00E148C2"/>
    <w:rsid w:val="00E14AC9"/>
    <w:rsid w:val="00E14AD1"/>
    <w:rsid w:val="00E14E26"/>
    <w:rsid w:val="00E15009"/>
    <w:rsid w:val="00E15135"/>
    <w:rsid w:val="00E1524F"/>
    <w:rsid w:val="00E152FE"/>
    <w:rsid w:val="00E15727"/>
    <w:rsid w:val="00E158F4"/>
    <w:rsid w:val="00E15A50"/>
    <w:rsid w:val="00E15A5F"/>
    <w:rsid w:val="00E15AA1"/>
    <w:rsid w:val="00E15C9C"/>
    <w:rsid w:val="00E15F06"/>
    <w:rsid w:val="00E16026"/>
    <w:rsid w:val="00E164DB"/>
    <w:rsid w:val="00E1667F"/>
    <w:rsid w:val="00E166A1"/>
    <w:rsid w:val="00E1679B"/>
    <w:rsid w:val="00E167D2"/>
    <w:rsid w:val="00E167DA"/>
    <w:rsid w:val="00E16B52"/>
    <w:rsid w:val="00E16B80"/>
    <w:rsid w:val="00E16CD2"/>
    <w:rsid w:val="00E16E43"/>
    <w:rsid w:val="00E16E6E"/>
    <w:rsid w:val="00E16E79"/>
    <w:rsid w:val="00E16F23"/>
    <w:rsid w:val="00E1726D"/>
    <w:rsid w:val="00E17441"/>
    <w:rsid w:val="00E17523"/>
    <w:rsid w:val="00E1756A"/>
    <w:rsid w:val="00E175F7"/>
    <w:rsid w:val="00E1762F"/>
    <w:rsid w:val="00E176F3"/>
    <w:rsid w:val="00E179DC"/>
    <w:rsid w:val="00E17AFC"/>
    <w:rsid w:val="00E17DDA"/>
    <w:rsid w:val="00E20036"/>
    <w:rsid w:val="00E201F0"/>
    <w:rsid w:val="00E2036A"/>
    <w:rsid w:val="00E203F1"/>
    <w:rsid w:val="00E204F6"/>
    <w:rsid w:val="00E205D2"/>
    <w:rsid w:val="00E2065E"/>
    <w:rsid w:val="00E20738"/>
    <w:rsid w:val="00E20760"/>
    <w:rsid w:val="00E2086B"/>
    <w:rsid w:val="00E208FD"/>
    <w:rsid w:val="00E20B1D"/>
    <w:rsid w:val="00E20B96"/>
    <w:rsid w:val="00E20D1A"/>
    <w:rsid w:val="00E20D51"/>
    <w:rsid w:val="00E20DBE"/>
    <w:rsid w:val="00E2105B"/>
    <w:rsid w:val="00E21344"/>
    <w:rsid w:val="00E214B6"/>
    <w:rsid w:val="00E21565"/>
    <w:rsid w:val="00E21727"/>
    <w:rsid w:val="00E219A8"/>
    <w:rsid w:val="00E21AAB"/>
    <w:rsid w:val="00E21AB7"/>
    <w:rsid w:val="00E21B38"/>
    <w:rsid w:val="00E21DEE"/>
    <w:rsid w:val="00E21E46"/>
    <w:rsid w:val="00E22014"/>
    <w:rsid w:val="00E220BC"/>
    <w:rsid w:val="00E22144"/>
    <w:rsid w:val="00E22331"/>
    <w:rsid w:val="00E22348"/>
    <w:rsid w:val="00E22419"/>
    <w:rsid w:val="00E228EC"/>
    <w:rsid w:val="00E22C8C"/>
    <w:rsid w:val="00E22FAC"/>
    <w:rsid w:val="00E23159"/>
    <w:rsid w:val="00E237C9"/>
    <w:rsid w:val="00E239E7"/>
    <w:rsid w:val="00E23B26"/>
    <w:rsid w:val="00E23BA2"/>
    <w:rsid w:val="00E2427D"/>
    <w:rsid w:val="00E24490"/>
    <w:rsid w:val="00E24634"/>
    <w:rsid w:val="00E2468D"/>
    <w:rsid w:val="00E2472C"/>
    <w:rsid w:val="00E24EDA"/>
    <w:rsid w:val="00E24F03"/>
    <w:rsid w:val="00E24F57"/>
    <w:rsid w:val="00E24FCB"/>
    <w:rsid w:val="00E25357"/>
    <w:rsid w:val="00E25411"/>
    <w:rsid w:val="00E25577"/>
    <w:rsid w:val="00E2596B"/>
    <w:rsid w:val="00E25B72"/>
    <w:rsid w:val="00E25D25"/>
    <w:rsid w:val="00E26166"/>
    <w:rsid w:val="00E261D7"/>
    <w:rsid w:val="00E2626F"/>
    <w:rsid w:val="00E266CF"/>
    <w:rsid w:val="00E267F0"/>
    <w:rsid w:val="00E268B0"/>
    <w:rsid w:val="00E26D07"/>
    <w:rsid w:val="00E272B2"/>
    <w:rsid w:val="00E27472"/>
    <w:rsid w:val="00E2769B"/>
    <w:rsid w:val="00E27726"/>
    <w:rsid w:val="00E27F78"/>
    <w:rsid w:val="00E27FB8"/>
    <w:rsid w:val="00E302BD"/>
    <w:rsid w:val="00E308AB"/>
    <w:rsid w:val="00E30BED"/>
    <w:rsid w:val="00E30C95"/>
    <w:rsid w:val="00E30D45"/>
    <w:rsid w:val="00E310B5"/>
    <w:rsid w:val="00E31279"/>
    <w:rsid w:val="00E31338"/>
    <w:rsid w:val="00E315BB"/>
    <w:rsid w:val="00E31626"/>
    <w:rsid w:val="00E31C2E"/>
    <w:rsid w:val="00E31DC3"/>
    <w:rsid w:val="00E31E60"/>
    <w:rsid w:val="00E31EC1"/>
    <w:rsid w:val="00E3207E"/>
    <w:rsid w:val="00E32097"/>
    <w:rsid w:val="00E32118"/>
    <w:rsid w:val="00E32396"/>
    <w:rsid w:val="00E32523"/>
    <w:rsid w:val="00E327D0"/>
    <w:rsid w:val="00E329F1"/>
    <w:rsid w:val="00E32C9C"/>
    <w:rsid w:val="00E32E0F"/>
    <w:rsid w:val="00E3311B"/>
    <w:rsid w:val="00E33134"/>
    <w:rsid w:val="00E3336E"/>
    <w:rsid w:val="00E338E2"/>
    <w:rsid w:val="00E33ACE"/>
    <w:rsid w:val="00E33B89"/>
    <w:rsid w:val="00E33CEE"/>
    <w:rsid w:val="00E33E79"/>
    <w:rsid w:val="00E33FBC"/>
    <w:rsid w:val="00E341AF"/>
    <w:rsid w:val="00E34264"/>
    <w:rsid w:val="00E343EE"/>
    <w:rsid w:val="00E3446A"/>
    <w:rsid w:val="00E344D6"/>
    <w:rsid w:val="00E34B65"/>
    <w:rsid w:val="00E34F15"/>
    <w:rsid w:val="00E350AD"/>
    <w:rsid w:val="00E3523A"/>
    <w:rsid w:val="00E353FB"/>
    <w:rsid w:val="00E35C61"/>
    <w:rsid w:val="00E35CB1"/>
    <w:rsid w:val="00E35CE9"/>
    <w:rsid w:val="00E35DB9"/>
    <w:rsid w:val="00E35EA7"/>
    <w:rsid w:val="00E35ED2"/>
    <w:rsid w:val="00E3616A"/>
    <w:rsid w:val="00E361DE"/>
    <w:rsid w:val="00E36208"/>
    <w:rsid w:val="00E36A9E"/>
    <w:rsid w:val="00E36C0D"/>
    <w:rsid w:val="00E36C4D"/>
    <w:rsid w:val="00E36C65"/>
    <w:rsid w:val="00E36DE8"/>
    <w:rsid w:val="00E3722A"/>
    <w:rsid w:val="00E3727C"/>
    <w:rsid w:val="00E3745A"/>
    <w:rsid w:val="00E376E9"/>
    <w:rsid w:val="00E37B80"/>
    <w:rsid w:val="00E37C1F"/>
    <w:rsid w:val="00E37CA9"/>
    <w:rsid w:val="00E37EF1"/>
    <w:rsid w:val="00E40005"/>
    <w:rsid w:val="00E40065"/>
    <w:rsid w:val="00E401B0"/>
    <w:rsid w:val="00E402EB"/>
    <w:rsid w:val="00E4031B"/>
    <w:rsid w:val="00E40355"/>
    <w:rsid w:val="00E40646"/>
    <w:rsid w:val="00E406E3"/>
    <w:rsid w:val="00E4072D"/>
    <w:rsid w:val="00E407FA"/>
    <w:rsid w:val="00E40824"/>
    <w:rsid w:val="00E40E32"/>
    <w:rsid w:val="00E40ECF"/>
    <w:rsid w:val="00E41002"/>
    <w:rsid w:val="00E4105F"/>
    <w:rsid w:val="00E410A9"/>
    <w:rsid w:val="00E41173"/>
    <w:rsid w:val="00E412F1"/>
    <w:rsid w:val="00E419A8"/>
    <w:rsid w:val="00E41A6D"/>
    <w:rsid w:val="00E41A72"/>
    <w:rsid w:val="00E41BD7"/>
    <w:rsid w:val="00E41C02"/>
    <w:rsid w:val="00E41DE6"/>
    <w:rsid w:val="00E41FD4"/>
    <w:rsid w:val="00E42348"/>
    <w:rsid w:val="00E42682"/>
    <w:rsid w:val="00E4278B"/>
    <w:rsid w:val="00E429DF"/>
    <w:rsid w:val="00E429F0"/>
    <w:rsid w:val="00E429FA"/>
    <w:rsid w:val="00E42A3A"/>
    <w:rsid w:val="00E4326C"/>
    <w:rsid w:val="00E4335C"/>
    <w:rsid w:val="00E43384"/>
    <w:rsid w:val="00E43683"/>
    <w:rsid w:val="00E4375A"/>
    <w:rsid w:val="00E437C9"/>
    <w:rsid w:val="00E4391E"/>
    <w:rsid w:val="00E43955"/>
    <w:rsid w:val="00E43AAE"/>
    <w:rsid w:val="00E43B3D"/>
    <w:rsid w:val="00E43EF1"/>
    <w:rsid w:val="00E442B3"/>
    <w:rsid w:val="00E443EC"/>
    <w:rsid w:val="00E4464C"/>
    <w:rsid w:val="00E4470A"/>
    <w:rsid w:val="00E4491B"/>
    <w:rsid w:val="00E4498B"/>
    <w:rsid w:val="00E44A18"/>
    <w:rsid w:val="00E44AD8"/>
    <w:rsid w:val="00E44B14"/>
    <w:rsid w:val="00E44C08"/>
    <w:rsid w:val="00E44C30"/>
    <w:rsid w:val="00E44F1C"/>
    <w:rsid w:val="00E4539C"/>
    <w:rsid w:val="00E45453"/>
    <w:rsid w:val="00E45513"/>
    <w:rsid w:val="00E456BF"/>
    <w:rsid w:val="00E457EF"/>
    <w:rsid w:val="00E45882"/>
    <w:rsid w:val="00E459E6"/>
    <w:rsid w:val="00E45E32"/>
    <w:rsid w:val="00E46215"/>
    <w:rsid w:val="00E4646E"/>
    <w:rsid w:val="00E467DC"/>
    <w:rsid w:val="00E468BE"/>
    <w:rsid w:val="00E46982"/>
    <w:rsid w:val="00E46A04"/>
    <w:rsid w:val="00E46A27"/>
    <w:rsid w:val="00E46A92"/>
    <w:rsid w:val="00E46B2C"/>
    <w:rsid w:val="00E46CC0"/>
    <w:rsid w:val="00E46E13"/>
    <w:rsid w:val="00E46F8F"/>
    <w:rsid w:val="00E46FA3"/>
    <w:rsid w:val="00E47509"/>
    <w:rsid w:val="00E4750C"/>
    <w:rsid w:val="00E47869"/>
    <w:rsid w:val="00E478EB"/>
    <w:rsid w:val="00E47D4D"/>
    <w:rsid w:val="00E47D8F"/>
    <w:rsid w:val="00E50189"/>
    <w:rsid w:val="00E50352"/>
    <w:rsid w:val="00E50460"/>
    <w:rsid w:val="00E50652"/>
    <w:rsid w:val="00E5093A"/>
    <w:rsid w:val="00E509D3"/>
    <w:rsid w:val="00E50BF0"/>
    <w:rsid w:val="00E51190"/>
    <w:rsid w:val="00E5148B"/>
    <w:rsid w:val="00E514DB"/>
    <w:rsid w:val="00E515C9"/>
    <w:rsid w:val="00E517F8"/>
    <w:rsid w:val="00E518D1"/>
    <w:rsid w:val="00E5191F"/>
    <w:rsid w:val="00E519C9"/>
    <w:rsid w:val="00E51C1C"/>
    <w:rsid w:val="00E52032"/>
    <w:rsid w:val="00E52049"/>
    <w:rsid w:val="00E521C5"/>
    <w:rsid w:val="00E522C4"/>
    <w:rsid w:val="00E5255D"/>
    <w:rsid w:val="00E5264D"/>
    <w:rsid w:val="00E5266D"/>
    <w:rsid w:val="00E527DD"/>
    <w:rsid w:val="00E52820"/>
    <w:rsid w:val="00E52857"/>
    <w:rsid w:val="00E52B77"/>
    <w:rsid w:val="00E52BBD"/>
    <w:rsid w:val="00E52C8B"/>
    <w:rsid w:val="00E5367F"/>
    <w:rsid w:val="00E53719"/>
    <w:rsid w:val="00E537AB"/>
    <w:rsid w:val="00E53BEE"/>
    <w:rsid w:val="00E53C26"/>
    <w:rsid w:val="00E53EC1"/>
    <w:rsid w:val="00E5421A"/>
    <w:rsid w:val="00E54312"/>
    <w:rsid w:val="00E54457"/>
    <w:rsid w:val="00E544FA"/>
    <w:rsid w:val="00E545EB"/>
    <w:rsid w:val="00E54713"/>
    <w:rsid w:val="00E54834"/>
    <w:rsid w:val="00E548CB"/>
    <w:rsid w:val="00E548F5"/>
    <w:rsid w:val="00E54B3F"/>
    <w:rsid w:val="00E54B54"/>
    <w:rsid w:val="00E54C64"/>
    <w:rsid w:val="00E54D36"/>
    <w:rsid w:val="00E54D93"/>
    <w:rsid w:val="00E551FE"/>
    <w:rsid w:val="00E552E5"/>
    <w:rsid w:val="00E5536F"/>
    <w:rsid w:val="00E553C0"/>
    <w:rsid w:val="00E5558C"/>
    <w:rsid w:val="00E556B7"/>
    <w:rsid w:val="00E556D5"/>
    <w:rsid w:val="00E55745"/>
    <w:rsid w:val="00E55844"/>
    <w:rsid w:val="00E55B8A"/>
    <w:rsid w:val="00E55DFF"/>
    <w:rsid w:val="00E56027"/>
    <w:rsid w:val="00E56207"/>
    <w:rsid w:val="00E56229"/>
    <w:rsid w:val="00E562E1"/>
    <w:rsid w:val="00E564EF"/>
    <w:rsid w:val="00E565E6"/>
    <w:rsid w:val="00E566C8"/>
    <w:rsid w:val="00E566DF"/>
    <w:rsid w:val="00E56B33"/>
    <w:rsid w:val="00E56C1E"/>
    <w:rsid w:val="00E56C5C"/>
    <w:rsid w:val="00E56C5F"/>
    <w:rsid w:val="00E56CD7"/>
    <w:rsid w:val="00E57112"/>
    <w:rsid w:val="00E57219"/>
    <w:rsid w:val="00E57285"/>
    <w:rsid w:val="00E57306"/>
    <w:rsid w:val="00E5733C"/>
    <w:rsid w:val="00E5736C"/>
    <w:rsid w:val="00E573D7"/>
    <w:rsid w:val="00E5741E"/>
    <w:rsid w:val="00E5748F"/>
    <w:rsid w:val="00E57652"/>
    <w:rsid w:val="00E57911"/>
    <w:rsid w:val="00E57A3F"/>
    <w:rsid w:val="00E57B08"/>
    <w:rsid w:val="00E57DAC"/>
    <w:rsid w:val="00E57FCA"/>
    <w:rsid w:val="00E603AB"/>
    <w:rsid w:val="00E60505"/>
    <w:rsid w:val="00E60736"/>
    <w:rsid w:val="00E6080F"/>
    <w:rsid w:val="00E608F3"/>
    <w:rsid w:val="00E60C90"/>
    <w:rsid w:val="00E60D4D"/>
    <w:rsid w:val="00E61027"/>
    <w:rsid w:val="00E6116D"/>
    <w:rsid w:val="00E617E2"/>
    <w:rsid w:val="00E6193F"/>
    <w:rsid w:val="00E619E5"/>
    <w:rsid w:val="00E61AF7"/>
    <w:rsid w:val="00E61EC9"/>
    <w:rsid w:val="00E61F7D"/>
    <w:rsid w:val="00E622CE"/>
    <w:rsid w:val="00E62335"/>
    <w:rsid w:val="00E625AB"/>
    <w:rsid w:val="00E628BE"/>
    <w:rsid w:val="00E62BA5"/>
    <w:rsid w:val="00E62C0E"/>
    <w:rsid w:val="00E62D5B"/>
    <w:rsid w:val="00E62DE4"/>
    <w:rsid w:val="00E62EC8"/>
    <w:rsid w:val="00E62EDA"/>
    <w:rsid w:val="00E62FE3"/>
    <w:rsid w:val="00E6327B"/>
    <w:rsid w:val="00E6395F"/>
    <w:rsid w:val="00E64022"/>
    <w:rsid w:val="00E640C0"/>
    <w:rsid w:val="00E64110"/>
    <w:rsid w:val="00E6416A"/>
    <w:rsid w:val="00E6436D"/>
    <w:rsid w:val="00E64512"/>
    <w:rsid w:val="00E645D0"/>
    <w:rsid w:val="00E6470F"/>
    <w:rsid w:val="00E64819"/>
    <w:rsid w:val="00E64E11"/>
    <w:rsid w:val="00E64FF4"/>
    <w:rsid w:val="00E650F1"/>
    <w:rsid w:val="00E651ED"/>
    <w:rsid w:val="00E65879"/>
    <w:rsid w:val="00E65963"/>
    <w:rsid w:val="00E65CCF"/>
    <w:rsid w:val="00E65E4E"/>
    <w:rsid w:val="00E65EAB"/>
    <w:rsid w:val="00E66024"/>
    <w:rsid w:val="00E660F1"/>
    <w:rsid w:val="00E66439"/>
    <w:rsid w:val="00E666AE"/>
    <w:rsid w:val="00E667BA"/>
    <w:rsid w:val="00E66A9B"/>
    <w:rsid w:val="00E66B14"/>
    <w:rsid w:val="00E66C8D"/>
    <w:rsid w:val="00E66F39"/>
    <w:rsid w:val="00E6700C"/>
    <w:rsid w:val="00E6726A"/>
    <w:rsid w:val="00E67349"/>
    <w:rsid w:val="00E67367"/>
    <w:rsid w:val="00E6749C"/>
    <w:rsid w:val="00E675B5"/>
    <w:rsid w:val="00E675CF"/>
    <w:rsid w:val="00E675F6"/>
    <w:rsid w:val="00E67657"/>
    <w:rsid w:val="00E67681"/>
    <w:rsid w:val="00E677DA"/>
    <w:rsid w:val="00E67935"/>
    <w:rsid w:val="00E67983"/>
    <w:rsid w:val="00E67A46"/>
    <w:rsid w:val="00E67E8C"/>
    <w:rsid w:val="00E700EE"/>
    <w:rsid w:val="00E700F2"/>
    <w:rsid w:val="00E70282"/>
    <w:rsid w:val="00E70365"/>
    <w:rsid w:val="00E704E9"/>
    <w:rsid w:val="00E706CA"/>
    <w:rsid w:val="00E708AA"/>
    <w:rsid w:val="00E70921"/>
    <w:rsid w:val="00E70A20"/>
    <w:rsid w:val="00E70A5C"/>
    <w:rsid w:val="00E70D8E"/>
    <w:rsid w:val="00E7118D"/>
    <w:rsid w:val="00E71358"/>
    <w:rsid w:val="00E71A8E"/>
    <w:rsid w:val="00E71B03"/>
    <w:rsid w:val="00E71BD3"/>
    <w:rsid w:val="00E71D2D"/>
    <w:rsid w:val="00E7222F"/>
    <w:rsid w:val="00E722EE"/>
    <w:rsid w:val="00E72AE4"/>
    <w:rsid w:val="00E72AE9"/>
    <w:rsid w:val="00E72EF0"/>
    <w:rsid w:val="00E732DA"/>
    <w:rsid w:val="00E735AA"/>
    <w:rsid w:val="00E7374F"/>
    <w:rsid w:val="00E73759"/>
    <w:rsid w:val="00E737E0"/>
    <w:rsid w:val="00E7399A"/>
    <w:rsid w:val="00E73AC6"/>
    <w:rsid w:val="00E73B73"/>
    <w:rsid w:val="00E73CE4"/>
    <w:rsid w:val="00E73E6C"/>
    <w:rsid w:val="00E741EC"/>
    <w:rsid w:val="00E74254"/>
    <w:rsid w:val="00E74417"/>
    <w:rsid w:val="00E7459D"/>
    <w:rsid w:val="00E74766"/>
    <w:rsid w:val="00E74B1B"/>
    <w:rsid w:val="00E74BCD"/>
    <w:rsid w:val="00E74D29"/>
    <w:rsid w:val="00E74E37"/>
    <w:rsid w:val="00E7500D"/>
    <w:rsid w:val="00E7506D"/>
    <w:rsid w:val="00E753C0"/>
    <w:rsid w:val="00E7568A"/>
    <w:rsid w:val="00E756C8"/>
    <w:rsid w:val="00E75778"/>
    <w:rsid w:val="00E75878"/>
    <w:rsid w:val="00E75AA6"/>
    <w:rsid w:val="00E75EE6"/>
    <w:rsid w:val="00E75FB7"/>
    <w:rsid w:val="00E76046"/>
    <w:rsid w:val="00E7619D"/>
    <w:rsid w:val="00E7622B"/>
    <w:rsid w:val="00E76395"/>
    <w:rsid w:val="00E7644E"/>
    <w:rsid w:val="00E76492"/>
    <w:rsid w:val="00E766E6"/>
    <w:rsid w:val="00E7688B"/>
    <w:rsid w:val="00E76DDD"/>
    <w:rsid w:val="00E76E5E"/>
    <w:rsid w:val="00E76FE2"/>
    <w:rsid w:val="00E7700A"/>
    <w:rsid w:val="00E772AE"/>
    <w:rsid w:val="00E7740A"/>
    <w:rsid w:val="00E774E5"/>
    <w:rsid w:val="00E775CC"/>
    <w:rsid w:val="00E7773B"/>
    <w:rsid w:val="00E77DE9"/>
    <w:rsid w:val="00E804A0"/>
    <w:rsid w:val="00E80B00"/>
    <w:rsid w:val="00E80B93"/>
    <w:rsid w:val="00E80DE7"/>
    <w:rsid w:val="00E80E23"/>
    <w:rsid w:val="00E810C3"/>
    <w:rsid w:val="00E812F3"/>
    <w:rsid w:val="00E8147F"/>
    <w:rsid w:val="00E81543"/>
    <w:rsid w:val="00E8157F"/>
    <w:rsid w:val="00E8165A"/>
    <w:rsid w:val="00E817B0"/>
    <w:rsid w:val="00E81A00"/>
    <w:rsid w:val="00E81BC5"/>
    <w:rsid w:val="00E81D0C"/>
    <w:rsid w:val="00E82015"/>
    <w:rsid w:val="00E82534"/>
    <w:rsid w:val="00E82947"/>
    <w:rsid w:val="00E82DF0"/>
    <w:rsid w:val="00E83279"/>
    <w:rsid w:val="00E8353D"/>
    <w:rsid w:val="00E8353E"/>
    <w:rsid w:val="00E83606"/>
    <w:rsid w:val="00E83746"/>
    <w:rsid w:val="00E83844"/>
    <w:rsid w:val="00E83C12"/>
    <w:rsid w:val="00E83E51"/>
    <w:rsid w:val="00E83F54"/>
    <w:rsid w:val="00E840A0"/>
    <w:rsid w:val="00E84224"/>
    <w:rsid w:val="00E84778"/>
    <w:rsid w:val="00E848EC"/>
    <w:rsid w:val="00E84A3C"/>
    <w:rsid w:val="00E84A41"/>
    <w:rsid w:val="00E84AE6"/>
    <w:rsid w:val="00E84CD8"/>
    <w:rsid w:val="00E84D50"/>
    <w:rsid w:val="00E84FB5"/>
    <w:rsid w:val="00E850C3"/>
    <w:rsid w:val="00E85168"/>
    <w:rsid w:val="00E852F8"/>
    <w:rsid w:val="00E857C2"/>
    <w:rsid w:val="00E85858"/>
    <w:rsid w:val="00E85B55"/>
    <w:rsid w:val="00E85BF2"/>
    <w:rsid w:val="00E85D2E"/>
    <w:rsid w:val="00E85E08"/>
    <w:rsid w:val="00E85E10"/>
    <w:rsid w:val="00E863E7"/>
    <w:rsid w:val="00E8693B"/>
    <w:rsid w:val="00E86B8A"/>
    <w:rsid w:val="00E86D54"/>
    <w:rsid w:val="00E86E8C"/>
    <w:rsid w:val="00E8700D"/>
    <w:rsid w:val="00E8712C"/>
    <w:rsid w:val="00E87438"/>
    <w:rsid w:val="00E8743D"/>
    <w:rsid w:val="00E87641"/>
    <w:rsid w:val="00E876D2"/>
    <w:rsid w:val="00E8777D"/>
    <w:rsid w:val="00E8781B"/>
    <w:rsid w:val="00E8798D"/>
    <w:rsid w:val="00E87C6A"/>
    <w:rsid w:val="00E87CE6"/>
    <w:rsid w:val="00E90154"/>
    <w:rsid w:val="00E902D3"/>
    <w:rsid w:val="00E9038E"/>
    <w:rsid w:val="00E90490"/>
    <w:rsid w:val="00E905DF"/>
    <w:rsid w:val="00E907E4"/>
    <w:rsid w:val="00E9082E"/>
    <w:rsid w:val="00E908C8"/>
    <w:rsid w:val="00E90BC7"/>
    <w:rsid w:val="00E90D0D"/>
    <w:rsid w:val="00E90F68"/>
    <w:rsid w:val="00E91099"/>
    <w:rsid w:val="00E910FA"/>
    <w:rsid w:val="00E91260"/>
    <w:rsid w:val="00E917F2"/>
    <w:rsid w:val="00E9186E"/>
    <w:rsid w:val="00E91904"/>
    <w:rsid w:val="00E91924"/>
    <w:rsid w:val="00E91976"/>
    <w:rsid w:val="00E91AB3"/>
    <w:rsid w:val="00E91C82"/>
    <w:rsid w:val="00E91CE2"/>
    <w:rsid w:val="00E91F3A"/>
    <w:rsid w:val="00E924DA"/>
    <w:rsid w:val="00E92B67"/>
    <w:rsid w:val="00E92CA7"/>
    <w:rsid w:val="00E92D57"/>
    <w:rsid w:val="00E92EEC"/>
    <w:rsid w:val="00E92FA8"/>
    <w:rsid w:val="00E93509"/>
    <w:rsid w:val="00E93673"/>
    <w:rsid w:val="00E936C1"/>
    <w:rsid w:val="00E9372A"/>
    <w:rsid w:val="00E93C63"/>
    <w:rsid w:val="00E93ED8"/>
    <w:rsid w:val="00E9441D"/>
    <w:rsid w:val="00E946CF"/>
    <w:rsid w:val="00E94ABA"/>
    <w:rsid w:val="00E94B33"/>
    <w:rsid w:val="00E94BC0"/>
    <w:rsid w:val="00E94EF6"/>
    <w:rsid w:val="00E951AC"/>
    <w:rsid w:val="00E952A0"/>
    <w:rsid w:val="00E9535C"/>
    <w:rsid w:val="00E95738"/>
    <w:rsid w:val="00E957CA"/>
    <w:rsid w:val="00E95924"/>
    <w:rsid w:val="00E95BD6"/>
    <w:rsid w:val="00E95DC4"/>
    <w:rsid w:val="00E95E72"/>
    <w:rsid w:val="00E96085"/>
    <w:rsid w:val="00E96AA6"/>
    <w:rsid w:val="00E97017"/>
    <w:rsid w:val="00E97044"/>
    <w:rsid w:val="00E971A6"/>
    <w:rsid w:val="00E9733E"/>
    <w:rsid w:val="00E97498"/>
    <w:rsid w:val="00E9754A"/>
    <w:rsid w:val="00E97900"/>
    <w:rsid w:val="00E979A6"/>
    <w:rsid w:val="00E97A86"/>
    <w:rsid w:val="00E97ACA"/>
    <w:rsid w:val="00E97C07"/>
    <w:rsid w:val="00E97E63"/>
    <w:rsid w:val="00EA03AC"/>
    <w:rsid w:val="00EA0514"/>
    <w:rsid w:val="00EA05CE"/>
    <w:rsid w:val="00EA0B75"/>
    <w:rsid w:val="00EA0C02"/>
    <w:rsid w:val="00EA0EE8"/>
    <w:rsid w:val="00EA116F"/>
    <w:rsid w:val="00EA11B0"/>
    <w:rsid w:val="00EA13A1"/>
    <w:rsid w:val="00EA1A35"/>
    <w:rsid w:val="00EA1A9C"/>
    <w:rsid w:val="00EA1B24"/>
    <w:rsid w:val="00EA1DCD"/>
    <w:rsid w:val="00EA1F4D"/>
    <w:rsid w:val="00EA257F"/>
    <w:rsid w:val="00EA2808"/>
    <w:rsid w:val="00EA28A8"/>
    <w:rsid w:val="00EA29DE"/>
    <w:rsid w:val="00EA29F7"/>
    <w:rsid w:val="00EA2D3E"/>
    <w:rsid w:val="00EA2D8A"/>
    <w:rsid w:val="00EA2E42"/>
    <w:rsid w:val="00EA2EF4"/>
    <w:rsid w:val="00EA32D5"/>
    <w:rsid w:val="00EA35D3"/>
    <w:rsid w:val="00EA3A1C"/>
    <w:rsid w:val="00EA3B5D"/>
    <w:rsid w:val="00EA3DC8"/>
    <w:rsid w:val="00EA40A4"/>
    <w:rsid w:val="00EA42AD"/>
    <w:rsid w:val="00EA4392"/>
    <w:rsid w:val="00EA443F"/>
    <w:rsid w:val="00EA4494"/>
    <w:rsid w:val="00EA45C3"/>
    <w:rsid w:val="00EA45E3"/>
    <w:rsid w:val="00EA4F77"/>
    <w:rsid w:val="00EA5284"/>
    <w:rsid w:val="00EA53F9"/>
    <w:rsid w:val="00EA58D3"/>
    <w:rsid w:val="00EA5989"/>
    <w:rsid w:val="00EA6276"/>
    <w:rsid w:val="00EA63E4"/>
    <w:rsid w:val="00EA64FD"/>
    <w:rsid w:val="00EA653C"/>
    <w:rsid w:val="00EA6591"/>
    <w:rsid w:val="00EA67B7"/>
    <w:rsid w:val="00EA6926"/>
    <w:rsid w:val="00EA6AC0"/>
    <w:rsid w:val="00EA6BAB"/>
    <w:rsid w:val="00EA6F8E"/>
    <w:rsid w:val="00EA6FD8"/>
    <w:rsid w:val="00EA7156"/>
    <w:rsid w:val="00EA71A4"/>
    <w:rsid w:val="00EA7341"/>
    <w:rsid w:val="00EA7513"/>
    <w:rsid w:val="00EA763E"/>
    <w:rsid w:val="00EA7917"/>
    <w:rsid w:val="00EA7A12"/>
    <w:rsid w:val="00EA7A6D"/>
    <w:rsid w:val="00EA7C59"/>
    <w:rsid w:val="00EA7E2D"/>
    <w:rsid w:val="00EA7F86"/>
    <w:rsid w:val="00EB01B9"/>
    <w:rsid w:val="00EB01CE"/>
    <w:rsid w:val="00EB034E"/>
    <w:rsid w:val="00EB06B5"/>
    <w:rsid w:val="00EB06B7"/>
    <w:rsid w:val="00EB0C10"/>
    <w:rsid w:val="00EB0D00"/>
    <w:rsid w:val="00EB0DF5"/>
    <w:rsid w:val="00EB1127"/>
    <w:rsid w:val="00EB12E5"/>
    <w:rsid w:val="00EB1449"/>
    <w:rsid w:val="00EB158D"/>
    <w:rsid w:val="00EB1652"/>
    <w:rsid w:val="00EB167C"/>
    <w:rsid w:val="00EB1748"/>
    <w:rsid w:val="00EB1818"/>
    <w:rsid w:val="00EB18EF"/>
    <w:rsid w:val="00EB1B47"/>
    <w:rsid w:val="00EB260F"/>
    <w:rsid w:val="00EB262C"/>
    <w:rsid w:val="00EB2650"/>
    <w:rsid w:val="00EB26A3"/>
    <w:rsid w:val="00EB2AE0"/>
    <w:rsid w:val="00EB2C3F"/>
    <w:rsid w:val="00EB3329"/>
    <w:rsid w:val="00EB350F"/>
    <w:rsid w:val="00EB3925"/>
    <w:rsid w:val="00EB3958"/>
    <w:rsid w:val="00EB39C3"/>
    <w:rsid w:val="00EB3F95"/>
    <w:rsid w:val="00EB414C"/>
    <w:rsid w:val="00EB4197"/>
    <w:rsid w:val="00EB4401"/>
    <w:rsid w:val="00EB460C"/>
    <w:rsid w:val="00EB480B"/>
    <w:rsid w:val="00EB4A46"/>
    <w:rsid w:val="00EB4A95"/>
    <w:rsid w:val="00EB4ABC"/>
    <w:rsid w:val="00EB4B17"/>
    <w:rsid w:val="00EB4C4D"/>
    <w:rsid w:val="00EB4DA0"/>
    <w:rsid w:val="00EB5330"/>
    <w:rsid w:val="00EB5380"/>
    <w:rsid w:val="00EB5392"/>
    <w:rsid w:val="00EB5468"/>
    <w:rsid w:val="00EB5538"/>
    <w:rsid w:val="00EB57B1"/>
    <w:rsid w:val="00EB5A0D"/>
    <w:rsid w:val="00EB5D2C"/>
    <w:rsid w:val="00EB5D91"/>
    <w:rsid w:val="00EB6190"/>
    <w:rsid w:val="00EB6650"/>
    <w:rsid w:val="00EB66E4"/>
    <w:rsid w:val="00EB6759"/>
    <w:rsid w:val="00EB6C55"/>
    <w:rsid w:val="00EB6F94"/>
    <w:rsid w:val="00EB7032"/>
    <w:rsid w:val="00EB760F"/>
    <w:rsid w:val="00EB791F"/>
    <w:rsid w:val="00EB792E"/>
    <w:rsid w:val="00EB7A24"/>
    <w:rsid w:val="00EB7E9C"/>
    <w:rsid w:val="00EB7F6D"/>
    <w:rsid w:val="00EC01D8"/>
    <w:rsid w:val="00EC03B5"/>
    <w:rsid w:val="00EC05F0"/>
    <w:rsid w:val="00EC0693"/>
    <w:rsid w:val="00EC06A1"/>
    <w:rsid w:val="00EC07DF"/>
    <w:rsid w:val="00EC086A"/>
    <w:rsid w:val="00EC08EF"/>
    <w:rsid w:val="00EC09DC"/>
    <w:rsid w:val="00EC0C07"/>
    <w:rsid w:val="00EC0E82"/>
    <w:rsid w:val="00EC0FB8"/>
    <w:rsid w:val="00EC14BC"/>
    <w:rsid w:val="00EC1752"/>
    <w:rsid w:val="00EC1A58"/>
    <w:rsid w:val="00EC1AD6"/>
    <w:rsid w:val="00EC1EB0"/>
    <w:rsid w:val="00EC1F90"/>
    <w:rsid w:val="00EC2052"/>
    <w:rsid w:val="00EC2131"/>
    <w:rsid w:val="00EC2340"/>
    <w:rsid w:val="00EC2403"/>
    <w:rsid w:val="00EC2429"/>
    <w:rsid w:val="00EC24BD"/>
    <w:rsid w:val="00EC26CC"/>
    <w:rsid w:val="00EC2789"/>
    <w:rsid w:val="00EC2818"/>
    <w:rsid w:val="00EC292E"/>
    <w:rsid w:val="00EC2B41"/>
    <w:rsid w:val="00EC2D68"/>
    <w:rsid w:val="00EC2FF5"/>
    <w:rsid w:val="00EC3155"/>
    <w:rsid w:val="00EC3900"/>
    <w:rsid w:val="00EC3AF9"/>
    <w:rsid w:val="00EC3BD8"/>
    <w:rsid w:val="00EC3C35"/>
    <w:rsid w:val="00EC3ED4"/>
    <w:rsid w:val="00EC3EEA"/>
    <w:rsid w:val="00EC3FD8"/>
    <w:rsid w:val="00EC418A"/>
    <w:rsid w:val="00EC4232"/>
    <w:rsid w:val="00EC43F9"/>
    <w:rsid w:val="00EC44EF"/>
    <w:rsid w:val="00EC46F4"/>
    <w:rsid w:val="00EC47E9"/>
    <w:rsid w:val="00EC4B15"/>
    <w:rsid w:val="00EC4CCC"/>
    <w:rsid w:val="00EC4D73"/>
    <w:rsid w:val="00EC500A"/>
    <w:rsid w:val="00EC50F8"/>
    <w:rsid w:val="00EC537A"/>
    <w:rsid w:val="00EC54BE"/>
    <w:rsid w:val="00EC54C5"/>
    <w:rsid w:val="00EC5A74"/>
    <w:rsid w:val="00EC5BA3"/>
    <w:rsid w:val="00EC5F31"/>
    <w:rsid w:val="00EC5FA4"/>
    <w:rsid w:val="00EC5FC8"/>
    <w:rsid w:val="00EC61C3"/>
    <w:rsid w:val="00EC6264"/>
    <w:rsid w:val="00EC62C5"/>
    <w:rsid w:val="00EC648B"/>
    <w:rsid w:val="00EC6564"/>
    <w:rsid w:val="00EC661B"/>
    <w:rsid w:val="00EC66E0"/>
    <w:rsid w:val="00EC673F"/>
    <w:rsid w:val="00EC6B6C"/>
    <w:rsid w:val="00EC6BC5"/>
    <w:rsid w:val="00EC6C08"/>
    <w:rsid w:val="00EC6CFA"/>
    <w:rsid w:val="00EC6E08"/>
    <w:rsid w:val="00EC6EDC"/>
    <w:rsid w:val="00EC6F39"/>
    <w:rsid w:val="00EC7008"/>
    <w:rsid w:val="00EC70BB"/>
    <w:rsid w:val="00EC739F"/>
    <w:rsid w:val="00EC73FE"/>
    <w:rsid w:val="00EC7610"/>
    <w:rsid w:val="00EC79EC"/>
    <w:rsid w:val="00EC7AEA"/>
    <w:rsid w:val="00EC7D58"/>
    <w:rsid w:val="00ED00CA"/>
    <w:rsid w:val="00ED0144"/>
    <w:rsid w:val="00ED01BD"/>
    <w:rsid w:val="00ED0228"/>
    <w:rsid w:val="00ED0436"/>
    <w:rsid w:val="00ED06A1"/>
    <w:rsid w:val="00ED0997"/>
    <w:rsid w:val="00ED0A3E"/>
    <w:rsid w:val="00ED0D04"/>
    <w:rsid w:val="00ED0D5B"/>
    <w:rsid w:val="00ED0DB0"/>
    <w:rsid w:val="00ED101B"/>
    <w:rsid w:val="00ED1325"/>
    <w:rsid w:val="00ED14A2"/>
    <w:rsid w:val="00ED1747"/>
    <w:rsid w:val="00ED18F7"/>
    <w:rsid w:val="00ED1C31"/>
    <w:rsid w:val="00ED1C72"/>
    <w:rsid w:val="00ED1EC6"/>
    <w:rsid w:val="00ED2523"/>
    <w:rsid w:val="00ED25FB"/>
    <w:rsid w:val="00ED297B"/>
    <w:rsid w:val="00ED2D44"/>
    <w:rsid w:val="00ED2E1A"/>
    <w:rsid w:val="00ED2E9C"/>
    <w:rsid w:val="00ED3016"/>
    <w:rsid w:val="00ED3238"/>
    <w:rsid w:val="00ED32CD"/>
    <w:rsid w:val="00ED37FD"/>
    <w:rsid w:val="00ED3891"/>
    <w:rsid w:val="00ED3B22"/>
    <w:rsid w:val="00ED3E68"/>
    <w:rsid w:val="00ED3FF6"/>
    <w:rsid w:val="00ED43A4"/>
    <w:rsid w:val="00ED461B"/>
    <w:rsid w:val="00ED48B5"/>
    <w:rsid w:val="00ED497B"/>
    <w:rsid w:val="00ED4B1A"/>
    <w:rsid w:val="00ED50E9"/>
    <w:rsid w:val="00ED5157"/>
    <w:rsid w:val="00ED5246"/>
    <w:rsid w:val="00ED53B8"/>
    <w:rsid w:val="00ED545E"/>
    <w:rsid w:val="00ED55B4"/>
    <w:rsid w:val="00ED55D0"/>
    <w:rsid w:val="00ED5667"/>
    <w:rsid w:val="00ED585D"/>
    <w:rsid w:val="00ED5982"/>
    <w:rsid w:val="00ED59D6"/>
    <w:rsid w:val="00ED5B80"/>
    <w:rsid w:val="00ED62E6"/>
    <w:rsid w:val="00ED6371"/>
    <w:rsid w:val="00ED63BB"/>
    <w:rsid w:val="00ED64BC"/>
    <w:rsid w:val="00ED6531"/>
    <w:rsid w:val="00ED6640"/>
    <w:rsid w:val="00ED66AD"/>
    <w:rsid w:val="00ED6B28"/>
    <w:rsid w:val="00ED6BE3"/>
    <w:rsid w:val="00ED6C7B"/>
    <w:rsid w:val="00ED6F1D"/>
    <w:rsid w:val="00ED6FD4"/>
    <w:rsid w:val="00ED7617"/>
    <w:rsid w:val="00ED7A2E"/>
    <w:rsid w:val="00ED7A6B"/>
    <w:rsid w:val="00ED7A90"/>
    <w:rsid w:val="00ED7BD2"/>
    <w:rsid w:val="00EE0235"/>
    <w:rsid w:val="00EE0434"/>
    <w:rsid w:val="00EE04E2"/>
    <w:rsid w:val="00EE07E7"/>
    <w:rsid w:val="00EE098A"/>
    <w:rsid w:val="00EE0A39"/>
    <w:rsid w:val="00EE0C4A"/>
    <w:rsid w:val="00EE0D34"/>
    <w:rsid w:val="00EE0EFF"/>
    <w:rsid w:val="00EE0F08"/>
    <w:rsid w:val="00EE0F99"/>
    <w:rsid w:val="00EE1077"/>
    <w:rsid w:val="00EE1177"/>
    <w:rsid w:val="00EE165D"/>
    <w:rsid w:val="00EE1771"/>
    <w:rsid w:val="00EE1BBD"/>
    <w:rsid w:val="00EE1E6A"/>
    <w:rsid w:val="00EE1F0B"/>
    <w:rsid w:val="00EE1F30"/>
    <w:rsid w:val="00EE1F56"/>
    <w:rsid w:val="00EE2224"/>
    <w:rsid w:val="00EE229E"/>
    <w:rsid w:val="00EE22D7"/>
    <w:rsid w:val="00EE2AC5"/>
    <w:rsid w:val="00EE2AF0"/>
    <w:rsid w:val="00EE2CF2"/>
    <w:rsid w:val="00EE3100"/>
    <w:rsid w:val="00EE3E11"/>
    <w:rsid w:val="00EE3F61"/>
    <w:rsid w:val="00EE426C"/>
    <w:rsid w:val="00EE42C8"/>
    <w:rsid w:val="00EE455F"/>
    <w:rsid w:val="00EE4585"/>
    <w:rsid w:val="00EE4600"/>
    <w:rsid w:val="00EE4619"/>
    <w:rsid w:val="00EE46AE"/>
    <w:rsid w:val="00EE4A9F"/>
    <w:rsid w:val="00EE4C15"/>
    <w:rsid w:val="00EE5499"/>
    <w:rsid w:val="00EE571D"/>
    <w:rsid w:val="00EE5808"/>
    <w:rsid w:val="00EE5863"/>
    <w:rsid w:val="00EE58D0"/>
    <w:rsid w:val="00EE597C"/>
    <w:rsid w:val="00EE5A57"/>
    <w:rsid w:val="00EE5B49"/>
    <w:rsid w:val="00EE5B95"/>
    <w:rsid w:val="00EE5BBC"/>
    <w:rsid w:val="00EE64E2"/>
    <w:rsid w:val="00EE65A5"/>
    <w:rsid w:val="00EE6655"/>
    <w:rsid w:val="00EE66C0"/>
    <w:rsid w:val="00EE67C3"/>
    <w:rsid w:val="00EE6822"/>
    <w:rsid w:val="00EE694B"/>
    <w:rsid w:val="00EE6CD8"/>
    <w:rsid w:val="00EE6CE5"/>
    <w:rsid w:val="00EE6D84"/>
    <w:rsid w:val="00EE6DF7"/>
    <w:rsid w:val="00EE6F52"/>
    <w:rsid w:val="00EE7287"/>
    <w:rsid w:val="00EE73D9"/>
    <w:rsid w:val="00EE782A"/>
    <w:rsid w:val="00EE7BAA"/>
    <w:rsid w:val="00EF0203"/>
    <w:rsid w:val="00EF02BC"/>
    <w:rsid w:val="00EF037A"/>
    <w:rsid w:val="00EF052A"/>
    <w:rsid w:val="00EF0637"/>
    <w:rsid w:val="00EF07C0"/>
    <w:rsid w:val="00EF08D5"/>
    <w:rsid w:val="00EF0A16"/>
    <w:rsid w:val="00EF0DF8"/>
    <w:rsid w:val="00EF109A"/>
    <w:rsid w:val="00EF1193"/>
    <w:rsid w:val="00EF11BC"/>
    <w:rsid w:val="00EF1356"/>
    <w:rsid w:val="00EF13A6"/>
    <w:rsid w:val="00EF144E"/>
    <w:rsid w:val="00EF15E4"/>
    <w:rsid w:val="00EF1701"/>
    <w:rsid w:val="00EF1866"/>
    <w:rsid w:val="00EF19A6"/>
    <w:rsid w:val="00EF19E8"/>
    <w:rsid w:val="00EF1AB7"/>
    <w:rsid w:val="00EF1B2C"/>
    <w:rsid w:val="00EF1BAB"/>
    <w:rsid w:val="00EF2042"/>
    <w:rsid w:val="00EF234C"/>
    <w:rsid w:val="00EF2360"/>
    <w:rsid w:val="00EF273D"/>
    <w:rsid w:val="00EF2987"/>
    <w:rsid w:val="00EF2B16"/>
    <w:rsid w:val="00EF2B8D"/>
    <w:rsid w:val="00EF2CBE"/>
    <w:rsid w:val="00EF2E8C"/>
    <w:rsid w:val="00EF2E90"/>
    <w:rsid w:val="00EF3021"/>
    <w:rsid w:val="00EF324E"/>
    <w:rsid w:val="00EF3368"/>
    <w:rsid w:val="00EF340B"/>
    <w:rsid w:val="00EF35E0"/>
    <w:rsid w:val="00EF38E4"/>
    <w:rsid w:val="00EF3A22"/>
    <w:rsid w:val="00EF3DE7"/>
    <w:rsid w:val="00EF3DE8"/>
    <w:rsid w:val="00EF3E14"/>
    <w:rsid w:val="00EF3E4D"/>
    <w:rsid w:val="00EF40F3"/>
    <w:rsid w:val="00EF43D3"/>
    <w:rsid w:val="00EF44FA"/>
    <w:rsid w:val="00EF48D8"/>
    <w:rsid w:val="00EF4C0E"/>
    <w:rsid w:val="00EF4D7C"/>
    <w:rsid w:val="00EF4DC3"/>
    <w:rsid w:val="00EF4F53"/>
    <w:rsid w:val="00EF4FBE"/>
    <w:rsid w:val="00EF504A"/>
    <w:rsid w:val="00EF50BA"/>
    <w:rsid w:val="00EF515D"/>
    <w:rsid w:val="00EF519D"/>
    <w:rsid w:val="00EF54E4"/>
    <w:rsid w:val="00EF5617"/>
    <w:rsid w:val="00EF577D"/>
    <w:rsid w:val="00EF58CB"/>
    <w:rsid w:val="00EF591C"/>
    <w:rsid w:val="00EF592B"/>
    <w:rsid w:val="00EF5ECA"/>
    <w:rsid w:val="00EF6075"/>
    <w:rsid w:val="00EF616F"/>
    <w:rsid w:val="00EF638C"/>
    <w:rsid w:val="00EF6462"/>
    <w:rsid w:val="00EF6909"/>
    <w:rsid w:val="00EF6F09"/>
    <w:rsid w:val="00EF704D"/>
    <w:rsid w:val="00EF715E"/>
    <w:rsid w:val="00EF726D"/>
    <w:rsid w:val="00EF743C"/>
    <w:rsid w:val="00EF75E9"/>
    <w:rsid w:val="00EF7914"/>
    <w:rsid w:val="00EF79D9"/>
    <w:rsid w:val="00EF7E69"/>
    <w:rsid w:val="00EF7E72"/>
    <w:rsid w:val="00EF7FF7"/>
    <w:rsid w:val="00F0009E"/>
    <w:rsid w:val="00F002A2"/>
    <w:rsid w:val="00F00497"/>
    <w:rsid w:val="00F009AB"/>
    <w:rsid w:val="00F009CD"/>
    <w:rsid w:val="00F00AA5"/>
    <w:rsid w:val="00F00B7C"/>
    <w:rsid w:val="00F00B9C"/>
    <w:rsid w:val="00F010D3"/>
    <w:rsid w:val="00F011AE"/>
    <w:rsid w:val="00F01404"/>
    <w:rsid w:val="00F015EC"/>
    <w:rsid w:val="00F01802"/>
    <w:rsid w:val="00F019FA"/>
    <w:rsid w:val="00F02190"/>
    <w:rsid w:val="00F022EE"/>
    <w:rsid w:val="00F023D2"/>
    <w:rsid w:val="00F0243D"/>
    <w:rsid w:val="00F02602"/>
    <w:rsid w:val="00F026ED"/>
    <w:rsid w:val="00F02892"/>
    <w:rsid w:val="00F02934"/>
    <w:rsid w:val="00F02E62"/>
    <w:rsid w:val="00F02F92"/>
    <w:rsid w:val="00F03044"/>
    <w:rsid w:val="00F03112"/>
    <w:rsid w:val="00F03461"/>
    <w:rsid w:val="00F0373C"/>
    <w:rsid w:val="00F03BA4"/>
    <w:rsid w:val="00F0403D"/>
    <w:rsid w:val="00F04261"/>
    <w:rsid w:val="00F0430A"/>
    <w:rsid w:val="00F045BC"/>
    <w:rsid w:val="00F0475D"/>
    <w:rsid w:val="00F047B9"/>
    <w:rsid w:val="00F04A63"/>
    <w:rsid w:val="00F04AC6"/>
    <w:rsid w:val="00F04AEE"/>
    <w:rsid w:val="00F04EE2"/>
    <w:rsid w:val="00F0518F"/>
    <w:rsid w:val="00F053EA"/>
    <w:rsid w:val="00F05454"/>
    <w:rsid w:val="00F055B1"/>
    <w:rsid w:val="00F057BF"/>
    <w:rsid w:val="00F05E30"/>
    <w:rsid w:val="00F0631D"/>
    <w:rsid w:val="00F063DE"/>
    <w:rsid w:val="00F0668E"/>
    <w:rsid w:val="00F067F5"/>
    <w:rsid w:val="00F06BDE"/>
    <w:rsid w:val="00F06C94"/>
    <w:rsid w:val="00F06D62"/>
    <w:rsid w:val="00F07077"/>
    <w:rsid w:val="00F073A4"/>
    <w:rsid w:val="00F0741A"/>
    <w:rsid w:val="00F07460"/>
    <w:rsid w:val="00F0766E"/>
    <w:rsid w:val="00F0777D"/>
    <w:rsid w:val="00F07D90"/>
    <w:rsid w:val="00F07DE6"/>
    <w:rsid w:val="00F1003D"/>
    <w:rsid w:val="00F100C5"/>
    <w:rsid w:val="00F100EE"/>
    <w:rsid w:val="00F100F2"/>
    <w:rsid w:val="00F105B6"/>
    <w:rsid w:val="00F1064C"/>
    <w:rsid w:val="00F10E6C"/>
    <w:rsid w:val="00F11093"/>
    <w:rsid w:val="00F112A4"/>
    <w:rsid w:val="00F119A1"/>
    <w:rsid w:val="00F11A6F"/>
    <w:rsid w:val="00F11B3B"/>
    <w:rsid w:val="00F11C0E"/>
    <w:rsid w:val="00F11C1F"/>
    <w:rsid w:val="00F11EFB"/>
    <w:rsid w:val="00F11EFE"/>
    <w:rsid w:val="00F12516"/>
    <w:rsid w:val="00F126BE"/>
    <w:rsid w:val="00F128E0"/>
    <w:rsid w:val="00F12A2E"/>
    <w:rsid w:val="00F12C98"/>
    <w:rsid w:val="00F12CBF"/>
    <w:rsid w:val="00F12E24"/>
    <w:rsid w:val="00F12FAC"/>
    <w:rsid w:val="00F13457"/>
    <w:rsid w:val="00F13516"/>
    <w:rsid w:val="00F136F8"/>
    <w:rsid w:val="00F1371F"/>
    <w:rsid w:val="00F13AB1"/>
    <w:rsid w:val="00F13F2B"/>
    <w:rsid w:val="00F14229"/>
    <w:rsid w:val="00F14316"/>
    <w:rsid w:val="00F14335"/>
    <w:rsid w:val="00F144A0"/>
    <w:rsid w:val="00F144F7"/>
    <w:rsid w:val="00F14559"/>
    <w:rsid w:val="00F1475E"/>
    <w:rsid w:val="00F14A9A"/>
    <w:rsid w:val="00F14EA4"/>
    <w:rsid w:val="00F14F23"/>
    <w:rsid w:val="00F151FA"/>
    <w:rsid w:val="00F15291"/>
    <w:rsid w:val="00F15309"/>
    <w:rsid w:val="00F153A0"/>
    <w:rsid w:val="00F156A3"/>
    <w:rsid w:val="00F15A6C"/>
    <w:rsid w:val="00F15A80"/>
    <w:rsid w:val="00F15B59"/>
    <w:rsid w:val="00F15E9F"/>
    <w:rsid w:val="00F15F85"/>
    <w:rsid w:val="00F160B8"/>
    <w:rsid w:val="00F16268"/>
    <w:rsid w:val="00F164D1"/>
    <w:rsid w:val="00F1650D"/>
    <w:rsid w:val="00F165FF"/>
    <w:rsid w:val="00F16764"/>
    <w:rsid w:val="00F168BD"/>
    <w:rsid w:val="00F16A36"/>
    <w:rsid w:val="00F16A75"/>
    <w:rsid w:val="00F16ABE"/>
    <w:rsid w:val="00F16BBA"/>
    <w:rsid w:val="00F16D39"/>
    <w:rsid w:val="00F16DA8"/>
    <w:rsid w:val="00F16EA1"/>
    <w:rsid w:val="00F16F54"/>
    <w:rsid w:val="00F17325"/>
    <w:rsid w:val="00F17390"/>
    <w:rsid w:val="00F17734"/>
    <w:rsid w:val="00F17777"/>
    <w:rsid w:val="00F17907"/>
    <w:rsid w:val="00F17AFE"/>
    <w:rsid w:val="00F17B2E"/>
    <w:rsid w:val="00F17C07"/>
    <w:rsid w:val="00F17E38"/>
    <w:rsid w:val="00F20062"/>
    <w:rsid w:val="00F20270"/>
    <w:rsid w:val="00F20331"/>
    <w:rsid w:val="00F20345"/>
    <w:rsid w:val="00F2052B"/>
    <w:rsid w:val="00F206AA"/>
    <w:rsid w:val="00F2073B"/>
    <w:rsid w:val="00F20760"/>
    <w:rsid w:val="00F209B6"/>
    <w:rsid w:val="00F20A78"/>
    <w:rsid w:val="00F20DF4"/>
    <w:rsid w:val="00F20EE8"/>
    <w:rsid w:val="00F20F1E"/>
    <w:rsid w:val="00F21180"/>
    <w:rsid w:val="00F213AE"/>
    <w:rsid w:val="00F214DD"/>
    <w:rsid w:val="00F2158F"/>
    <w:rsid w:val="00F21752"/>
    <w:rsid w:val="00F218A3"/>
    <w:rsid w:val="00F21AAC"/>
    <w:rsid w:val="00F21B56"/>
    <w:rsid w:val="00F21EBB"/>
    <w:rsid w:val="00F21F86"/>
    <w:rsid w:val="00F222AB"/>
    <w:rsid w:val="00F222FD"/>
    <w:rsid w:val="00F22440"/>
    <w:rsid w:val="00F2258D"/>
    <w:rsid w:val="00F22900"/>
    <w:rsid w:val="00F22B89"/>
    <w:rsid w:val="00F22E3A"/>
    <w:rsid w:val="00F22ED6"/>
    <w:rsid w:val="00F23357"/>
    <w:rsid w:val="00F233E7"/>
    <w:rsid w:val="00F23421"/>
    <w:rsid w:val="00F23469"/>
    <w:rsid w:val="00F239B6"/>
    <w:rsid w:val="00F23B45"/>
    <w:rsid w:val="00F23BE5"/>
    <w:rsid w:val="00F23FE7"/>
    <w:rsid w:val="00F2401C"/>
    <w:rsid w:val="00F2455A"/>
    <w:rsid w:val="00F245C2"/>
    <w:rsid w:val="00F24659"/>
    <w:rsid w:val="00F246D3"/>
    <w:rsid w:val="00F24C6B"/>
    <w:rsid w:val="00F24C92"/>
    <w:rsid w:val="00F24DBD"/>
    <w:rsid w:val="00F24E83"/>
    <w:rsid w:val="00F24EF4"/>
    <w:rsid w:val="00F25197"/>
    <w:rsid w:val="00F25348"/>
    <w:rsid w:val="00F25420"/>
    <w:rsid w:val="00F255D3"/>
    <w:rsid w:val="00F25B48"/>
    <w:rsid w:val="00F25B7A"/>
    <w:rsid w:val="00F25E01"/>
    <w:rsid w:val="00F260CA"/>
    <w:rsid w:val="00F26143"/>
    <w:rsid w:val="00F26194"/>
    <w:rsid w:val="00F26824"/>
    <w:rsid w:val="00F2682C"/>
    <w:rsid w:val="00F26A4D"/>
    <w:rsid w:val="00F26A83"/>
    <w:rsid w:val="00F26B37"/>
    <w:rsid w:val="00F26BD6"/>
    <w:rsid w:val="00F2708C"/>
    <w:rsid w:val="00F27493"/>
    <w:rsid w:val="00F277C1"/>
    <w:rsid w:val="00F277DC"/>
    <w:rsid w:val="00F27AAF"/>
    <w:rsid w:val="00F27C1A"/>
    <w:rsid w:val="00F3006A"/>
    <w:rsid w:val="00F301E4"/>
    <w:rsid w:val="00F3038C"/>
    <w:rsid w:val="00F30550"/>
    <w:rsid w:val="00F305E2"/>
    <w:rsid w:val="00F3060F"/>
    <w:rsid w:val="00F30623"/>
    <w:rsid w:val="00F30700"/>
    <w:rsid w:val="00F309E6"/>
    <w:rsid w:val="00F30BD5"/>
    <w:rsid w:val="00F30C2A"/>
    <w:rsid w:val="00F30CA9"/>
    <w:rsid w:val="00F31138"/>
    <w:rsid w:val="00F3115C"/>
    <w:rsid w:val="00F311B2"/>
    <w:rsid w:val="00F31348"/>
    <w:rsid w:val="00F31448"/>
    <w:rsid w:val="00F31496"/>
    <w:rsid w:val="00F31518"/>
    <w:rsid w:val="00F3153F"/>
    <w:rsid w:val="00F3165F"/>
    <w:rsid w:val="00F31913"/>
    <w:rsid w:val="00F325B7"/>
    <w:rsid w:val="00F325D4"/>
    <w:rsid w:val="00F3262D"/>
    <w:rsid w:val="00F32690"/>
    <w:rsid w:val="00F326F7"/>
    <w:rsid w:val="00F327FB"/>
    <w:rsid w:val="00F3291B"/>
    <w:rsid w:val="00F32A26"/>
    <w:rsid w:val="00F32A73"/>
    <w:rsid w:val="00F32C40"/>
    <w:rsid w:val="00F32D0B"/>
    <w:rsid w:val="00F32D99"/>
    <w:rsid w:val="00F32DD5"/>
    <w:rsid w:val="00F32F6C"/>
    <w:rsid w:val="00F33037"/>
    <w:rsid w:val="00F330E4"/>
    <w:rsid w:val="00F33288"/>
    <w:rsid w:val="00F3381F"/>
    <w:rsid w:val="00F3386E"/>
    <w:rsid w:val="00F33875"/>
    <w:rsid w:val="00F33AFE"/>
    <w:rsid w:val="00F33BC4"/>
    <w:rsid w:val="00F33F97"/>
    <w:rsid w:val="00F33FEB"/>
    <w:rsid w:val="00F34234"/>
    <w:rsid w:val="00F346CA"/>
    <w:rsid w:val="00F3479D"/>
    <w:rsid w:val="00F347DC"/>
    <w:rsid w:val="00F3485F"/>
    <w:rsid w:val="00F348C1"/>
    <w:rsid w:val="00F34906"/>
    <w:rsid w:val="00F34B1E"/>
    <w:rsid w:val="00F34E67"/>
    <w:rsid w:val="00F35186"/>
    <w:rsid w:val="00F351E2"/>
    <w:rsid w:val="00F3532A"/>
    <w:rsid w:val="00F35FF5"/>
    <w:rsid w:val="00F36261"/>
    <w:rsid w:val="00F3665D"/>
    <w:rsid w:val="00F36694"/>
    <w:rsid w:val="00F366D9"/>
    <w:rsid w:val="00F36783"/>
    <w:rsid w:val="00F36901"/>
    <w:rsid w:val="00F36CF6"/>
    <w:rsid w:val="00F371D0"/>
    <w:rsid w:val="00F3728D"/>
    <w:rsid w:val="00F37326"/>
    <w:rsid w:val="00F3749F"/>
    <w:rsid w:val="00F37534"/>
    <w:rsid w:val="00F375DE"/>
    <w:rsid w:val="00F37EBF"/>
    <w:rsid w:val="00F400EB"/>
    <w:rsid w:val="00F40387"/>
    <w:rsid w:val="00F4064B"/>
    <w:rsid w:val="00F4078E"/>
    <w:rsid w:val="00F4082A"/>
    <w:rsid w:val="00F4085B"/>
    <w:rsid w:val="00F40AA7"/>
    <w:rsid w:val="00F40D93"/>
    <w:rsid w:val="00F40F90"/>
    <w:rsid w:val="00F40FD0"/>
    <w:rsid w:val="00F410A4"/>
    <w:rsid w:val="00F4110B"/>
    <w:rsid w:val="00F41135"/>
    <w:rsid w:val="00F41180"/>
    <w:rsid w:val="00F415B9"/>
    <w:rsid w:val="00F415EF"/>
    <w:rsid w:val="00F41693"/>
    <w:rsid w:val="00F41812"/>
    <w:rsid w:val="00F41A4C"/>
    <w:rsid w:val="00F41AD6"/>
    <w:rsid w:val="00F42018"/>
    <w:rsid w:val="00F42059"/>
    <w:rsid w:val="00F422F0"/>
    <w:rsid w:val="00F4256F"/>
    <w:rsid w:val="00F42730"/>
    <w:rsid w:val="00F42FD8"/>
    <w:rsid w:val="00F4313F"/>
    <w:rsid w:val="00F43416"/>
    <w:rsid w:val="00F43654"/>
    <w:rsid w:val="00F43DF6"/>
    <w:rsid w:val="00F44180"/>
    <w:rsid w:val="00F442A2"/>
    <w:rsid w:val="00F44E3E"/>
    <w:rsid w:val="00F44E61"/>
    <w:rsid w:val="00F44F20"/>
    <w:rsid w:val="00F44F80"/>
    <w:rsid w:val="00F45001"/>
    <w:rsid w:val="00F45060"/>
    <w:rsid w:val="00F4515D"/>
    <w:rsid w:val="00F4524D"/>
    <w:rsid w:val="00F452CF"/>
    <w:rsid w:val="00F45338"/>
    <w:rsid w:val="00F453B6"/>
    <w:rsid w:val="00F4543E"/>
    <w:rsid w:val="00F454AC"/>
    <w:rsid w:val="00F4568A"/>
    <w:rsid w:val="00F4577C"/>
    <w:rsid w:val="00F45792"/>
    <w:rsid w:val="00F457C8"/>
    <w:rsid w:val="00F45E2C"/>
    <w:rsid w:val="00F45F02"/>
    <w:rsid w:val="00F4620B"/>
    <w:rsid w:val="00F46251"/>
    <w:rsid w:val="00F463D0"/>
    <w:rsid w:val="00F46B40"/>
    <w:rsid w:val="00F46C65"/>
    <w:rsid w:val="00F46D45"/>
    <w:rsid w:val="00F46D57"/>
    <w:rsid w:val="00F46FEE"/>
    <w:rsid w:val="00F470B5"/>
    <w:rsid w:val="00F471D4"/>
    <w:rsid w:val="00F472F7"/>
    <w:rsid w:val="00F47501"/>
    <w:rsid w:val="00F475B3"/>
    <w:rsid w:val="00F479FB"/>
    <w:rsid w:val="00F47F50"/>
    <w:rsid w:val="00F500A8"/>
    <w:rsid w:val="00F5018B"/>
    <w:rsid w:val="00F50229"/>
    <w:rsid w:val="00F502E3"/>
    <w:rsid w:val="00F50938"/>
    <w:rsid w:val="00F50ACE"/>
    <w:rsid w:val="00F50CF5"/>
    <w:rsid w:val="00F50D32"/>
    <w:rsid w:val="00F50DD8"/>
    <w:rsid w:val="00F50EED"/>
    <w:rsid w:val="00F50FBD"/>
    <w:rsid w:val="00F5102E"/>
    <w:rsid w:val="00F512BA"/>
    <w:rsid w:val="00F513EC"/>
    <w:rsid w:val="00F514D5"/>
    <w:rsid w:val="00F515A0"/>
    <w:rsid w:val="00F5175A"/>
    <w:rsid w:val="00F51918"/>
    <w:rsid w:val="00F51C2C"/>
    <w:rsid w:val="00F51D57"/>
    <w:rsid w:val="00F51F84"/>
    <w:rsid w:val="00F51F8D"/>
    <w:rsid w:val="00F5253A"/>
    <w:rsid w:val="00F52599"/>
    <w:rsid w:val="00F526A9"/>
    <w:rsid w:val="00F52751"/>
    <w:rsid w:val="00F52925"/>
    <w:rsid w:val="00F52958"/>
    <w:rsid w:val="00F52E9D"/>
    <w:rsid w:val="00F52EB7"/>
    <w:rsid w:val="00F53012"/>
    <w:rsid w:val="00F53026"/>
    <w:rsid w:val="00F531AC"/>
    <w:rsid w:val="00F53382"/>
    <w:rsid w:val="00F534FB"/>
    <w:rsid w:val="00F5367A"/>
    <w:rsid w:val="00F5396C"/>
    <w:rsid w:val="00F53B23"/>
    <w:rsid w:val="00F53D1A"/>
    <w:rsid w:val="00F53D93"/>
    <w:rsid w:val="00F53D97"/>
    <w:rsid w:val="00F53DD3"/>
    <w:rsid w:val="00F53F49"/>
    <w:rsid w:val="00F5406D"/>
    <w:rsid w:val="00F54141"/>
    <w:rsid w:val="00F541B2"/>
    <w:rsid w:val="00F542C7"/>
    <w:rsid w:val="00F54659"/>
    <w:rsid w:val="00F547DB"/>
    <w:rsid w:val="00F547EF"/>
    <w:rsid w:val="00F5490E"/>
    <w:rsid w:val="00F54AC2"/>
    <w:rsid w:val="00F54BC9"/>
    <w:rsid w:val="00F54C44"/>
    <w:rsid w:val="00F54CB7"/>
    <w:rsid w:val="00F5501C"/>
    <w:rsid w:val="00F553FC"/>
    <w:rsid w:val="00F55401"/>
    <w:rsid w:val="00F556BF"/>
    <w:rsid w:val="00F557C9"/>
    <w:rsid w:val="00F55876"/>
    <w:rsid w:val="00F558A4"/>
    <w:rsid w:val="00F558F1"/>
    <w:rsid w:val="00F55A0B"/>
    <w:rsid w:val="00F55B22"/>
    <w:rsid w:val="00F55CE9"/>
    <w:rsid w:val="00F55F3B"/>
    <w:rsid w:val="00F55F63"/>
    <w:rsid w:val="00F56126"/>
    <w:rsid w:val="00F5637C"/>
    <w:rsid w:val="00F566DF"/>
    <w:rsid w:val="00F5692B"/>
    <w:rsid w:val="00F5693E"/>
    <w:rsid w:val="00F56A52"/>
    <w:rsid w:val="00F56A91"/>
    <w:rsid w:val="00F56BC0"/>
    <w:rsid w:val="00F56BE0"/>
    <w:rsid w:val="00F56C8D"/>
    <w:rsid w:val="00F56D26"/>
    <w:rsid w:val="00F57017"/>
    <w:rsid w:val="00F57464"/>
    <w:rsid w:val="00F57578"/>
    <w:rsid w:val="00F575EF"/>
    <w:rsid w:val="00F5774B"/>
    <w:rsid w:val="00F5794C"/>
    <w:rsid w:val="00F57B83"/>
    <w:rsid w:val="00F57BDD"/>
    <w:rsid w:val="00F57D94"/>
    <w:rsid w:val="00F57FF8"/>
    <w:rsid w:val="00F600D2"/>
    <w:rsid w:val="00F60471"/>
    <w:rsid w:val="00F607F8"/>
    <w:rsid w:val="00F60C50"/>
    <w:rsid w:val="00F60C57"/>
    <w:rsid w:val="00F60D22"/>
    <w:rsid w:val="00F60F00"/>
    <w:rsid w:val="00F60F78"/>
    <w:rsid w:val="00F610FC"/>
    <w:rsid w:val="00F61268"/>
    <w:rsid w:val="00F61424"/>
    <w:rsid w:val="00F618FA"/>
    <w:rsid w:val="00F61A6F"/>
    <w:rsid w:val="00F61DAD"/>
    <w:rsid w:val="00F620A4"/>
    <w:rsid w:val="00F625FA"/>
    <w:rsid w:val="00F6273B"/>
    <w:rsid w:val="00F6277C"/>
    <w:rsid w:val="00F62F5D"/>
    <w:rsid w:val="00F630A9"/>
    <w:rsid w:val="00F6318B"/>
    <w:rsid w:val="00F63214"/>
    <w:rsid w:val="00F63223"/>
    <w:rsid w:val="00F633F7"/>
    <w:rsid w:val="00F636C5"/>
    <w:rsid w:val="00F6386A"/>
    <w:rsid w:val="00F63C9E"/>
    <w:rsid w:val="00F63CDE"/>
    <w:rsid w:val="00F63F8D"/>
    <w:rsid w:val="00F643AD"/>
    <w:rsid w:val="00F64437"/>
    <w:rsid w:val="00F64554"/>
    <w:rsid w:val="00F646A0"/>
    <w:rsid w:val="00F64713"/>
    <w:rsid w:val="00F647A3"/>
    <w:rsid w:val="00F647E8"/>
    <w:rsid w:val="00F64F91"/>
    <w:rsid w:val="00F6511F"/>
    <w:rsid w:val="00F65223"/>
    <w:rsid w:val="00F6542B"/>
    <w:rsid w:val="00F6579B"/>
    <w:rsid w:val="00F65858"/>
    <w:rsid w:val="00F65939"/>
    <w:rsid w:val="00F6599F"/>
    <w:rsid w:val="00F65B45"/>
    <w:rsid w:val="00F65E67"/>
    <w:rsid w:val="00F65EF8"/>
    <w:rsid w:val="00F661FB"/>
    <w:rsid w:val="00F66225"/>
    <w:rsid w:val="00F665F9"/>
    <w:rsid w:val="00F6669B"/>
    <w:rsid w:val="00F66840"/>
    <w:rsid w:val="00F668A1"/>
    <w:rsid w:val="00F66AF1"/>
    <w:rsid w:val="00F66BF9"/>
    <w:rsid w:val="00F66C23"/>
    <w:rsid w:val="00F66C43"/>
    <w:rsid w:val="00F66D45"/>
    <w:rsid w:val="00F66E66"/>
    <w:rsid w:val="00F66F52"/>
    <w:rsid w:val="00F67093"/>
    <w:rsid w:val="00F6718C"/>
    <w:rsid w:val="00F672B0"/>
    <w:rsid w:val="00F675BF"/>
    <w:rsid w:val="00F67AFC"/>
    <w:rsid w:val="00F67BC8"/>
    <w:rsid w:val="00F67D1F"/>
    <w:rsid w:val="00F67D74"/>
    <w:rsid w:val="00F67E6E"/>
    <w:rsid w:val="00F70679"/>
    <w:rsid w:val="00F709D2"/>
    <w:rsid w:val="00F70AE4"/>
    <w:rsid w:val="00F70C28"/>
    <w:rsid w:val="00F7100D"/>
    <w:rsid w:val="00F710A2"/>
    <w:rsid w:val="00F713DD"/>
    <w:rsid w:val="00F7144F"/>
    <w:rsid w:val="00F7147A"/>
    <w:rsid w:val="00F71482"/>
    <w:rsid w:val="00F7153D"/>
    <w:rsid w:val="00F71648"/>
    <w:rsid w:val="00F71EA5"/>
    <w:rsid w:val="00F71F15"/>
    <w:rsid w:val="00F71F79"/>
    <w:rsid w:val="00F71FDC"/>
    <w:rsid w:val="00F7217C"/>
    <w:rsid w:val="00F72187"/>
    <w:rsid w:val="00F72426"/>
    <w:rsid w:val="00F725A4"/>
    <w:rsid w:val="00F7276A"/>
    <w:rsid w:val="00F7288D"/>
    <w:rsid w:val="00F72984"/>
    <w:rsid w:val="00F729A4"/>
    <w:rsid w:val="00F7309A"/>
    <w:rsid w:val="00F73425"/>
    <w:rsid w:val="00F73721"/>
    <w:rsid w:val="00F73818"/>
    <w:rsid w:val="00F739AB"/>
    <w:rsid w:val="00F73A07"/>
    <w:rsid w:val="00F73EFA"/>
    <w:rsid w:val="00F740B3"/>
    <w:rsid w:val="00F745C2"/>
    <w:rsid w:val="00F74738"/>
    <w:rsid w:val="00F7492E"/>
    <w:rsid w:val="00F74CED"/>
    <w:rsid w:val="00F74DD6"/>
    <w:rsid w:val="00F74E42"/>
    <w:rsid w:val="00F74EC0"/>
    <w:rsid w:val="00F75002"/>
    <w:rsid w:val="00F75208"/>
    <w:rsid w:val="00F75333"/>
    <w:rsid w:val="00F755B9"/>
    <w:rsid w:val="00F75B29"/>
    <w:rsid w:val="00F75C58"/>
    <w:rsid w:val="00F75FD6"/>
    <w:rsid w:val="00F76224"/>
    <w:rsid w:val="00F7643F"/>
    <w:rsid w:val="00F7657E"/>
    <w:rsid w:val="00F76901"/>
    <w:rsid w:val="00F76CB7"/>
    <w:rsid w:val="00F76D77"/>
    <w:rsid w:val="00F76ECC"/>
    <w:rsid w:val="00F770C1"/>
    <w:rsid w:val="00F771CD"/>
    <w:rsid w:val="00F772EF"/>
    <w:rsid w:val="00F7758A"/>
    <w:rsid w:val="00F777F5"/>
    <w:rsid w:val="00F77B9F"/>
    <w:rsid w:val="00F77E71"/>
    <w:rsid w:val="00F801C2"/>
    <w:rsid w:val="00F80259"/>
    <w:rsid w:val="00F803E7"/>
    <w:rsid w:val="00F80690"/>
    <w:rsid w:val="00F80694"/>
    <w:rsid w:val="00F8072F"/>
    <w:rsid w:val="00F80B71"/>
    <w:rsid w:val="00F80BC4"/>
    <w:rsid w:val="00F80C84"/>
    <w:rsid w:val="00F80E03"/>
    <w:rsid w:val="00F812CA"/>
    <w:rsid w:val="00F81327"/>
    <w:rsid w:val="00F814A9"/>
    <w:rsid w:val="00F818A0"/>
    <w:rsid w:val="00F81A03"/>
    <w:rsid w:val="00F81AE6"/>
    <w:rsid w:val="00F81D00"/>
    <w:rsid w:val="00F81FA1"/>
    <w:rsid w:val="00F81FC6"/>
    <w:rsid w:val="00F8233C"/>
    <w:rsid w:val="00F8237F"/>
    <w:rsid w:val="00F8254C"/>
    <w:rsid w:val="00F82709"/>
    <w:rsid w:val="00F82875"/>
    <w:rsid w:val="00F8289C"/>
    <w:rsid w:val="00F8290A"/>
    <w:rsid w:val="00F82C93"/>
    <w:rsid w:val="00F82CD3"/>
    <w:rsid w:val="00F83262"/>
    <w:rsid w:val="00F83375"/>
    <w:rsid w:val="00F833A4"/>
    <w:rsid w:val="00F8340F"/>
    <w:rsid w:val="00F83525"/>
    <w:rsid w:val="00F836C7"/>
    <w:rsid w:val="00F83837"/>
    <w:rsid w:val="00F8398F"/>
    <w:rsid w:val="00F83A6D"/>
    <w:rsid w:val="00F83AE3"/>
    <w:rsid w:val="00F83C1C"/>
    <w:rsid w:val="00F83DA6"/>
    <w:rsid w:val="00F83DEE"/>
    <w:rsid w:val="00F8451B"/>
    <w:rsid w:val="00F84763"/>
    <w:rsid w:val="00F847D3"/>
    <w:rsid w:val="00F84A08"/>
    <w:rsid w:val="00F84E8D"/>
    <w:rsid w:val="00F8515F"/>
    <w:rsid w:val="00F852E7"/>
    <w:rsid w:val="00F853DE"/>
    <w:rsid w:val="00F8564D"/>
    <w:rsid w:val="00F856F8"/>
    <w:rsid w:val="00F858F6"/>
    <w:rsid w:val="00F86000"/>
    <w:rsid w:val="00F8602D"/>
    <w:rsid w:val="00F86257"/>
    <w:rsid w:val="00F8626F"/>
    <w:rsid w:val="00F8636A"/>
    <w:rsid w:val="00F86486"/>
    <w:rsid w:val="00F8663A"/>
    <w:rsid w:val="00F866A9"/>
    <w:rsid w:val="00F866FD"/>
    <w:rsid w:val="00F8692A"/>
    <w:rsid w:val="00F869E7"/>
    <w:rsid w:val="00F869FB"/>
    <w:rsid w:val="00F86CB8"/>
    <w:rsid w:val="00F87063"/>
    <w:rsid w:val="00F8710A"/>
    <w:rsid w:val="00F876C6"/>
    <w:rsid w:val="00F877CD"/>
    <w:rsid w:val="00F8790E"/>
    <w:rsid w:val="00F87DF2"/>
    <w:rsid w:val="00F87EEF"/>
    <w:rsid w:val="00F87F42"/>
    <w:rsid w:val="00F904B3"/>
    <w:rsid w:val="00F907B7"/>
    <w:rsid w:val="00F9093D"/>
    <w:rsid w:val="00F9099B"/>
    <w:rsid w:val="00F90AB2"/>
    <w:rsid w:val="00F90C5E"/>
    <w:rsid w:val="00F90CAB"/>
    <w:rsid w:val="00F90DAE"/>
    <w:rsid w:val="00F90FBD"/>
    <w:rsid w:val="00F91437"/>
    <w:rsid w:val="00F91618"/>
    <w:rsid w:val="00F91836"/>
    <w:rsid w:val="00F91855"/>
    <w:rsid w:val="00F918BE"/>
    <w:rsid w:val="00F91EAF"/>
    <w:rsid w:val="00F924B4"/>
    <w:rsid w:val="00F924E0"/>
    <w:rsid w:val="00F925B3"/>
    <w:rsid w:val="00F9263A"/>
    <w:rsid w:val="00F92642"/>
    <w:rsid w:val="00F929CB"/>
    <w:rsid w:val="00F92A10"/>
    <w:rsid w:val="00F92CAC"/>
    <w:rsid w:val="00F92D30"/>
    <w:rsid w:val="00F92FC1"/>
    <w:rsid w:val="00F93291"/>
    <w:rsid w:val="00F933A7"/>
    <w:rsid w:val="00F933D1"/>
    <w:rsid w:val="00F93749"/>
    <w:rsid w:val="00F93A02"/>
    <w:rsid w:val="00F93A09"/>
    <w:rsid w:val="00F93D03"/>
    <w:rsid w:val="00F93D28"/>
    <w:rsid w:val="00F93F10"/>
    <w:rsid w:val="00F93F8B"/>
    <w:rsid w:val="00F94015"/>
    <w:rsid w:val="00F941AD"/>
    <w:rsid w:val="00F94353"/>
    <w:rsid w:val="00F9442F"/>
    <w:rsid w:val="00F9457D"/>
    <w:rsid w:val="00F94682"/>
    <w:rsid w:val="00F94905"/>
    <w:rsid w:val="00F94920"/>
    <w:rsid w:val="00F949E8"/>
    <w:rsid w:val="00F94A0F"/>
    <w:rsid w:val="00F94A16"/>
    <w:rsid w:val="00F94A4B"/>
    <w:rsid w:val="00F94A73"/>
    <w:rsid w:val="00F94D48"/>
    <w:rsid w:val="00F94E55"/>
    <w:rsid w:val="00F94F9C"/>
    <w:rsid w:val="00F95063"/>
    <w:rsid w:val="00F95099"/>
    <w:rsid w:val="00F955F3"/>
    <w:rsid w:val="00F95758"/>
    <w:rsid w:val="00F958C4"/>
    <w:rsid w:val="00F95AB1"/>
    <w:rsid w:val="00F95B26"/>
    <w:rsid w:val="00F96292"/>
    <w:rsid w:val="00F962F9"/>
    <w:rsid w:val="00F963BF"/>
    <w:rsid w:val="00F96418"/>
    <w:rsid w:val="00F96699"/>
    <w:rsid w:val="00F96823"/>
    <w:rsid w:val="00F96A2F"/>
    <w:rsid w:val="00F96AD6"/>
    <w:rsid w:val="00F96AE7"/>
    <w:rsid w:val="00F96B95"/>
    <w:rsid w:val="00F96E3B"/>
    <w:rsid w:val="00F970E1"/>
    <w:rsid w:val="00F97147"/>
    <w:rsid w:val="00F9750E"/>
    <w:rsid w:val="00F975E8"/>
    <w:rsid w:val="00F97979"/>
    <w:rsid w:val="00F97BB0"/>
    <w:rsid w:val="00F97F37"/>
    <w:rsid w:val="00FA0115"/>
    <w:rsid w:val="00FA0569"/>
    <w:rsid w:val="00FA0A74"/>
    <w:rsid w:val="00FA0A9F"/>
    <w:rsid w:val="00FA0CBB"/>
    <w:rsid w:val="00FA0F90"/>
    <w:rsid w:val="00FA0FF5"/>
    <w:rsid w:val="00FA11ED"/>
    <w:rsid w:val="00FA15B5"/>
    <w:rsid w:val="00FA177E"/>
    <w:rsid w:val="00FA186B"/>
    <w:rsid w:val="00FA18BB"/>
    <w:rsid w:val="00FA193D"/>
    <w:rsid w:val="00FA1B8D"/>
    <w:rsid w:val="00FA1EBB"/>
    <w:rsid w:val="00FA205F"/>
    <w:rsid w:val="00FA2498"/>
    <w:rsid w:val="00FA24E6"/>
    <w:rsid w:val="00FA2528"/>
    <w:rsid w:val="00FA26E4"/>
    <w:rsid w:val="00FA2865"/>
    <w:rsid w:val="00FA2BCF"/>
    <w:rsid w:val="00FA2ED6"/>
    <w:rsid w:val="00FA2F22"/>
    <w:rsid w:val="00FA31AD"/>
    <w:rsid w:val="00FA33D4"/>
    <w:rsid w:val="00FA352A"/>
    <w:rsid w:val="00FA3668"/>
    <w:rsid w:val="00FA3936"/>
    <w:rsid w:val="00FA3BC4"/>
    <w:rsid w:val="00FA3C5F"/>
    <w:rsid w:val="00FA3D96"/>
    <w:rsid w:val="00FA4104"/>
    <w:rsid w:val="00FA4152"/>
    <w:rsid w:val="00FA4548"/>
    <w:rsid w:val="00FA45F0"/>
    <w:rsid w:val="00FA461B"/>
    <w:rsid w:val="00FA4681"/>
    <w:rsid w:val="00FA4B0F"/>
    <w:rsid w:val="00FA4B1A"/>
    <w:rsid w:val="00FA4DFB"/>
    <w:rsid w:val="00FA4E73"/>
    <w:rsid w:val="00FA51EE"/>
    <w:rsid w:val="00FA52C1"/>
    <w:rsid w:val="00FA5375"/>
    <w:rsid w:val="00FA5432"/>
    <w:rsid w:val="00FA559E"/>
    <w:rsid w:val="00FA56ED"/>
    <w:rsid w:val="00FA56FD"/>
    <w:rsid w:val="00FA57A9"/>
    <w:rsid w:val="00FA5844"/>
    <w:rsid w:val="00FA5B38"/>
    <w:rsid w:val="00FA5CBB"/>
    <w:rsid w:val="00FA5FA8"/>
    <w:rsid w:val="00FA64FF"/>
    <w:rsid w:val="00FA66D3"/>
    <w:rsid w:val="00FA6723"/>
    <w:rsid w:val="00FA681B"/>
    <w:rsid w:val="00FA69DB"/>
    <w:rsid w:val="00FA6FC2"/>
    <w:rsid w:val="00FA722E"/>
    <w:rsid w:val="00FA73AB"/>
    <w:rsid w:val="00FA76A5"/>
    <w:rsid w:val="00FA7B9B"/>
    <w:rsid w:val="00FA7C34"/>
    <w:rsid w:val="00FB004B"/>
    <w:rsid w:val="00FB0450"/>
    <w:rsid w:val="00FB04C5"/>
    <w:rsid w:val="00FB0A65"/>
    <w:rsid w:val="00FB0AE6"/>
    <w:rsid w:val="00FB0B13"/>
    <w:rsid w:val="00FB0D43"/>
    <w:rsid w:val="00FB0E01"/>
    <w:rsid w:val="00FB1243"/>
    <w:rsid w:val="00FB15E2"/>
    <w:rsid w:val="00FB16C7"/>
    <w:rsid w:val="00FB195B"/>
    <w:rsid w:val="00FB1A10"/>
    <w:rsid w:val="00FB1BBC"/>
    <w:rsid w:val="00FB1D3C"/>
    <w:rsid w:val="00FB22EB"/>
    <w:rsid w:val="00FB23A8"/>
    <w:rsid w:val="00FB24E2"/>
    <w:rsid w:val="00FB2530"/>
    <w:rsid w:val="00FB2595"/>
    <w:rsid w:val="00FB2865"/>
    <w:rsid w:val="00FB2904"/>
    <w:rsid w:val="00FB2CF8"/>
    <w:rsid w:val="00FB2EFE"/>
    <w:rsid w:val="00FB2F4B"/>
    <w:rsid w:val="00FB31B6"/>
    <w:rsid w:val="00FB3503"/>
    <w:rsid w:val="00FB36A7"/>
    <w:rsid w:val="00FB3CA2"/>
    <w:rsid w:val="00FB3D25"/>
    <w:rsid w:val="00FB3D9B"/>
    <w:rsid w:val="00FB4287"/>
    <w:rsid w:val="00FB42A0"/>
    <w:rsid w:val="00FB44B8"/>
    <w:rsid w:val="00FB46ED"/>
    <w:rsid w:val="00FB47D6"/>
    <w:rsid w:val="00FB47E4"/>
    <w:rsid w:val="00FB48D1"/>
    <w:rsid w:val="00FB48DA"/>
    <w:rsid w:val="00FB4B87"/>
    <w:rsid w:val="00FB4D52"/>
    <w:rsid w:val="00FB4D86"/>
    <w:rsid w:val="00FB50AB"/>
    <w:rsid w:val="00FB51F5"/>
    <w:rsid w:val="00FB5388"/>
    <w:rsid w:val="00FB5408"/>
    <w:rsid w:val="00FB5699"/>
    <w:rsid w:val="00FB5AC9"/>
    <w:rsid w:val="00FB5C39"/>
    <w:rsid w:val="00FB5DF0"/>
    <w:rsid w:val="00FB5F1A"/>
    <w:rsid w:val="00FB6227"/>
    <w:rsid w:val="00FB63A0"/>
    <w:rsid w:val="00FB63F9"/>
    <w:rsid w:val="00FB66B6"/>
    <w:rsid w:val="00FB686D"/>
    <w:rsid w:val="00FB6D2C"/>
    <w:rsid w:val="00FB6D77"/>
    <w:rsid w:val="00FB724E"/>
    <w:rsid w:val="00FB72DD"/>
    <w:rsid w:val="00FB730C"/>
    <w:rsid w:val="00FB738C"/>
    <w:rsid w:val="00FB75C3"/>
    <w:rsid w:val="00FB79D3"/>
    <w:rsid w:val="00FB7ABD"/>
    <w:rsid w:val="00FB7C8A"/>
    <w:rsid w:val="00FB7FD3"/>
    <w:rsid w:val="00FC005C"/>
    <w:rsid w:val="00FC017C"/>
    <w:rsid w:val="00FC01A6"/>
    <w:rsid w:val="00FC04FA"/>
    <w:rsid w:val="00FC05E7"/>
    <w:rsid w:val="00FC06D0"/>
    <w:rsid w:val="00FC0723"/>
    <w:rsid w:val="00FC0FE0"/>
    <w:rsid w:val="00FC1023"/>
    <w:rsid w:val="00FC1089"/>
    <w:rsid w:val="00FC12B0"/>
    <w:rsid w:val="00FC1503"/>
    <w:rsid w:val="00FC16BA"/>
    <w:rsid w:val="00FC16CF"/>
    <w:rsid w:val="00FC1790"/>
    <w:rsid w:val="00FC1999"/>
    <w:rsid w:val="00FC1C2B"/>
    <w:rsid w:val="00FC1CC7"/>
    <w:rsid w:val="00FC1F11"/>
    <w:rsid w:val="00FC2283"/>
    <w:rsid w:val="00FC2326"/>
    <w:rsid w:val="00FC23D8"/>
    <w:rsid w:val="00FC2B0B"/>
    <w:rsid w:val="00FC2DE9"/>
    <w:rsid w:val="00FC3351"/>
    <w:rsid w:val="00FC36CD"/>
    <w:rsid w:val="00FC3804"/>
    <w:rsid w:val="00FC38C0"/>
    <w:rsid w:val="00FC38D9"/>
    <w:rsid w:val="00FC38FE"/>
    <w:rsid w:val="00FC3901"/>
    <w:rsid w:val="00FC3B43"/>
    <w:rsid w:val="00FC4114"/>
    <w:rsid w:val="00FC41D9"/>
    <w:rsid w:val="00FC4326"/>
    <w:rsid w:val="00FC4597"/>
    <w:rsid w:val="00FC4787"/>
    <w:rsid w:val="00FC4941"/>
    <w:rsid w:val="00FC4AC4"/>
    <w:rsid w:val="00FC4B69"/>
    <w:rsid w:val="00FC4E54"/>
    <w:rsid w:val="00FC4EBB"/>
    <w:rsid w:val="00FC4F5D"/>
    <w:rsid w:val="00FC57B4"/>
    <w:rsid w:val="00FC58E0"/>
    <w:rsid w:val="00FC5A40"/>
    <w:rsid w:val="00FC5B6C"/>
    <w:rsid w:val="00FC5B87"/>
    <w:rsid w:val="00FC5E28"/>
    <w:rsid w:val="00FC5EA2"/>
    <w:rsid w:val="00FC5ED2"/>
    <w:rsid w:val="00FC5F6B"/>
    <w:rsid w:val="00FC604C"/>
    <w:rsid w:val="00FC61FB"/>
    <w:rsid w:val="00FC6259"/>
    <w:rsid w:val="00FC63CD"/>
    <w:rsid w:val="00FC6454"/>
    <w:rsid w:val="00FC672C"/>
    <w:rsid w:val="00FC6940"/>
    <w:rsid w:val="00FC6ABB"/>
    <w:rsid w:val="00FC7194"/>
    <w:rsid w:val="00FC730B"/>
    <w:rsid w:val="00FC730F"/>
    <w:rsid w:val="00FC7534"/>
    <w:rsid w:val="00FC7664"/>
    <w:rsid w:val="00FC76F9"/>
    <w:rsid w:val="00FC7932"/>
    <w:rsid w:val="00FC7A94"/>
    <w:rsid w:val="00FC7BD9"/>
    <w:rsid w:val="00FC7FAD"/>
    <w:rsid w:val="00FD001F"/>
    <w:rsid w:val="00FD01A6"/>
    <w:rsid w:val="00FD03C9"/>
    <w:rsid w:val="00FD053D"/>
    <w:rsid w:val="00FD0667"/>
    <w:rsid w:val="00FD0891"/>
    <w:rsid w:val="00FD08A8"/>
    <w:rsid w:val="00FD09C8"/>
    <w:rsid w:val="00FD0A25"/>
    <w:rsid w:val="00FD0C72"/>
    <w:rsid w:val="00FD0D8E"/>
    <w:rsid w:val="00FD0DE6"/>
    <w:rsid w:val="00FD0E72"/>
    <w:rsid w:val="00FD14E7"/>
    <w:rsid w:val="00FD18B8"/>
    <w:rsid w:val="00FD18D6"/>
    <w:rsid w:val="00FD19B1"/>
    <w:rsid w:val="00FD1A1D"/>
    <w:rsid w:val="00FD1A8D"/>
    <w:rsid w:val="00FD1F79"/>
    <w:rsid w:val="00FD23EA"/>
    <w:rsid w:val="00FD250C"/>
    <w:rsid w:val="00FD25FC"/>
    <w:rsid w:val="00FD271D"/>
    <w:rsid w:val="00FD2891"/>
    <w:rsid w:val="00FD2895"/>
    <w:rsid w:val="00FD2C09"/>
    <w:rsid w:val="00FD314A"/>
    <w:rsid w:val="00FD350C"/>
    <w:rsid w:val="00FD361E"/>
    <w:rsid w:val="00FD3772"/>
    <w:rsid w:val="00FD39D7"/>
    <w:rsid w:val="00FD3E7A"/>
    <w:rsid w:val="00FD4065"/>
    <w:rsid w:val="00FD416B"/>
    <w:rsid w:val="00FD43F0"/>
    <w:rsid w:val="00FD485A"/>
    <w:rsid w:val="00FD4965"/>
    <w:rsid w:val="00FD49F5"/>
    <w:rsid w:val="00FD4B75"/>
    <w:rsid w:val="00FD4D05"/>
    <w:rsid w:val="00FD4DDB"/>
    <w:rsid w:val="00FD4F3E"/>
    <w:rsid w:val="00FD518A"/>
    <w:rsid w:val="00FD52C4"/>
    <w:rsid w:val="00FD545F"/>
    <w:rsid w:val="00FD56CA"/>
    <w:rsid w:val="00FD5740"/>
    <w:rsid w:val="00FD598B"/>
    <w:rsid w:val="00FD599D"/>
    <w:rsid w:val="00FD59A3"/>
    <w:rsid w:val="00FD624B"/>
    <w:rsid w:val="00FD6289"/>
    <w:rsid w:val="00FD62E3"/>
    <w:rsid w:val="00FD63A8"/>
    <w:rsid w:val="00FD63EC"/>
    <w:rsid w:val="00FD644E"/>
    <w:rsid w:val="00FD6459"/>
    <w:rsid w:val="00FD697F"/>
    <w:rsid w:val="00FD6AF4"/>
    <w:rsid w:val="00FD711D"/>
    <w:rsid w:val="00FD7324"/>
    <w:rsid w:val="00FD7332"/>
    <w:rsid w:val="00FD738E"/>
    <w:rsid w:val="00FD7636"/>
    <w:rsid w:val="00FD7E38"/>
    <w:rsid w:val="00FD7F53"/>
    <w:rsid w:val="00FE0287"/>
    <w:rsid w:val="00FE033F"/>
    <w:rsid w:val="00FE084E"/>
    <w:rsid w:val="00FE0A6E"/>
    <w:rsid w:val="00FE0F15"/>
    <w:rsid w:val="00FE0F2B"/>
    <w:rsid w:val="00FE0FCF"/>
    <w:rsid w:val="00FE10A9"/>
    <w:rsid w:val="00FE14A7"/>
    <w:rsid w:val="00FE14E4"/>
    <w:rsid w:val="00FE16F2"/>
    <w:rsid w:val="00FE173A"/>
    <w:rsid w:val="00FE194A"/>
    <w:rsid w:val="00FE1A20"/>
    <w:rsid w:val="00FE1B26"/>
    <w:rsid w:val="00FE2028"/>
    <w:rsid w:val="00FE219E"/>
    <w:rsid w:val="00FE21C9"/>
    <w:rsid w:val="00FE2251"/>
    <w:rsid w:val="00FE22BB"/>
    <w:rsid w:val="00FE231B"/>
    <w:rsid w:val="00FE259E"/>
    <w:rsid w:val="00FE25B7"/>
    <w:rsid w:val="00FE28BC"/>
    <w:rsid w:val="00FE28D4"/>
    <w:rsid w:val="00FE2ABF"/>
    <w:rsid w:val="00FE2DAD"/>
    <w:rsid w:val="00FE2DCE"/>
    <w:rsid w:val="00FE2E46"/>
    <w:rsid w:val="00FE2EC0"/>
    <w:rsid w:val="00FE30F7"/>
    <w:rsid w:val="00FE36D3"/>
    <w:rsid w:val="00FE3955"/>
    <w:rsid w:val="00FE3F13"/>
    <w:rsid w:val="00FE4000"/>
    <w:rsid w:val="00FE40A5"/>
    <w:rsid w:val="00FE42F0"/>
    <w:rsid w:val="00FE4506"/>
    <w:rsid w:val="00FE477D"/>
    <w:rsid w:val="00FE4794"/>
    <w:rsid w:val="00FE4869"/>
    <w:rsid w:val="00FE4894"/>
    <w:rsid w:val="00FE4AB1"/>
    <w:rsid w:val="00FE4AE7"/>
    <w:rsid w:val="00FE4BFF"/>
    <w:rsid w:val="00FE513E"/>
    <w:rsid w:val="00FE51CF"/>
    <w:rsid w:val="00FE582B"/>
    <w:rsid w:val="00FE5A53"/>
    <w:rsid w:val="00FE60C3"/>
    <w:rsid w:val="00FE613E"/>
    <w:rsid w:val="00FE674B"/>
    <w:rsid w:val="00FE6AF9"/>
    <w:rsid w:val="00FE6CD5"/>
    <w:rsid w:val="00FE6D1F"/>
    <w:rsid w:val="00FE6E43"/>
    <w:rsid w:val="00FE7094"/>
    <w:rsid w:val="00FE70A9"/>
    <w:rsid w:val="00FE757A"/>
    <w:rsid w:val="00FE7AE6"/>
    <w:rsid w:val="00FE7C81"/>
    <w:rsid w:val="00FE7D25"/>
    <w:rsid w:val="00FF008E"/>
    <w:rsid w:val="00FF01BA"/>
    <w:rsid w:val="00FF021D"/>
    <w:rsid w:val="00FF03FD"/>
    <w:rsid w:val="00FF0465"/>
    <w:rsid w:val="00FF04BC"/>
    <w:rsid w:val="00FF05D9"/>
    <w:rsid w:val="00FF0ACA"/>
    <w:rsid w:val="00FF0C2E"/>
    <w:rsid w:val="00FF0D61"/>
    <w:rsid w:val="00FF0DB5"/>
    <w:rsid w:val="00FF0E39"/>
    <w:rsid w:val="00FF176A"/>
    <w:rsid w:val="00FF19A3"/>
    <w:rsid w:val="00FF19B2"/>
    <w:rsid w:val="00FF1A17"/>
    <w:rsid w:val="00FF1C0A"/>
    <w:rsid w:val="00FF1F9F"/>
    <w:rsid w:val="00FF23A6"/>
    <w:rsid w:val="00FF2400"/>
    <w:rsid w:val="00FF2489"/>
    <w:rsid w:val="00FF24DC"/>
    <w:rsid w:val="00FF2627"/>
    <w:rsid w:val="00FF284E"/>
    <w:rsid w:val="00FF286F"/>
    <w:rsid w:val="00FF2CE8"/>
    <w:rsid w:val="00FF2E20"/>
    <w:rsid w:val="00FF32DA"/>
    <w:rsid w:val="00FF3A23"/>
    <w:rsid w:val="00FF3BD2"/>
    <w:rsid w:val="00FF3BD9"/>
    <w:rsid w:val="00FF3E14"/>
    <w:rsid w:val="00FF3F53"/>
    <w:rsid w:val="00FF4312"/>
    <w:rsid w:val="00FF4426"/>
    <w:rsid w:val="00FF4486"/>
    <w:rsid w:val="00FF44CD"/>
    <w:rsid w:val="00FF476D"/>
    <w:rsid w:val="00FF4A06"/>
    <w:rsid w:val="00FF4A48"/>
    <w:rsid w:val="00FF4B3B"/>
    <w:rsid w:val="00FF4E7F"/>
    <w:rsid w:val="00FF5129"/>
    <w:rsid w:val="00FF51C1"/>
    <w:rsid w:val="00FF5859"/>
    <w:rsid w:val="00FF5995"/>
    <w:rsid w:val="00FF5A1C"/>
    <w:rsid w:val="00FF5C72"/>
    <w:rsid w:val="00FF5FD3"/>
    <w:rsid w:val="00FF6619"/>
    <w:rsid w:val="00FF68AB"/>
    <w:rsid w:val="00FF6D6F"/>
    <w:rsid w:val="00FF6DC8"/>
    <w:rsid w:val="00FF6EE2"/>
    <w:rsid w:val="00FF705D"/>
    <w:rsid w:val="00FF73CC"/>
    <w:rsid w:val="00FF776C"/>
    <w:rsid w:val="00FF7917"/>
    <w:rsid w:val="00FF7932"/>
    <w:rsid w:val="00FF7952"/>
    <w:rsid w:val="00FF796A"/>
    <w:rsid w:val="00FF7BDB"/>
    <w:rsid w:val="00FF7F9B"/>
    <w:rsid w:val="0138133B"/>
    <w:rsid w:val="0147B99C"/>
    <w:rsid w:val="01800221"/>
    <w:rsid w:val="020ED4FF"/>
    <w:rsid w:val="0235C68A"/>
    <w:rsid w:val="02479CB6"/>
    <w:rsid w:val="02582E20"/>
    <w:rsid w:val="02EF6882"/>
    <w:rsid w:val="03C7DC82"/>
    <w:rsid w:val="040B8896"/>
    <w:rsid w:val="042DB683"/>
    <w:rsid w:val="04F27608"/>
    <w:rsid w:val="05167486"/>
    <w:rsid w:val="060F5433"/>
    <w:rsid w:val="072BA65D"/>
    <w:rsid w:val="072D2F83"/>
    <w:rsid w:val="078B8B59"/>
    <w:rsid w:val="079E47B9"/>
    <w:rsid w:val="07E12564"/>
    <w:rsid w:val="08ABDFB1"/>
    <w:rsid w:val="08EEB427"/>
    <w:rsid w:val="0907344D"/>
    <w:rsid w:val="091E6102"/>
    <w:rsid w:val="0A7BEB9C"/>
    <w:rsid w:val="0AB97D85"/>
    <w:rsid w:val="0B441D4D"/>
    <w:rsid w:val="0C6D730D"/>
    <w:rsid w:val="0D588548"/>
    <w:rsid w:val="0D674237"/>
    <w:rsid w:val="0D8BF2F8"/>
    <w:rsid w:val="0E5BF1D9"/>
    <w:rsid w:val="0EC55A91"/>
    <w:rsid w:val="0FA23284"/>
    <w:rsid w:val="10328C30"/>
    <w:rsid w:val="1069E682"/>
    <w:rsid w:val="10E9837A"/>
    <w:rsid w:val="11420EA4"/>
    <w:rsid w:val="11623586"/>
    <w:rsid w:val="11F6020E"/>
    <w:rsid w:val="127B58CE"/>
    <w:rsid w:val="12808199"/>
    <w:rsid w:val="1364353B"/>
    <w:rsid w:val="13EF80E2"/>
    <w:rsid w:val="1526FD03"/>
    <w:rsid w:val="16157C8A"/>
    <w:rsid w:val="16B18FEF"/>
    <w:rsid w:val="1736ECE4"/>
    <w:rsid w:val="173CA427"/>
    <w:rsid w:val="1805CF13"/>
    <w:rsid w:val="1835F661"/>
    <w:rsid w:val="18ADA3B8"/>
    <w:rsid w:val="18C5D5EE"/>
    <w:rsid w:val="18D687AB"/>
    <w:rsid w:val="191B977A"/>
    <w:rsid w:val="197814CE"/>
    <w:rsid w:val="1C5610EE"/>
    <w:rsid w:val="1C5DC4B0"/>
    <w:rsid w:val="1D2684BD"/>
    <w:rsid w:val="1DC05542"/>
    <w:rsid w:val="1ECBADDB"/>
    <w:rsid w:val="1F12DA98"/>
    <w:rsid w:val="1F891C6A"/>
    <w:rsid w:val="1F978EC5"/>
    <w:rsid w:val="204F7C39"/>
    <w:rsid w:val="2050B3E6"/>
    <w:rsid w:val="206ED80B"/>
    <w:rsid w:val="209ED0C1"/>
    <w:rsid w:val="2298E790"/>
    <w:rsid w:val="230BAA27"/>
    <w:rsid w:val="239CEB16"/>
    <w:rsid w:val="23DA998C"/>
    <w:rsid w:val="244DD05E"/>
    <w:rsid w:val="24A9799D"/>
    <w:rsid w:val="24F4B636"/>
    <w:rsid w:val="261E0224"/>
    <w:rsid w:val="2649AAB4"/>
    <w:rsid w:val="265003A8"/>
    <w:rsid w:val="26825029"/>
    <w:rsid w:val="27C452BC"/>
    <w:rsid w:val="27E17237"/>
    <w:rsid w:val="27F2AF88"/>
    <w:rsid w:val="291A8655"/>
    <w:rsid w:val="294C636B"/>
    <w:rsid w:val="29A653D7"/>
    <w:rsid w:val="29A7D35E"/>
    <w:rsid w:val="29B037C0"/>
    <w:rsid w:val="29C0126E"/>
    <w:rsid w:val="29C4E1C6"/>
    <w:rsid w:val="29C637F4"/>
    <w:rsid w:val="2AC78645"/>
    <w:rsid w:val="2BF1EC5B"/>
    <w:rsid w:val="2C21AC21"/>
    <w:rsid w:val="2D517E60"/>
    <w:rsid w:val="2E499179"/>
    <w:rsid w:val="2E6585FA"/>
    <w:rsid w:val="2F55483E"/>
    <w:rsid w:val="2F57E0B1"/>
    <w:rsid w:val="300649E9"/>
    <w:rsid w:val="30366E99"/>
    <w:rsid w:val="3047D676"/>
    <w:rsid w:val="30BB2317"/>
    <w:rsid w:val="30C297E6"/>
    <w:rsid w:val="31054505"/>
    <w:rsid w:val="3127A137"/>
    <w:rsid w:val="3170BA37"/>
    <w:rsid w:val="319687F6"/>
    <w:rsid w:val="325AD231"/>
    <w:rsid w:val="32BACCF9"/>
    <w:rsid w:val="32E3E414"/>
    <w:rsid w:val="3304DA54"/>
    <w:rsid w:val="3317441B"/>
    <w:rsid w:val="331FABBB"/>
    <w:rsid w:val="332EF8EC"/>
    <w:rsid w:val="337B0583"/>
    <w:rsid w:val="3397B0DC"/>
    <w:rsid w:val="33994F0B"/>
    <w:rsid w:val="33F826D5"/>
    <w:rsid w:val="3435DC06"/>
    <w:rsid w:val="349F895A"/>
    <w:rsid w:val="34D59CBB"/>
    <w:rsid w:val="35B8217E"/>
    <w:rsid w:val="35CBBA35"/>
    <w:rsid w:val="364A63E7"/>
    <w:rsid w:val="372398BB"/>
    <w:rsid w:val="3817077B"/>
    <w:rsid w:val="3928BBE9"/>
    <w:rsid w:val="398144F8"/>
    <w:rsid w:val="3A7CE148"/>
    <w:rsid w:val="3B3F7CF1"/>
    <w:rsid w:val="3BD12ADD"/>
    <w:rsid w:val="3C25D5A6"/>
    <w:rsid w:val="3C64CB92"/>
    <w:rsid w:val="3D7F6707"/>
    <w:rsid w:val="3E322049"/>
    <w:rsid w:val="3FA861A4"/>
    <w:rsid w:val="3FBA5BE9"/>
    <w:rsid w:val="411E2C22"/>
    <w:rsid w:val="417C5769"/>
    <w:rsid w:val="41DA76B5"/>
    <w:rsid w:val="423AE578"/>
    <w:rsid w:val="424D9F82"/>
    <w:rsid w:val="42B589BF"/>
    <w:rsid w:val="42E1E78F"/>
    <w:rsid w:val="43784E09"/>
    <w:rsid w:val="4394FE1E"/>
    <w:rsid w:val="45337CDD"/>
    <w:rsid w:val="4648002E"/>
    <w:rsid w:val="4670FED6"/>
    <w:rsid w:val="46DD30D0"/>
    <w:rsid w:val="4770EE47"/>
    <w:rsid w:val="47BA8DED"/>
    <w:rsid w:val="4870D8B9"/>
    <w:rsid w:val="494A7852"/>
    <w:rsid w:val="4B2719B7"/>
    <w:rsid w:val="4BB1A4E9"/>
    <w:rsid w:val="4CE81C55"/>
    <w:rsid w:val="4D9840B6"/>
    <w:rsid w:val="4DC57972"/>
    <w:rsid w:val="4DE26774"/>
    <w:rsid w:val="4DE86FEA"/>
    <w:rsid w:val="4DF8E173"/>
    <w:rsid w:val="4E38055B"/>
    <w:rsid w:val="5071A5B5"/>
    <w:rsid w:val="50B8834C"/>
    <w:rsid w:val="50F3D3E2"/>
    <w:rsid w:val="51203AE7"/>
    <w:rsid w:val="52C13090"/>
    <w:rsid w:val="5303D532"/>
    <w:rsid w:val="541BCAC3"/>
    <w:rsid w:val="548045A4"/>
    <w:rsid w:val="55474C58"/>
    <w:rsid w:val="5552EEB0"/>
    <w:rsid w:val="55668E09"/>
    <w:rsid w:val="55C00B00"/>
    <w:rsid w:val="56311EEF"/>
    <w:rsid w:val="5647521B"/>
    <w:rsid w:val="567CA564"/>
    <w:rsid w:val="567CFBD9"/>
    <w:rsid w:val="56BA4D1C"/>
    <w:rsid w:val="56BCDFCF"/>
    <w:rsid w:val="576AAE76"/>
    <w:rsid w:val="57CBA3BA"/>
    <w:rsid w:val="57E14ADA"/>
    <w:rsid w:val="588A33CB"/>
    <w:rsid w:val="5A2BC772"/>
    <w:rsid w:val="5A652CA9"/>
    <w:rsid w:val="5B9904C9"/>
    <w:rsid w:val="5BAC8646"/>
    <w:rsid w:val="5C00D5F9"/>
    <w:rsid w:val="5CB063C4"/>
    <w:rsid w:val="5CC8FEFE"/>
    <w:rsid w:val="5D9160DF"/>
    <w:rsid w:val="5E082545"/>
    <w:rsid w:val="5EB64392"/>
    <w:rsid w:val="5F52A2A5"/>
    <w:rsid w:val="5F98D755"/>
    <w:rsid w:val="60AE78A5"/>
    <w:rsid w:val="60DE5713"/>
    <w:rsid w:val="61F6FEA7"/>
    <w:rsid w:val="61FBDC66"/>
    <w:rsid w:val="626E1D94"/>
    <w:rsid w:val="62CCC409"/>
    <w:rsid w:val="62F05738"/>
    <w:rsid w:val="62F5A773"/>
    <w:rsid w:val="63115125"/>
    <w:rsid w:val="643EA411"/>
    <w:rsid w:val="64675AE2"/>
    <w:rsid w:val="657B8FB2"/>
    <w:rsid w:val="658EB6F3"/>
    <w:rsid w:val="66AA2587"/>
    <w:rsid w:val="67377502"/>
    <w:rsid w:val="678799AF"/>
    <w:rsid w:val="678FEA01"/>
    <w:rsid w:val="6887BAB5"/>
    <w:rsid w:val="68F2F926"/>
    <w:rsid w:val="693DA65D"/>
    <w:rsid w:val="69C80416"/>
    <w:rsid w:val="6AD334BE"/>
    <w:rsid w:val="6CB058BF"/>
    <w:rsid w:val="6CD14E8A"/>
    <w:rsid w:val="6D2B4194"/>
    <w:rsid w:val="6DC6BBC2"/>
    <w:rsid w:val="6E3D9560"/>
    <w:rsid w:val="6EB309FF"/>
    <w:rsid w:val="6EB962F3"/>
    <w:rsid w:val="6F1CFDBC"/>
    <w:rsid w:val="6F3AD309"/>
    <w:rsid w:val="6FC2EBAE"/>
    <w:rsid w:val="7044F6FA"/>
    <w:rsid w:val="7082C216"/>
    <w:rsid w:val="7172CC9B"/>
    <w:rsid w:val="73290DB2"/>
    <w:rsid w:val="73982796"/>
    <w:rsid w:val="74005E7C"/>
    <w:rsid w:val="74471853"/>
    <w:rsid w:val="77034508"/>
    <w:rsid w:val="772C8480"/>
    <w:rsid w:val="773E23FE"/>
    <w:rsid w:val="776ABCD9"/>
    <w:rsid w:val="77972541"/>
    <w:rsid w:val="77BEF7C4"/>
    <w:rsid w:val="7803E61D"/>
    <w:rsid w:val="78DB1AB9"/>
    <w:rsid w:val="7A90E75D"/>
    <w:rsid w:val="7A99CE05"/>
    <w:rsid w:val="7AC0E02F"/>
    <w:rsid w:val="7B380C39"/>
    <w:rsid w:val="7BE1C743"/>
    <w:rsid w:val="7C4B7B95"/>
    <w:rsid w:val="7C630C22"/>
    <w:rsid w:val="7C7EBA7D"/>
    <w:rsid w:val="7C8D4D15"/>
    <w:rsid w:val="7CDC1FB3"/>
    <w:rsid w:val="7CE914FC"/>
    <w:rsid w:val="7D92C5F4"/>
    <w:rsid w:val="7DD315EB"/>
    <w:rsid w:val="7EF88AAA"/>
    <w:rsid w:val="7F4BE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AF84EC6B-F5C6-4EC5-B777-87F651D1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rsid w:val="009B7138"/>
    <w:pPr>
      <w:keepNext/>
      <w:numPr>
        <w:numId w:val="5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5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52"/>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52"/>
      </w:numPr>
      <w:outlineLvl w:val="3"/>
    </w:pPr>
    <w:rPr>
      <w:rFonts w:eastAsiaTheme="majorEastAsia"/>
      <w:bCs/>
      <w:iCs/>
    </w:rPr>
  </w:style>
  <w:style w:type="paragraph" w:styleId="Heading5">
    <w:name w:val="heading 5"/>
    <w:basedOn w:val="Normal"/>
    <w:next w:val="Text2"/>
    <w:link w:val="Heading5Char"/>
    <w:uiPriority w:val="9"/>
    <w:semiHidden/>
    <w:unhideWhenUsed/>
    <w:qFormat/>
    <w:rsid w:val="00D21C28"/>
    <w:pPr>
      <w:keepNext/>
      <w:numPr>
        <w:ilvl w:val="4"/>
        <w:numId w:val="52"/>
      </w:numPr>
      <w:outlineLvl w:val="4"/>
    </w:pPr>
    <w:rPr>
      <w:rFonts w:eastAsiaTheme="majorEastAsia"/>
    </w:rPr>
  </w:style>
  <w:style w:type="paragraph" w:styleId="Heading6">
    <w:name w:val="heading 6"/>
    <w:basedOn w:val="Normal"/>
    <w:next w:val="Text2"/>
    <w:link w:val="Heading6Char"/>
    <w:uiPriority w:val="9"/>
    <w:semiHidden/>
    <w:unhideWhenUsed/>
    <w:qFormat/>
    <w:rsid w:val="00D21C28"/>
    <w:pPr>
      <w:keepNext/>
      <w:numPr>
        <w:ilvl w:val="5"/>
        <w:numId w:val="52"/>
      </w:numPr>
      <w:outlineLvl w:val="5"/>
    </w:pPr>
    <w:rPr>
      <w:rFonts w:eastAsiaTheme="majorEastAsia"/>
      <w:iCs/>
    </w:rPr>
  </w:style>
  <w:style w:type="paragraph" w:styleId="Heading7">
    <w:name w:val="heading 7"/>
    <w:basedOn w:val="Normal"/>
    <w:next w:val="Text2"/>
    <w:link w:val="Heading7Char"/>
    <w:uiPriority w:val="9"/>
    <w:semiHidden/>
    <w:unhideWhenUsed/>
    <w:qFormat/>
    <w:rsid w:val="00D21C28"/>
    <w:pPr>
      <w:keepNext/>
      <w:numPr>
        <w:ilvl w:val="6"/>
        <w:numId w:val="5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5D3E76"/>
    <w:pPr>
      <w:numPr>
        <w:numId w:val="6"/>
      </w:numPr>
      <w:tabs>
        <w:tab w:val="num" w:pos="0"/>
      </w:tabs>
      <w:ind w:left="567" w:hanging="567"/>
    </w:pPr>
    <w:rPr>
      <w:rFonts w:eastAsia="Times New Roman"/>
      <w:lang w:eastAsia="en-GB"/>
    </w:rPr>
  </w:style>
  <w:style w:type="paragraph" w:styleId="ListNumber4">
    <w:name w:val="List Number 4"/>
    <w:basedOn w:val="Normal"/>
    <w:rsid w:val="0080592F"/>
    <w:pPr>
      <w:tabs>
        <w:tab w:val="num" w:pos="1209"/>
      </w:tabs>
      <w:ind w:left="1209" w:hanging="360"/>
    </w:pPr>
    <w:rPr>
      <w:rFonts w:eastAsia="Times New Roman"/>
      <w:lang w:eastAsia="en-GB"/>
    </w:rPr>
  </w:style>
  <w:style w:type="character" w:styleId="Hyperlink">
    <w:name w:val="Hyperlink"/>
    <w:rsid w:val="0080592F"/>
    <w:rPr>
      <w:color w:val="0000FF"/>
      <w:u w:val="single"/>
      <w:shd w:val="clear" w:color="auto" w:fill="auto"/>
    </w:rPr>
  </w:style>
  <w:style w:type="paragraph" w:styleId="ListBullet">
    <w:name w:val="List Bullet"/>
    <w:basedOn w:val="Normal"/>
    <w:uiPriority w:val="99"/>
    <w:unhideWhenUsed/>
    <w:rsid w:val="00B91A21"/>
    <w:pPr>
      <w:numPr>
        <w:numId w:val="1"/>
      </w:numPr>
      <w:contextualSpacing/>
    </w:pPr>
  </w:style>
  <w:style w:type="paragraph" w:styleId="ListBullet2">
    <w:name w:val="List Bullet 2"/>
    <w:basedOn w:val="Normal"/>
    <w:uiPriority w:val="99"/>
    <w:semiHidden/>
    <w:unhideWhenUsed/>
    <w:rsid w:val="00B91A21"/>
    <w:pPr>
      <w:numPr>
        <w:numId w:val="2"/>
      </w:numPr>
      <w:contextualSpacing/>
    </w:pPr>
  </w:style>
  <w:style w:type="paragraph" w:styleId="ListBullet3">
    <w:name w:val="List Bullet 3"/>
    <w:basedOn w:val="Normal"/>
    <w:uiPriority w:val="99"/>
    <w:semiHidden/>
    <w:unhideWhenUsed/>
    <w:rsid w:val="00B91A21"/>
    <w:pPr>
      <w:tabs>
        <w:tab w:val="num" w:pos="926"/>
      </w:tabs>
      <w:ind w:left="926" w:hanging="360"/>
      <w:contextualSpacing/>
    </w:pPr>
  </w:style>
  <w:style w:type="paragraph" w:styleId="ListBullet4">
    <w:name w:val="List Bullet 4"/>
    <w:basedOn w:val="Normal"/>
    <w:uiPriority w:val="99"/>
    <w:unhideWhenUsed/>
    <w:rsid w:val="00B91A21"/>
    <w:pPr>
      <w:tabs>
        <w:tab w:val="num" w:pos="1209"/>
      </w:tabs>
      <w:ind w:left="1209" w:hanging="360"/>
      <w:contextualSpacing/>
    </w:pPr>
  </w:style>
  <w:style w:type="paragraph" w:styleId="BalloonText">
    <w:name w:val="Balloon Text"/>
    <w:basedOn w:val="Normal"/>
    <w:link w:val="BalloonTextChar"/>
    <w:uiPriority w:val="99"/>
    <w:semiHidden/>
    <w:unhideWhenUsed/>
    <w:rsid w:val="00023F1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F12"/>
    <w:rPr>
      <w:rFonts w:ascii="Segoe UI" w:hAnsi="Segoe UI" w:cs="Segoe UI"/>
      <w:sz w:val="18"/>
      <w:szCs w:val="18"/>
      <w:lang w:val="pl-PL"/>
    </w:rPr>
  </w:style>
  <w:style w:type="paragraph" w:styleId="NormalWeb">
    <w:name w:val="Normal (Web)"/>
    <w:basedOn w:val="Normal"/>
    <w:uiPriority w:val="99"/>
    <w:unhideWhenUsed/>
    <w:rsid w:val="00023F12"/>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unhideWhenUsed/>
    <w:qFormat/>
    <w:rsid w:val="003168EC"/>
    <w:rPr>
      <w:sz w:val="16"/>
      <w:szCs w:val="16"/>
    </w:rPr>
  </w:style>
  <w:style w:type="paragraph" w:styleId="CommentText">
    <w:name w:val="annotation text"/>
    <w:basedOn w:val="Normal"/>
    <w:link w:val="CommentTextChar"/>
    <w:uiPriority w:val="99"/>
    <w:unhideWhenUsed/>
    <w:qFormat/>
    <w:rsid w:val="003168EC"/>
    <w:rPr>
      <w:sz w:val="20"/>
      <w:szCs w:val="20"/>
    </w:rPr>
  </w:style>
  <w:style w:type="character" w:customStyle="1" w:styleId="CommentTextChar">
    <w:name w:val="Comment Text Char"/>
    <w:basedOn w:val="DefaultParagraphFont"/>
    <w:link w:val="CommentText"/>
    <w:uiPriority w:val="99"/>
    <w:rsid w:val="003168EC"/>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sid w:val="003168EC"/>
    <w:rPr>
      <w:b/>
      <w:bCs/>
    </w:rPr>
  </w:style>
  <w:style w:type="character" w:customStyle="1" w:styleId="CommentSubjectChar">
    <w:name w:val="Comment Subject Char"/>
    <w:basedOn w:val="CommentTextChar"/>
    <w:link w:val="CommentSubject"/>
    <w:uiPriority w:val="99"/>
    <w:semiHidden/>
    <w:rsid w:val="003168EC"/>
    <w:rPr>
      <w:rFonts w:ascii="Times New Roman" w:hAnsi="Times New Roman" w:cs="Times New Roman"/>
      <w:b/>
      <w:bCs/>
      <w:sz w:val="20"/>
      <w:szCs w:val="20"/>
      <w:lang w:val="pl-PL"/>
    </w:rPr>
  </w:style>
  <w:style w:type="paragraph" w:styleId="ListParagraph">
    <w:name w:val="List Paragraph"/>
    <w:aliases w:val="Paragraphe EI,Paragraphe de liste1,EC,Paragraphe de liste,Issue Action POC,List Paragraph1,3,POCG Table Text,Dot pt,F5 List Paragraph,List Paragraph Char Char Char,Indicator Text,Colorful List - Accent 11,Numbered Para 1,Bullet Points,L"/>
    <w:basedOn w:val="Normal"/>
    <w:link w:val="ListParagraphChar"/>
    <w:uiPriority w:val="34"/>
    <w:qFormat/>
    <w:rsid w:val="00646441"/>
    <w:pPr>
      <w:ind w:left="720"/>
      <w:contextualSpacing/>
    </w:pPr>
  </w:style>
  <w:style w:type="table" w:styleId="MediumList1">
    <w:name w:val="Medium List 1"/>
    <w:basedOn w:val="TableNormal"/>
    <w:uiPriority w:val="65"/>
    <w:semiHidden/>
    <w:unhideWhenUsed/>
    <w:rsid w:val="004E63F0"/>
    <w:pPr>
      <w:spacing w:after="0" w:line="240" w:lineRule="auto"/>
    </w:pPr>
    <w:rPr>
      <w:color w:val="000000" w:themeColor="text1"/>
      <w:sz w:val="20"/>
      <w:szCs w:val="20"/>
      <w:lang w:val="pl-PL" w:eastAsia="fr-B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ListNumber5">
    <w:name w:val="List Number 5"/>
    <w:basedOn w:val="Normal"/>
    <w:uiPriority w:val="99"/>
    <w:unhideWhenUsed/>
    <w:rsid w:val="004E63F0"/>
    <w:pPr>
      <w:tabs>
        <w:tab w:val="num" w:pos="1492"/>
      </w:tabs>
      <w:ind w:left="1492" w:hanging="360"/>
      <w:contextualSpacing/>
    </w:pPr>
  </w:style>
  <w:style w:type="table" w:styleId="MediumList1-Accent5">
    <w:name w:val="Medium List 1 Accent 5"/>
    <w:basedOn w:val="TableNormal"/>
    <w:uiPriority w:val="65"/>
    <w:semiHidden/>
    <w:unhideWhenUsed/>
    <w:rsid w:val="00E20DBE"/>
    <w:pPr>
      <w:spacing w:after="0" w:line="240" w:lineRule="auto"/>
    </w:pPr>
    <w:rPr>
      <w:color w:val="000000" w:themeColor="text1"/>
      <w:sz w:val="20"/>
      <w:szCs w:val="20"/>
      <w:lang w:val="pl-PL" w:eastAsia="fr-B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Normal1">
    <w:name w:val="Normal1"/>
    <w:basedOn w:val="Normal"/>
    <w:rsid w:val="00AB13B6"/>
    <w:pPr>
      <w:spacing w:before="100" w:beforeAutospacing="1" w:after="100" w:afterAutospacing="1"/>
      <w:jc w:val="left"/>
    </w:pPr>
    <w:rPr>
      <w:rFonts w:eastAsia="Times New Roman"/>
      <w:szCs w:val="24"/>
      <w:lang w:eastAsia="fr-BE"/>
    </w:rPr>
  </w:style>
  <w:style w:type="paragraph" w:styleId="Revision">
    <w:name w:val="Revision"/>
    <w:hidden/>
    <w:uiPriority w:val="99"/>
    <w:semiHidden/>
    <w:rsid w:val="00A052B1"/>
    <w:pPr>
      <w:spacing w:after="0" w:line="240" w:lineRule="auto"/>
    </w:pPr>
    <w:rPr>
      <w:rFonts w:ascii="Times New Roman" w:hAnsi="Times New Roman" w:cs="Times New Roman"/>
      <w:sz w:val="24"/>
    </w:rPr>
  </w:style>
  <w:style w:type="paragraph" w:styleId="List4">
    <w:name w:val="List 4"/>
    <w:basedOn w:val="Normal"/>
    <w:uiPriority w:val="99"/>
    <w:semiHidden/>
    <w:unhideWhenUsed/>
    <w:rsid w:val="00614862"/>
    <w:pPr>
      <w:ind w:left="1132" w:hanging="283"/>
      <w:contextualSpacing/>
    </w:pPr>
  </w:style>
  <w:style w:type="character" w:styleId="Strong">
    <w:name w:val="Strong"/>
    <w:basedOn w:val="DefaultParagraphFont"/>
    <w:uiPriority w:val="22"/>
    <w:qFormat/>
    <w:rsid w:val="00C814E9"/>
    <w:rPr>
      <w:b/>
      <w:bCs/>
    </w:rPr>
  </w:style>
  <w:style w:type="paragraph" w:customStyle="1" w:styleId="Normal2">
    <w:name w:val="Normal2"/>
    <w:basedOn w:val="Normal"/>
    <w:rsid w:val="004E7AE6"/>
    <w:pPr>
      <w:spacing w:before="100" w:beforeAutospacing="1" w:after="100" w:afterAutospacing="1"/>
      <w:jc w:val="left"/>
    </w:pPr>
    <w:rPr>
      <w:rFonts w:eastAsia="Times New Roman"/>
      <w:szCs w:val="24"/>
      <w:lang w:eastAsia="en-GB"/>
    </w:rPr>
  </w:style>
  <w:style w:type="character" w:customStyle="1" w:styleId="ListParagraphChar">
    <w:name w:val="List Paragraph Char"/>
    <w:aliases w:val="Paragraphe EI Char,Paragraphe de liste1 Char,EC Char,Paragraphe de liste Char,Issue Action POC Char,List Paragraph1 Char,3 Char,POCG Table Text Char,Dot pt Char,F5 List Paragraph Char,List Paragraph Char Char Char Char,L Char"/>
    <w:link w:val="ListParagraph"/>
    <w:uiPriority w:val="34"/>
    <w:qFormat/>
    <w:locked/>
    <w:rsid w:val="00920559"/>
    <w:rPr>
      <w:rFonts w:ascii="Times New Roman" w:hAnsi="Times New Roman" w:cs="Times New Roman"/>
      <w:sz w:val="24"/>
      <w:lang w:val="pl-PL"/>
    </w:rPr>
  </w:style>
  <w:style w:type="paragraph" w:customStyle="1" w:styleId="ti-art">
    <w:name w:val="ti-art"/>
    <w:basedOn w:val="Normal"/>
    <w:rsid w:val="00265D15"/>
    <w:pPr>
      <w:spacing w:before="100" w:beforeAutospacing="1" w:after="100" w:afterAutospacing="1"/>
      <w:jc w:val="left"/>
    </w:pPr>
    <w:rPr>
      <w:rFonts w:eastAsia="Times New Roman"/>
      <w:szCs w:val="24"/>
      <w:lang w:eastAsia="en-GB"/>
    </w:rPr>
  </w:style>
  <w:style w:type="paragraph" w:customStyle="1" w:styleId="TOCAnnex2">
    <w:name w:val="TOC Annex 2"/>
    <w:basedOn w:val="TOC2"/>
    <w:qFormat/>
    <w:rsid w:val="00B64742"/>
    <w:pPr>
      <w:tabs>
        <w:tab w:val="clear" w:pos="9071"/>
        <w:tab w:val="left" w:pos="1077"/>
        <w:tab w:val="right" w:leader="dot" w:pos="8789"/>
      </w:tabs>
      <w:spacing w:after="60"/>
      <w:ind w:left="1077" w:right="720" w:hanging="595"/>
      <w:jc w:val="both"/>
    </w:pPr>
    <w:rPr>
      <w:rFonts w:eastAsia="Times New Roman"/>
      <w:noProof/>
      <w:szCs w:val="24"/>
    </w:rPr>
  </w:style>
  <w:style w:type="paragraph" w:customStyle="1" w:styleId="norm">
    <w:name w:val="norm"/>
    <w:basedOn w:val="Normal"/>
    <w:rsid w:val="00577E02"/>
    <w:pPr>
      <w:spacing w:before="100" w:beforeAutospacing="1" w:after="100" w:afterAutospacing="1"/>
      <w:jc w:val="left"/>
    </w:pPr>
    <w:rPr>
      <w:rFonts w:eastAsia="Times New Roman"/>
      <w:szCs w:val="24"/>
      <w:lang w:eastAsia="fr-BE"/>
    </w:rPr>
  </w:style>
  <w:style w:type="paragraph" w:customStyle="1" w:styleId="Normal3">
    <w:name w:val="Normal3"/>
    <w:basedOn w:val="Normal"/>
    <w:rsid w:val="0098153E"/>
    <w:pPr>
      <w:spacing w:before="100" w:beforeAutospacing="1" w:after="100" w:afterAutospacing="1"/>
      <w:jc w:val="left"/>
    </w:pPr>
    <w:rPr>
      <w:rFonts w:eastAsia="Times New Roman"/>
      <w:szCs w:val="24"/>
      <w:lang w:eastAsia="fr-BE"/>
    </w:rPr>
  </w:style>
  <w:style w:type="table" w:customStyle="1" w:styleId="Style1">
    <w:name w:val="Style1"/>
    <w:basedOn w:val="TableNormal"/>
    <w:uiPriority w:val="99"/>
    <w:rsid w:val="002E5272"/>
    <w:pPr>
      <w:spacing w:after="0" w:line="240" w:lineRule="auto"/>
    </w:pPr>
    <w:tblPr/>
  </w:style>
  <w:style w:type="paragraph" w:customStyle="1" w:styleId="ListDash1">
    <w:name w:val="List Dash 1"/>
    <w:basedOn w:val="Text1"/>
    <w:rsid w:val="00937B70"/>
    <w:pPr>
      <w:tabs>
        <w:tab w:val="num" w:pos="765"/>
      </w:tabs>
      <w:spacing w:before="0" w:after="200" w:line="276" w:lineRule="auto"/>
      <w:ind w:left="765" w:hanging="283"/>
    </w:pPr>
    <w:rPr>
      <w:rFonts w:eastAsia="Times New Roman"/>
      <w:szCs w:val="20"/>
    </w:rPr>
  </w:style>
  <w:style w:type="paragraph" w:customStyle="1" w:styleId="Articletitle">
    <w:name w:val="Article title"/>
    <w:basedOn w:val="Normal"/>
    <w:qFormat/>
    <w:rsid w:val="008A767D"/>
    <w:pPr>
      <w:keepNext/>
      <w:jc w:val="center"/>
    </w:pPr>
    <w:rPr>
      <w:b/>
      <w:bCs/>
    </w:rPr>
  </w:style>
  <w:style w:type="paragraph" w:customStyle="1" w:styleId="Style2">
    <w:name w:val="Style2"/>
    <w:basedOn w:val="Titrearticle"/>
    <w:qFormat/>
    <w:rsid w:val="00774962"/>
    <w:pPr>
      <w:ind w:left="720" w:hanging="360"/>
    </w:pPr>
  </w:style>
  <w:style w:type="paragraph" w:customStyle="1" w:styleId="Articlenumber">
    <w:name w:val="Article number"/>
    <w:basedOn w:val="Titrearticle"/>
    <w:qFormat/>
    <w:rsid w:val="00720006"/>
    <w:pPr>
      <w:ind w:left="5747" w:hanging="360"/>
    </w:pPr>
  </w:style>
  <w:style w:type="paragraph" w:customStyle="1" w:styleId="Default">
    <w:name w:val="Default"/>
    <w:rsid w:val="007C28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i-art">
    <w:name w:val="sti-art"/>
    <w:basedOn w:val="Normal"/>
    <w:rsid w:val="0089456D"/>
    <w:pPr>
      <w:spacing w:before="100" w:beforeAutospacing="1" w:after="100" w:afterAutospacing="1"/>
      <w:jc w:val="left"/>
    </w:pPr>
    <w:rPr>
      <w:rFonts w:eastAsia="Times New Roman"/>
      <w:szCs w:val="24"/>
      <w:lang w:eastAsia="en-IE"/>
    </w:rPr>
  </w:style>
  <w:style w:type="paragraph" w:customStyle="1" w:styleId="Normal4">
    <w:name w:val="Normal4"/>
    <w:basedOn w:val="Normal"/>
    <w:rsid w:val="0089456D"/>
    <w:pPr>
      <w:spacing w:before="100" w:beforeAutospacing="1" w:after="100" w:afterAutospacing="1"/>
      <w:jc w:val="left"/>
    </w:pPr>
    <w:rPr>
      <w:rFonts w:eastAsia="Times New Roman"/>
      <w:szCs w:val="24"/>
      <w:lang w:eastAsia="en-IE"/>
    </w:rPr>
  </w:style>
  <w:style w:type="paragraph" w:customStyle="1" w:styleId="point1romannumberautonumber">
    <w:name w:val="point 1 roman number autonumber"/>
    <w:basedOn w:val="point0letterautonumber"/>
    <w:next w:val="Normal"/>
    <w:qFormat/>
    <w:rsid w:val="00D0453F"/>
    <w:pPr>
      <w:tabs>
        <w:tab w:val="num" w:pos="1191"/>
        <w:tab w:val="num" w:pos="1418"/>
      </w:tabs>
      <w:ind w:left="1418"/>
    </w:pPr>
  </w:style>
  <w:style w:type="paragraph" w:customStyle="1" w:styleId="point0letterautonumber">
    <w:name w:val="point 0 letter autonumber"/>
    <w:basedOn w:val="Normal"/>
    <w:next w:val="Normal"/>
    <w:qFormat/>
    <w:rsid w:val="00117ABD"/>
    <w:pPr>
      <w:ind w:left="567" w:hanging="567"/>
    </w:pPr>
  </w:style>
  <w:style w:type="character" w:customStyle="1" w:styleId="superscript">
    <w:name w:val="superscript"/>
    <w:basedOn w:val="DefaultParagraphFont"/>
    <w:rsid w:val="003128B3"/>
  </w:style>
  <w:style w:type="character" w:styleId="Emphasis">
    <w:name w:val="Emphasis"/>
    <w:basedOn w:val="DefaultParagraphFont"/>
    <w:uiPriority w:val="20"/>
    <w:qFormat/>
    <w:rsid w:val="003128B3"/>
    <w:rPr>
      <w:i/>
      <w:iCs/>
    </w:rPr>
  </w:style>
  <w:style w:type="paragraph" w:customStyle="1" w:styleId="point2romannumber">
    <w:name w:val="point 2 roman number"/>
    <w:basedOn w:val="Normal"/>
    <w:next w:val="Normal"/>
    <w:qFormat/>
    <w:rsid w:val="00D4020C"/>
  </w:style>
  <w:style w:type="character" w:customStyle="1" w:styleId="normaltextrun">
    <w:name w:val="normaltextrun"/>
    <w:basedOn w:val="DefaultParagraphFont"/>
    <w:rsid w:val="009A7F74"/>
  </w:style>
  <w:style w:type="paragraph" w:customStyle="1" w:styleId="NumPar1autonumber">
    <w:name w:val="NumPar 1 autonumber"/>
    <w:basedOn w:val="ListParagraph"/>
    <w:next w:val="Normal"/>
    <w:qFormat/>
    <w:rsid w:val="003B7DCE"/>
    <w:pPr>
      <w:numPr>
        <w:ilvl w:val="1"/>
      </w:numPr>
      <w:ind w:left="851" w:hanging="851"/>
      <w:contextualSpacing w:val="0"/>
    </w:pPr>
  </w:style>
  <w:style w:type="paragraph" w:customStyle="1" w:styleId="Point1letterautonumber">
    <w:name w:val="Point 1 letter autonumber"/>
    <w:basedOn w:val="Normal"/>
    <w:next w:val="Normal"/>
    <w:qFormat/>
    <w:rsid w:val="003B7DCE"/>
    <w:pPr>
      <w:numPr>
        <w:numId w:val="3"/>
      </w:numPr>
    </w:pPr>
    <w:rPr>
      <w:shd w:val="clear" w:color="auto" w:fill="FFFFFF"/>
    </w:rPr>
  </w:style>
  <w:style w:type="paragraph" w:customStyle="1" w:styleId="Normal5">
    <w:name w:val="Normal5"/>
    <w:basedOn w:val="Normal"/>
    <w:rsid w:val="00786456"/>
    <w:pPr>
      <w:spacing w:before="100" w:beforeAutospacing="1" w:after="100" w:afterAutospacing="1"/>
      <w:jc w:val="left"/>
    </w:pPr>
    <w:rPr>
      <w:rFonts w:eastAsia="Times New Roman"/>
      <w:szCs w:val="24"/>
      <w:lang w:eastAsia="fr-BE"/>
    </w:rPr>
  </w:style>
  <w:style w:type="table" w:styleId="TableGrid">
    <w:name w:val="Table Grid"/>
    <w:basedOn w:val="TableNormal"/>
    <w:uiPriority w:val="59"/>
    <w:rsid w:val="006609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12117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21171"/>
    <w:pPr>
      <w:spacing w:after="0"/>
    </w:pPr>
  </w:style>
  <w:style w:type="paragraph" w:styleId="ListNumber2">
    <w:name w:val="List Number 2"/>
    <w:basedOn w:val="Normal"/>
    <w:uiPriority w:val="99"/>
    <w:semiHidden/>
    <w:unhideWhenUsed/>
    <w:rsid w:val="00121171"/>
    <w:pPr>
      <w:numPr>
        <w:numId w:val="4"/>
      </w:numPr>
      <w:contextualSpacing/>
    </w:pPr>
  </w:style>
  <w:style w:type="paragraph" w:styleId="ListNumber3">
    <w:name w:val="List Number 3"/>
    <w:basedOn w:val="Normal"/>
    <w:uiPriority w:val="99"/>
    <w:semiHidden/>
    <w:unhideWhenUsed/>
    <w:rsid w:val="00121171"/>
    <w:pPr>
      <w:numPr>
        <w:numId w:val="5"/>
      </w:numPr>
      <w:contextualSpacing/>
    </w:pPr>
  </w:style>
  <w:style w:type="numbering" w:customStyle="1" w:styleId="Liststyle">
    <w:name w:val="List style"/>
    <w:uiPriority w:val="99"/>
    <w:rsid w:val="00EF3021"/>
  </w:style>
  <w:style w:type="numbering" w:customStyle="1" w:styleId="ListstyleSCGpoint1">
    <w:name w:val="List style SCG point 1"/>
    <w:uiPriority w:val="99"/>
    <w:rsid w:val="00EF3021"/>
    <w:pPr>
      <w:numPr>
        <w:numId w:val="7"/>
      </w:numPr>
    </w:pPr>
  </w:style>
  <w:style w:type="paragraph" w:customStyle="1" w:styleId="Numbered">
    <w:name w:val="Numbered"/>
    <w:basedOn w:val="Normal"/>
    <w:rsid w:val="00F93A02"/>
    <w:pPr>
      <w:autoSpaceDE w:val="0"/>
      <w:autoSpaceDN w:val="0"/>
      <w:spacing w:before="60" w:after="60"/>
      <w:ind w:left="720"/>
      <w:jc w:val="left"/>
    </w:pPr>
    <w:rPr>
      <w:rFonts w:ascii="Calibri Light" w:hAnsi="Calibri Light" w:cs="Calibri Light"/>
      <w:color w:val="404040"/>
      <w:sz w:val="20"/>
      <w:szCs w:val="20"/>
    </w:rPr>
  </w:style>
  <w:style w:type="character" w:styleId="FollowedHyperlink">
    <w:name w:val="FollowedHyperlink"/>
    <w:basedOn w:val="DefaultParagraphFont"/>
    <w:uiPriority w:val="99"/>
    <w:semiHidden/>
    <w:unhideWhenUsed/>
    <w:rsid w:val="00CD5FCC"/>
    <w:rPr>
      <w:color w:val="800080" w:themeColor="followedHyperlink"/>
      <w:u w:val="single"/>
    </w:rPr>
  </w:style>
  <w:style w:type="paragraph" w:customStyle="1" w:styleId="Point1i">
    <w:name w:val="Point 1 (i)"/>
    <w:basedOn w:val="Point1letter"/>
    <w:qFormat/>
    <w:rsid w:val="00903AEC"/>
    <w:pPr>
      <w:ind w:left="1570" w:hanging="360"/>
    </w:pPr>
  </w:style>
  <w:style w:type="paragraph" w:customStyle="1" w:styleId="StyleManualHeading2Left0cmHanging15cmBefore18">
    <w:name w:val="Style Manual Heading 2 + Left:  0 cm Hanging:  1.5 cm Before:  18..."/>
    <w:basedOn w:val="ManualHeading2"/>
    <w:rsid w:val="00AD6EEE"/>
    <w:pPr>
      <w:spacing w:before="360"/>
    </w:pPr>
    <w:rPr>
      <w:rFonts w:eastAsia="Times New Roman"/>
    </w:rPr>
  </w:style>
  <w:style w:type="paragraph" w:customStyle="1" w:styleId="Normal6">
    <w:name w:val="Normal6"/>
    <w:basedOn w:val="Normal"/>
    <w:rsid w:val="00343D24"/>
    <w:pPr>
      <w:spacing w:before="100" w:beforeAutospacing="1" w:after="100" w:afterAutospacing="1"/>
      <w:jc w:val="left"/>
    </w:pPr>
    <w:rPr>
      <w:rFonts w:eastAsia="Times New Roman"/>
      <w:szCs w:val="24"/>
      <w:lang w:eastAsia="en-GB"/>
    </w:rPr>
  </w:style>
  <w:style w:type="paragraph" w:customStyle="1" w:styleId="Numpar">
    <w:name w:val="Num par"/>
    <w:basedOn w:val="Normal"/>
    <w:rsid w:val="00BF2E83"/>
    <w:pPr>
      <w:tabs>
        <w:tab w:val="num" w:pos="850"/>
      </w:tabs>
      <w:ind w:left="850" w:hanging="850"/>
    </w:pPr>
  </w:style>
  <w:style w:type="paragraph" w:customStyle="1" w:styleId="Nuppar1">
    <w:name w:val="Nup par 1"/>
    <w:basedOn w:val="NumPar1"/>
    <w:rsid w:val="007503A8"/>
    <w:pPr>
      <w:tabs>
        <w:tab w:val="clear" w:pos="850"/>
      </w:tabs>
    </w:pPr>
  </w:style>
  <w:style w:type="paragraph" w:customStyle="1" w:styleId="Numpar10">
    <w:name w:val="Num par 1"/>
    <w:basedOn w:val="Nuppar1"/>
    <w:rsid w:val="00832F22"/>
  </w:style>
  <w:style w:type="paragraph" w:customStyle="1" w:styleId="Normal7">
    <w:name w:val="Normal7"/>
    <w:basedOn w:val="Normal"/>
    <w:rsid w:val="00B246DB"/>
    <w:pPr>
      <w:spacing w:before="100" w:beforeAutospacing="1" w:after="100" w:afterAutospacing="1"/>
      <w:jc w:val="left"/>
    </w:pPr>
    <w:rPr>
      <w:rFonts w:eastAsia="Times New Roman"/>
      <w:szCs w:val="24"/>
      <w:lang w:eastAsia="en-GB"/>
    </w:rPr>
  </w:style>
  <w:style w:type="character" w:customStyle="1" w:styleId="Heading5Char">
    <w:name w:val="Heading 5 Char"/>
    <w:basedOn w:val="DefaultParagraphFont"/>
    <w:link w:val="Heading5"/>
    <w:uiPriority w:val="9"/>
    <w:semiHidden/>
    <w:rsid w:val="00D21C28"/>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sid w:val="00D21C28"/>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sid w:val="00D21C28"/>
    <w:rPr>
      <w:rFonts w:ascii="Times New Roman" w:eastAsiaTheme="majorEastAsia" w:hAnsi="Times New Roman" w:cs="Times New Roman"/>
      <w:iCs/>
      <w:sz w:val="24"/>
      <w:lang w:val="pl-PL"/>
    </w:rPr>
  </w:style>
  <w:style w:type="paragraph" w:customStyle="1" w:styleId="Text5">
    <w:name w:val="Text 5"/>
    <w:basedOn w:val="Normal"/>
    <w:rsid w:val="00D21C28"/>
    <w:pPr>
      <w:ind w:left="3118"/>
    </w:pPr>
  </w:style>
  <w:style w:type="paragraph" w:customStyle="1" w:styleId="Text6">
    <w:name w:val="Text 6"/>
    <w:basedOn w:val="Normal"/>
    <w:rsid w:val="00D21C28"/>
    <w:pPr>
      <w:ind w:left="3685"/>
    </w:pPr>
  </w:style>
  <w:style w:type="paragraph" w:customStyle="1" w:styleId="Point5">
    <w:name w:val="Point 5"/>
    <w:basedOn w:val="Normal"/>
    <w:rsid w:val="00D21C28"/>
    <w:pPr>
      <w:ind w:left="3685" w:hanging="567"/>
    </w:pPr>
  </w:style>
  <w:style w:type="paragraph" w:customStyle="1" w:styleId="Tiret5">
    <w:name w:val="Tiret 5"/>
    <w:basedOn w:val="Point5"/>
    <w:rsid w:val="00D21C28"/>
    <w:pPr>
      <w:numPr>
        <w:numId w:val="53"/>
      </w:numPr>
    </w:pPr>
  </w:style>
  <w:style w:type="paragraph" w:customStyle="1" w:styleId="NumPar5">
    <w:name w:val="NumPar 5"/>
    <w:basedOn w:val="Normal"/>
    <w:next w:val="Text2"/>
    <w:rsid w:val="00D21C28"/>
    <w:pPr>
      <w:numPr>
        <w:ilvl w:val="4"/>
        <w:numId w:val="56"/>
      </w:numPr>
    </w:pPr>
  </w:style>
  <w:style w:type="paragraph" w:customStyle="1" w:styleId="NumPar6">
    <w:name w:val="NumPar 6"/>
    <w:basedOn w:val="Normal"/>
    <w:next w:val="Text2"/>
    <w:rsid w:val="00D21C28"/>
    <w:pPr>
      <w:numPr>
        <w:ilvl w:val="5"/>
        <w:numId w:val="56"/>
      </w:numPr>
    </w:pPr>
  </w:style>
  <w:style w:type="paragraph" w:customStyle="1" w:styleId="NumPar7">
    <w:name w:val="NumPar 7"/>
    <w:basedOn w:val="Normal"/>
    <w:next w:val="Text2"/>
    <w:rsid w:val="00D21C28"/>
    <w:pPr>
      <w:numPr>
        <w:ilvl w:val="6"/>
        <w:numId w:val="56"/>
      </w:numPr>
    </w:pPr>
  </w:style>
  <w:style w:type="paragraph" w:customStyle="1" w:styleId="ManualNumPar5">
    <w:name w:val="Manual NumPar 5"/>
    <w:basedOn w:val="Normal"/>
    <w:next w:val="Text2"/>
    <w:rsid w:val="00D21C28"/>
    <w:pPr>
      <w:ind w:left="1417" w:hanging="1417"/>
    </w:pPr>
  </w:style>
  <w:style w:type="paragraph" w:customStyle="1" w:styleId="ManualNumPar6">
    <w:name w:val="Manual NumPar 6"/>
    <w:basedOn w:val="Normal"/>
    <w:next w:val="Text2"/>
    <w:rsid w:val="00D21C28"/>
    <w:pPr>
      <w:ind w:left="1417" w:hanging="1417"/>
    </w:pPr>
  </w:style>
  <w:style w:type="paragraph" w:customStyle="1" w:styleId="ManualNumPar7">
    <w:name w:val="Manual NumPar 7"/>
    <w:basedOn w:val="Normal"/>
    <w:next w:val="Text2"/>
    <w:rsid w:val="00D21C28"/>
    <w:pPr>
      <w:ind w:left="1417" w:hanging="1417"/>
    </w:pPr>
  </w:style>
  <w:style w:type="paragraph" w:customStyle="1" w:styleId="ManualHeading5">
    <w:name w:val="Manual Heading 5"/>
    <w:basedOn w:val="Normal"/>
    <w:next w:val="Text2"/>
    <w:rsid w:val="00D21C28"/>
    <w:pPr>
      <w:keepNext/>
      <w:tabs>
        <w:tab w:val="left" w:pos="1417"/>
      </w:tabs>
      <w:ind w:left="1417" w:hanging="1417"/>
      <w:outlineLvl w:val="4"/>
    </w:pPr>
  </w:style>
  <w:style w:type="paragraph" w:customStyle="1" w:styleId="ManualHeading6">
    <w:name w:val="Manual Heading 6"/>
    <w:basedOn w:val="Normal"/>
    <w:next w:val="Text2"/>
    <w:rsid w:val="00D21C28"/>
    <w:pPr>
      <w:keepNext/>
      <w:tabs>
        <w:tab w:val="left" w:pos="1417"/>
      </w:tabs>
      <w:ind w:left="1417" w:hanging="1417"/>
      <w:outlineLvl w:val="5"/>
    </w:pPr>
  </w:style>
  <w:style w:type="paragraph" w:customStyle="1" w:styleId="ManualHeading7">
    <w:name w:val="Manual Heading 7"/>
    <w:basedOn w:val="Normal"/>
    <w:next w:val="Text2"/>
    <w:rsid w:val="00D21C28"/>
    <w:pPr>
      <w:keepNext/>
      <w:tabs>
        <w:tab w:val="left" w:pos="1417"/>
      </w:tabs>
      <w:ind w:left="1417" w:hanging="1417"/>
      <w:outlineLvl w:val="6"/>
    </w:pPr>
  </w:style>
  <w:style w:type="paragraph" w:styleId="Header">
    <w:name w:val="header"/>
    <w:basedOn w:val="Normal"/>
    <w:link w:val="HeaderChar"/>
    <w:uiPriority w:val="99"/>
    <w:unhideWhenUsed/>
    <w:rsid w:val="002F79ED"/>
    <w:pPr>
      <w:tabs>
        <w:tab w:val="center" w:pos="4535"/>
        <w:tab w:val="right" w:pos="9071"/>
      </w:tabs>
      <w:spacing w:before="0"/>
    </w:pPr>
  </w:style>
  <w:style w:type="character" w:customStyle="1" w:styleId="HeaderChar">
    <w:name w:val="Header Char"/>
    <w:basedOn w:val="DefaultParagraphFont"/>
    <w:link w:val="Header"/>
    <w:uiPriority w:val="99"/>
    <w:rsid w:val="002F79ED"/>
    <w:rPr>
      <w:rFonts w:ascii="Times New Roman" w:hAnsi="Times New Roman" w:cs="Times New Roman"/>
      <w:sz w:val="24"/>
      <w:lang w:val="pl-PL"/>
    </w:rPr>
  </w:style>
  <w:style w:type="paragraph" w:styleId="Footer">
    <w:name w:val="footer"/>
    <w:basedOn w:val="Normal"/>
    <w:link w:val="FooterChar"/>
    <w:uiPriority w:val="99"/>
    <w:unhideWhenUsed/>
    <w:rsid w:val="002F79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F79ED"/>
    <w:rPr>
      <w:rFonts w:ascii="Times New Roman" w:hAnsi="Times New Roman" w:cs="Times New Roman"/>
      <w:sz w:val="24"/>
      <w:lang w:val="pl-PL"/>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2F79ED"/>
    <w:pPr>
      <w:tabs>
        <w:tab w:val="center" w:pos="7285"/>
        <w:tab w:val="right" w:pos="14003"/>
      </w:tabs>
      <w:spacing w:before="0"/>
    </w:pPr>
  </w:style>
  <w:style w:type="paragraph" w:customStyle="1" w:styleId="FooterLandscape">
    <w:name w:val="FooterLandscape"/>
    <w:basedOn w:val="Normal"/>
    <w:rsid w:val="002F79E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2F79E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F79ED"/>
    <w:pPr>
      <w:spacing w:before="0"/>
      <w:jc w:val="right"/>
    </w:pPr>
    <w:rPr>
      <w:sz w:val="28"/>
    </w:rPr>
  </w:style>
  <w:style w:type="paragraph" w:customStyle="1" w:styleId="FooterSensitivity">
    <w:name w:val="Footer Sensitivity"/>
    <w:basedOn w:val="Normal"/>
    <w:rsid w:val="002F79E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36"/>
      </w:numPr>
    </w:pPr>
  </w:style>
  <w:style w:type="paragraph" w:customStyle="1" w:styleId="Tiret1">
    <w:name w:val="Tiret 1"/>
    <w:basedOn w:val="Point1"/>
    <w:rsid w:val="009B7138"/>
    <w:pPr>
      <w:numPr>
        <w:numId w:val="37"/>
      </w:numPr>
    </w:pPr>
  </w:style>
  <w:style w:type="paragraph" w:customStyle="1" w:styleId="Tiret2">
    <w:name w:val="Tiret 2"/>
    <w:basedOn w:val="Point2"/>
    <w:rsid w:val="009B7138"/>
    <w:pPr>
      <w:numPr>
        <w:numId w:val="38"/>
      </w:numPr>
    </w:pPr>
  </w:style>
  <w:style w:type="paragraph" w:customStyle="1" w:styleId="Tiret3">
    <w:name w:val="Tiret 3"/>
    <w:basedOn w:val="Point3"/>
    <w:rsid w:val="009B7138"/>
    <w:pPr>
      <w:numPr>
        <w:numId w:val="39"/>
      </w:numPr>
    </w:pPr>
  </w:style>
  <w:style w:type="paragraph" w:customStyle="1" w:styleId="Tiret4">
    <w:name w:val="Tiret 4"/>
    <w:basedOn w:val="Point4"/>
    <w:rsid w:val="009B7138"/>
    <w:pPr>
      <w:numPr>
        <w:numId w:val="40"/>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56"/>
      </w:numPr>
    </w:pPr>
  </w:style>
  <w:style w:type="paragraph" w:customStyle="1" w:styleId="NumPar2">
    <w:name w:val="NumPar 2"/>
    <w:basedOn w:val="Normal"/>
    <w:next w:val="Text1"/>
    <w:rsid w:val="009B7138"/>
    <w:pPr>
      <w:numPr>
        <w:ilvl w:val="1"/>
        <w:numId w:val="56"/>
      </w:numPr>
    </w:pPr>
  </w:style>
  <w:style w:type="paragraph" w:customStyle="1" w:styleId="NumPar3">
    <w:name w:val="NumPar 3"/>
    <w:basedOn w:val="Normal"/>
    <w:next w:val="Text1"/>
    <w:rsid w:val="009B7138"/>
    <w:pPr>
      <w:numPr>
        <w:ilvl w:val="2"/>
        <w:numId w:val="56"/>
      </w:numPr>
    </w:pPr>
  </w:style>
  <w:style w:type="paragraph" w:customStyle="1" w:styleId="NumPar4">
    <w:name w:val="NumPar 4"/>
    <w:basedOn w:val="Normal"/>
    <w:next w:val="Text1"/>
    <w:rsid w:val="009B7138"/>
    <w:pPr>
      <w:numPr>
        <w:ilvl w:val="3"/>
        <w:numId w:val="56"/>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D077E4"/>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43"/>
      </w:numPr>
    </w:pPr>
  </w:style>
  <w:style w:type="paragraph" w:customStyle="1" w:styleId="Point1number">
    <w:name w:val="Point 1 (number)"/>
    <w:basedOn w:val="Normal"/>
    <w:rsid w:val="009B7138"/>
    <w:pPr>
      <w:numPr>
        <w:ilvl w:val="2"/>
        <w:numId w:val="43"/>
      </w:numPr>
    </w:pPr>
  </w:style>
  <w:style w:type="paragraph" w:customStyle="1" w:styleId="Point2number">
    <w:name w:val="Point 2 (number)"/>
    <w:basedOn w:val="Normal"/>
    <w:rsid w:val="009B7138"/>
    <w:pPr>
      <w:numPr>
        <w:ilvl w:val="4"/>
        <w:numId w:val="43"/>
      </w:numPr>
    </w:pPr>
  </w:style>
  <w:style w:type="paragraph" w:customStyle="1" w:styleId="Point3number">
    <w:name w:val="Point 3 (number)"/>
    <w:basedOn w:val="Normal"/>
    <w:rsid w:val="009B7138"/>
    <w:pPr>
      <w:numPr>
        <w:ilvl w:val="6"/>
        <w:numId w:val="43"/>
      </w:numPr>
    </w:pPr>
  </w:style>
  <w:style w:type="paragraph" w:customStyle="1" w:styleId="Point0letter">
    <w:name w:val="Point 0 (letter)"/>
    <w:basedOn w:val="Normal"/>
    <w:rsid w:val="009B7138"/>
    <w:pPr>
      <w:numPr>
        <w:ilvl w:val="1"/>
        <w:numId w:val="43"/>
      </w:numPr>
    </w:pPr>
  </w:style>
  <w:style w:type="paragraph" w:customStyle="1" w:styleId="Point1letter">
    <w:name w:val="Point 1 (letter)"/>
    <w:basedOn w:val="Normal"/>
    <w:rsid w:val="009B7138"/>
    <w:pPr>
      <w:numPr>
        <w:ilvl w:val="3"/>
        <w:numId w:val="43"/>
      </w:numPr>
    </w:pPr>
  </w:style>
  <w:style w:type="paragraph" w:customStyle="1" w:styleId="Point2letter">
    <w:name w:val="Point 2 (letter)"/>
    <w:basedOn w:val="Normal"/>
    <w:rsid w:val="009B7138"/>
    <w:pPr>
      <w:numPr>
        <w:ilvl w:val="5"/>
        <w:numId w:val="43"/>
      </w:numPr>
    </w:pPr>
  </w:style>
  <w:style w:type="paragraph" w:customStyle="1" w:styleId="Point3letter">
    <w:name w:val="Point 3 (letter)"/>
    <w:basedOn w:val="Normal"/>
    <w:rsid w:val="009B7138"/>
    <w:pPr>
      <w:numPr>
        <w:ilvl w:val="7"/>
        <w:numId w:val="43"/>
      </w:numPr>
    </w:pPr>
  </w:style>
  <w:style w:type="paragraph" w:customStyle="1" w:styleId="Point4letter">
    <w:name w:val="Point 4 (letter)"/>
    <w:basedOn w:val="Normal"/>
    <w:rsid w:val="009B7138"/>
    <w:pPr>
      <w:numPr>
        <w:ilvl w:val="8"/>
        <w:numId w:val="43"/>
      </w:numPr>
    </w:pPr>
  </w:style>
  <w:style w:type="paragraph" w:customStyle="1" w:styleId="Bullet0">
    <w:name w:val="Bullet 0"/>
    <w:basedOn w:val="Normal"/>
    <w:rsid w:val="009B7138"/>
    <w:pPr>
      <w:numPr>
        <w:numId w:val="44"/>
      </w:numPr>
    </w:pPr>
  </w:style>
  <w:style w:type="paragraph" w:customStyle="1" w:styleId="Bullet1">
    <w:name w:val="Bullet 1"/>
    <w:basedOn w:val="Normal"/>
    <w:rsid w:val="009B7138"/>
    <w:pPr>
      <w:numPr>
        <w:numId w:val="45"/>
      </w:numPr>
    </w:pPr>
  </w:style>
  <w:style w:type="paragraph" w:customStyle="1" w:styleId="Bullet2">
    <w:name w:val="Bullet 2"/>
    <w:basedOn w:val="Normal"/>
    <w:rsid w:val="009B7138"/>
    <w:pPr>
      <w:numPr>
        <w:numId w:val="46"/>
      </w:numPr>
    </w:pPr>
  </w:style>
  <w:style w:type="paragraph" w:customStyle="1" w:styleId="Bullet3">
    <w:name w:val="Bullet 3"/>
    <w:basedOn w:val="Normal"/>
    <w:rsid w:val="009B7138"/>
    <w:pPr>
      <w:numPr>
        <w:numId w:val="47"/>
      </w:numPr>
    </w:pPr>
  </w:style>
  <w:style w:type="paragraph" w:customStyle="1" w:styleId="Bullet4">
    <w:name w:val="Bullet 4"/>
    <w:basedOn w:val="Normal"/>
    <w:rsid w:val="009B7138"/>
    <w:pPr>
      <w:numPr>
        <w:numId w:val="48"/>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9"/>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4532">
      <w:bodyDiv w:val="1"/>
      <w:marLeft w:val="0"/>
      <w:marRight w:val="0"/>
      <w:marTop w:val="0"/>
      <w:marBottom w:val="0"/>
      <w:divBdr>
        <w:top w:val="none" w:sz="0" w:space="0" w:color="auto"/>
        <w:left w:val="none" w:sz="0" w:space="0" w:color="auto"/>
        <w:bottom w:val="none" w:sz="0" w:space="0" w:color="auto"/>
        <w:right w:val="none" w:sz="0" w:space="0" w:color="auto"/>
      </w:divBdr>
    </w:div>
    <w:div w:id="113795785">
      <w:bodyDiv w:val="1"/>
      <w:marLeft w:val="0"/>
      <w:marRight w:val="0"/>
      <w:marTop w:val="0"/>
      <w:marBottom w:val="0"/>
      <w:divBdr>
        <w:top w:val="none" w:sz="0" w:space="0" w:color="auto"/>
        <w:left w:val="none" w:sz="0" w:space="0" w:color="auto"/>
        <w:bottom w:val="none" w:sz="0" w:space="0" w:color="auto"/>
        <w:right w:val="none" w:sz="0" w:space="0" w:color="auto"/>
      </w:divBdr>
    </w:div>
    <w:div w:id="120923544">
      <w:bodyDiv w:val="1"/>
      <w:marLeft w:val="0"/>
      <w:marRight w:val="0"/>
      <w:marTop w:val="0"/>
      <w:marBottom w:val="0"/>
      <w:divBdr>
        <w:top w:val="none" w:sz="0" w:space="0" w:color="auto"/>
        <w:left w:val="none" w:sz="0" w:space="0" w:color="auto"/>
        <w:bottom w:val="none" w:sz="0" w:space="0" w:color="auto"/>
        <w:right w:val="none" w:sz="0" w:space="0" w:color="auto"/>
      </w:divBdr>
    </w:div>
    <w:div w:id="132413062">
      <w:bodyDiv w:val="1"/>
      <w:marLeft w:val="0"/>
      <w:marRight w:val="0"/>
      <w:marTop w:val="0"/>
      <w:marBottom w:val="0"/>
      <w:divBdr>
        <w:top w:val="none" w:sz="0" w:space="0" w:color="auto"/>
        <w:left w:val="none" w:sz="0" w:space="0" w:color="auto"/>
        <w:bottom w:val="none" w:sz="0" w:space="0" w:color="auto"/>
        <w:right w:val="none" w:sz="0" w:space="0" w:color="auto"/>
      </w:divBdr>
    </w:div>
    <w:div w:id="137259823">
      <w:bodyDiv w:val="1"/>
      <w:marLeft w:val="0"/>
      <w:marRight w:val="0"/>
      <w:marTop w:val="0"/>
      <w:marBottom w:val="0"/>
      <w:divBdr>
        <w:top w:val="none" w:sz="0" w:space="0" w:color="auto"/>
        <w:left w:val="none" w:sz="0" w:space="0" w:color="auto"/>
        <w:bottom w:val="none" w:sz="0" w:space="0" w:color="auto"/>
        <w:right w:val="none" w:sz="0" w:space="0" w:color="auto"/>
      </w:divBdr>
    </w:div>
    <w:div w:id="142503803">
      <w:bodyDiv w:val="1"/>
      <w:marLeft w:val="0"/>
      <w:marRight w:val="0"/>
      <w:marTop w:val="0"/>
      <w:marBottom w:val="0"/>
      <w:divBdr>
        <w:top w:val="none" w:sz="0" w:space="0" w:color="auto"/>
        <w:left w:val="none" w:sz="0" w:space="0" w:color="auto"/>
        <w:bottom w:val="none" w:sz="0" w:space="0" w:color="auto"/>
        <w:right w:val="none" w:sz="0" w:space="0" w:color="auto"/>
      </w:divBdr>
    </w:div>
    <w:div w:id="161242508">
      <w:bodyDiv w:val="1"/>
      <w:marLeft w:val="0"/>
      <w:marRight w:val="0"/>
      <w:marTop w:val="0"/>
      <w:marBottom w:val="0"/>
      <w:divBdr>
        <w:top w:val="none" w:sz="0" w:space="0" w:color="auto"/>
        <w:left w:val="none" w:sz="0" w:space="0" w:color="auto"/>
        <w:bottom w:val="none" w:sz="0" w:space="0" w:color="auto"/>
        <w:right w:val="none" w:sz="0" w:space="0" w:color="auto"/>
      </w:divBdr>
    </w:div>
    <w:div w:id="173761967">
      <w:bodyDiv w:val="1"/>
      <w:marLeft w:val="0"/>
      <w:marRight w:val="0"/>
      <w:marTop w:val="0"/>
      <w:marBottom w:val="0"/>
      <w:divBdr>
        <w:top w:val="none" w:sz="0" w:space="0" w:color="auto"/>
        <w:left w:val="none" w:sz="0" w:space="0" w:color="auto"/>
        <w:bottom w:val="none" w:sz="0" w:space="0" w:color="auto"/>
        <w:right w:val="none" w:sz="0" w:space="0" w:color="auto"/>
      </w:divBdr>
    </w:div>
    <w:div w:id="211355677">
      <w:bodyDiv w:val="1"/>
      <w:marLeft w:val="0"/>
      <w:marRight w:val="0"/>
      <w:marTop w:val="0"/>
      <w:marBottom w:val="0"/>
      <w:divBdr>
        <w:top w:val="none" w:sz="0" w:space="0" w:color="auto"/>
        <w:left w:val="none" w:sz="0" w:space="0" w:color="auto"/>
        <w:bottom w:val="none" w:sz="0" w:space="0" w:color="auto"/>
        <w:right w:val="none" w:sz="0" w:space="0" w:color="auto"/>
      </w:divBdr>
    </w:div>
    <w:div w:id="224144154">
      <w:bodyDiv w:val="1"/>
      <w:marLeft w:val="0"/>
      <w:marRight w:val="0"/>
      <w:marTop w:val="0"/>
      <w:marBottom w:val="0"/>
      <w:divBdr>
        <w:top w:val="none" w:sz="0" w:space="0" w:color="auto"/>
        <w:left w:val="none" w:sz="0" w:space="0" w:color="auto"/>
        <w:bottom w:val="none" w:sz="0" w:space="0" w:color="auto"/>
        <w:right w:val="none" w:sz="0" w:space="0" w:color="auto"/>
      </w:divBdr>
    </w:div>
    <w:div w:id="282536689">
      <w:bodyDiv w:val="1"/>
      <w:marLeft w:val="0"/>
      <w:marRight w:val="0"/>
      <w:marTop w:val="0"/>
      <w:marBottom w:val="0"/>
      <w:divBdr>
        <w:top w:val="none" w:sz="0" w:space="0" w:color="auto"/>
        <w:left w:val="none" w:sz="0" w:space="0" w:color="auto"/>
        <w:bottom w:val="none" w:sz="0" w:space="0" w:color="auto"/>
        <w:right w:val="none" w:sz="0" w:space="0" w:color="auto"/>
      </w:divBdr>
    </w:div>
    <w:div w:id="338503152">
      <w:bodyDiv w:val="1"/>
      <w:marLeft w:val="0"/>
      <w:marRight w:val="0"/>
      <w:marTop w:val="0"/>
      <w:marBottom w:val="0"/>
      <w:divBdr>
        <w:top w:val="none" w:sz="0" w:space="0" w:color="auto"/>
        <w:left w:val="none" w:sz="0" w:space="0" w:color="auto"/>
        <w:bottom w:val="none" w:sz="0" w:space="0" w:color="auto"/>
        <w:right w:val="none" w:sz="0" w:space="0" w:color="auto"/>
      </w:divBdr>
    </w:div>
    <w:div w:id="370769807">
      <w:bodyDiv w:val="1"/>
      <w:marLeft w:val="0"/>
      <w:marRight w:val="0"/>
      <w:marTop w:val="0"/>
      <w:marBottom w:val="0"/>
      <w:divBdr>
        <w:top w:val="none" w:sz="0" w:space="0" w:color="auto"/>
        <w:left w:val="none" w:sz="0" w:space="0" w:color="auto"/>
        <w:bottom w:val="none" w:sz="0" w:space="0" w:color="auto"/>
        <w:right w:val="none" w:sz="0" w:space="0" w:color="auto"/>
      </w:divBdr>
    </w:div>
    <w:div w:id="386075474">
      <w:bodyDiv w:val="1"/>
      <w:marLeft w:val="0"/>
      <w:marRight w:val="0"/>
      <w:marTop w:val="0"/>
      <w:marBottom w:val="0"/>
      <w:divBdr>
        <w:top w:val="none" w:sz="0" w:space="0" w:color="auto"/>
        <w:left w:val="none" w:sz="0" w:space="0" w:color="auto"/>
        <w:bottom w:val="none" w:sz="0" w:space="0" w:color="auto"/>
        <w:right w:val="none" w:sz="0" w:space="0" w:color="auto"/>
      </w:divBdr>
    </w:div>
    <w:div w:id="417991698">
      <w:bodyDiv w:val="1"/>
      <w:marLeft w:val="0"/>
      <w:marRight w:val="0"/>
      <w:marTop w:val="0"/>
      <w:marBottom w:val="0"/>
      <w:divBdr>
        <w:top w:val="none" w:sz="0" w:space="0" w:color="auto"/>
        <w:left w:val="none" w:sz="0" w:space="0" w:color="auto"/>
        <w:bottom w:val="none" w:sz="0" w:space="0" w:color="auto"/>
        <w:right w:val="none" w:sz="0" w:space="0" w:color="auto"/>
      </w:divBdr>
    </w:div>
    <w:div w:id="418984275">
      <w:bodyDiv w:val="1"/>
      <w:marLeft w:val="0"/>
      <w:marRight w:val="0"/>
      <w:marTop w:val="0"/>
      <w:marBottom w:val="0"/>
      <w:divBdr>
        <w:top w:val="none" w:sz="0" w:space="0" w:color="auto"/>
        <w:left w:val="none" w:sz="0" w:space="0" w:color="auto"/>
        <w:bottom w:val="none" w:sz="0" w:space="0" w:color="auto"/>
        <w:right w:val="none" w:sz="0" w:space="0" w:color="auto"/>
      </w:divBdr>
    </w:div>
    <w:div w:id="434597165">
      <w:bodyDiv w:val="1"/>
      <w:marLeft w:val="0"/>
      <w:marRight w:val="0"/>
      <w:marTop w:val="0"/>
      <w:marBottom w:val="0"/>
      <w:divBdr>
        <w:top w:val="none" w:sz="0" w:space="0" w:color="auto"/>
        <w:left w:val="none" w:sz="0" w:space="0" w:color="auto"/>
        <w:bottom w:val="none" w:sz="0" w:space="0" w:color="auto"/>
        <w:right w:val="none" w:sz="0" w:space="0" w:color="auto"/>
      </w:divBdr>
    </w:div>
    <w:div w:id="440731135">
      <w:bodyDiv w:val="1"/>
      <w:marLeft w:val="0"/>
      <w:marRight w:val="0"/>
      <w:marTop w:val="0"/>
      <w:marBottom w:val="0"/>
      <w:divBdr>
        <w:top w:val="none" w:sz="0" w:space="0" w:color="auto"/>
        <w:left w:val="none" w:sz="0" w:space="0" w:color="auto"/>
        <w:bottom w:val="none" w:sz="0" w:space="0" w:color="auto"/>
        <w:right w:val="none" w:sz="0" w:space="0" w:color="auto"/>
      </w:divBdr>
    </w:div>
    <w:div w:id="466823206">
      <w:bodyDiv w:val="1"/>
      <w:marLeft w:val="0"/>
      <w:marRight w:val="0"/>
      <w:marTop w:val="0"/>
      <w:marBottom w:val="0"/>
      <w:divBdr>
        <w:top w:val="none" w:sz="0" w:space="0" w:color="auto"/>
        <w:left w:val="none" w:sz="0" w:space="0" w:color="auto"/>
        <w:bottom w:val="none" w:sz="0" w:space="0" w:color="auto"/>
        <w:right w:val="none" w:sz="0" w:space="0" w:color="auto"/>
      </w:divBdr>
    </w:div>
    <w:div w:id="468010421">
      <w:bodyDiv w:val="1"/>
      <w:marLeft w:val="0"/>
      <w:marRight w:val="0"/>
      <w:marTop w:val="0"/>
      <w:marBottom w:val="0"/>
      <w:divBdr>
        <w:top w:val="none" w:sz="0" w:space="0" w:color="auto"/>
        <w:left w:val="none" w:sz="0" w:space="0" w:color="auto"/>
        <w:bottom w:val="none" w:sz="0" w:space="0" w:color="auto"/>
        <w:right w:val="none" w:sz="0" w:space="0" w:color="auto"/>
      </w:divBdr>
    </w:div>
    <w:div w:id="498237078">
      <w:bodyDiv w:val="1"/>
      <w:marLeft w:val="0"/>
      <w:marRight w:val="0"/>
      <w:marTop w:val="0"/>
      <w:marBottom w:val="0"/>
      <w:divBdr>
        <w:top w:val="none" w:sz="0" w:space="0" w:color="auto"/>
        <w:left w:val="none" w:sz="0" w:space="0" w:color="auto"/>
        <w:bottom w:val="none" w:sz="0" w:space="0" w:color="auto"/>
        <w:right w:val="none" w:sz="0" w:space="0" w:color="auto"/>
      </w:divBdr>
    </w:div>
    <w:div w:id="501237716">
      <w:bodyDiv w:val="1"/>
      <w:marLeft w:val="0"/>
      <w:marRight w:val="0"/>
      <w:marTop w:val="0"/>
      <w:marBottom w:val="0"/>
      <w:divBdr>
        <w:top w:val="none" w:sz="0" w:space="0" w:color="auto"/>
        <w:left w:val="none" w:sz="0" w:space="0" w:color="auto"/>
        <w:bottom w:val="none" w:sz="0" w:space="0" w:color="auto"/>
        <w:right w:val="none" w:sz="0" w:space="0" w:color="auto"/>
      </w:divBdr>
    </w:div>
    <w:div w:id="510149327">
      <w:bodyDiv w:val="1"/>
      <w:marLeft w:val="0"/>
      <w:marRight w:val="0"/>
      <w:marTop w:val="0"/>
      <w:marBottom w:val="0"/>
      <w:divBdr>
        <w:top w:val="none" w:sz="0" w:space="0" w:color="auto"/>
        <w:left w:val="none" w:sz="0" w:space="0" w:color="auto"/>
        <w:bottom w:val="none" w:sz="0" w:space="0" w:color="auto"/>
        <w:right w:val="none" w:sz="0" w:space="0" w:color="auto"/>
      </w:divBdr>
    </w:div>
    <w:div w:id="552236068">
      <w:bodyDiv w:val="1"/>
      <w:marLeft w:val="0"/>
      <w:marRight w:val="0"/>
      <w:marTop w:val="0"/>
      <w:marBottom w:val="0"/>
      <w:divBdr>
        <w:top w:val="none" w:sz="0" w:space="0" w:color="auto"/>
        <w:left w:val="none" w:sz="0" w:space="0" w:color="auto"/>
        <w:bottom w:val="none" w:sz="0" w:space="0" w:color="auto"/>
        <w:right w:val="none" w:sz="0" w:space="0" w:color="auto"/>
      </w:divBdr>
    </w:div>
    <w:div w:id="614600989">
      <w:bodyDiv w:val="1"/>
      <w:marLeft w:val="0"/>
      <w:marRight w:val="0"/>
      <w:marTop w:val="0"/>
      <w:marBottom w:val="0"/>
      <w:divBdr>
        <w:top w:val="none" w:sz="0" w:space="0" w:color="auto"/>
        <w:left w:val="none" w:sz="0" w:space="0" w:color="auto"/>
        <w:bottom w:val="none" w:sz="0" w:space="0" w:color="auto"/>
        <w:right w:val="none" w:sz="0" w:space="0" w:color="auto"/>
      </w:divBdr>
    </w:div>
    <w:div w:id="614755030">
      <w:bodyDiv w:val="1"/>
      <w:marLeft w:val="0"/>
      <w:marRight w:val="0"/>
      <w:marTop w:val="0"/>
      <w:marBottom w:val="0"/>
      <w:divBdr>
        <w:top w:val="none" w:sz="0" w:space="0" w:color="auto"/>
        <w:left w:val="none" w:sz="0" w:space="0" w:color="auto"/>
        <w:bottom w:val="none" w:sz="0" w:space="0" w:color="auto"/>
        <w:right w:val="none" w:sz="0" w:space="0" w:color="auto"/>
      </w:divBdr>
    </w:div>
    <w:div w:id="684478318">
      <w:bodyDiv w:val="1"/>
      <w:marLeft w:val="0"/>
      <w:marRight w:val="0"/>
      <w:marTop w:val="0"/>
      <w:marBottom w:val="0"/>
      <w:divBdr>
        <w:top w:val="none" w:sz="0" w:space="0" w:color="auto"/>
        <w:left w:val="none" w:sz="0" w:space="0" w:color="auto"/>
        <w:bottom w:val="none" w:sz="0" w:space="0" w:color="auto"/>
        <w:right w:val="none" w:sz="0" w:space="0" w:color="auto"/>
      </w:divBdr>
    </w:div>
    <w:div w:id="686252931">
      <w:bodyDiv w:val="1"/>
      <w:marLeft w:val="0"/>
      <w:marRight w:val="0"/>
      <w:marTop w:val="0"/>
      <w:marBottom w:val="0"/>
      <w:divBdr>
        <w:top w:val="none" w:sz="0" w:space="0" w:color="auto"/>
        <w:left w:val="none" w:sz="0" w:space="0" w:color="auto"/>
        <w:bottom w:val="none" w:sz="0" w:space="0" w:color="auto"/>
        <w:right w:val="none" w:sz="0" w:space="0" w:color="auto"/>
      </w:divBdr>
    </w:div>
    <w:div w:id="697657918">
      <w:bodyDiv w:val="1"/>
      <w:marLeft w:val="0"/>
      <w:marRight w:val="0"/>
      <w:marTop w:val="0"/>
      <w:marBottom w:val="0"/>
      <w:divBdr>
        <w:top w:val="none" w:sz="0" w:space="0" w:color="auto"/>
        <w:left w:val="none" w:sz="0" w:space="0" w:color="auto"/>
        <w:bottom w:val="none" w:sz="0" w:space="0" w:color="auto"/>
        <w:right w:val="none" w:sz="0" w:space="0" w:color="auto"/>
      </w:divBdr>
    </w:div>
    <w:div w:id="708266441">
      <w:bodyDiv w:val="1"/>
      <w:marLeft w:val="0"/>
      <w:marRight w:val="0"/>
      <w:marTop w:val="0"/>
      <w:marBottom w:val="0"/>
      <w:divBdr>
        <w:top w:val="none" w:sz="0" w:space="0" w:color="auto"/>
        <w:left w:val="none" w:sz="0" w:space="0" w:color="auto"/>
        <w:bottom w:val="none" w:sz="0" w:space="0" w:color="auto"/>
        <w:right w:val="none" w:sz="0" w:space="0" w:color="auto"/>
      </w:divBdr>
    </w:div>
    <w:div w:id="723405377">
      <w:bodyDiv w:val="1"/>
      <w:marLeft w:val="0"/>
      <w:marRight w:val="0"/>
      <w:marTop w:val="0"/>
      <w:marBottom w:val="0"/>
      <w:divBdr>
        <w:top w:val="none" w:sz="0" w:space="0" w:color="auto"/>
        <w:left w:val="none" w:sz="0" w:space="0" w:color="auto"/>
        <w:bottom w:val="none" w:sz="0" w:space="0" w:color="auto"/>
        <w:right w:val="none" w:sz="0" w:space="0" w:color="auto"/>
      </w:divBdr>
    </w:div>
    <w:div w:id="723799660">
      <w:bodyDiv w:val="1"/>
      <w:marLeft w:val="0"/>
      <w:marRight w:val="0"/>
      <w:marTop w:val="0"/>
      <w:marBottom w:val="0"/>
      <w:divBdr>
        <w:top w:val="none" w:sz="0" w:space="0" w:color="auto"/>
        <w:left w:val="none" w:sz="0" w:space="0" w:color="auto"/>
        <w:bottom w:val="none" w:sz="0" w:space="0" w:color="auto"/>
        <w:right w:val="none" w:sz="0" w:space="0" w:color="auto"/>
      </w:divBdr>
    </w:div>
    <w:div w:id="794058495">
      <w:bodyDiv w:val="1"/>
      <w:marLeft w:val="0"/>
      <w:marRight w:val="0"/>
      <w:marTop w:val="0"/>
      <w:marBottom w:val="0"/>
      <w:divBdr>
        <w:top w:val="none" w:sz="0" w:space="0" w:color="auto"/>
        <w:left w:val="none" w:sz="0" w:space="0" w:color="auto"/>
        <w:bottom w:val="none" w:sz="0" w:space="0" w:color="auto"/>
        <w:right w:val="none" w:sz="0" w:space="0" w:color="auto"/>
      </w:divBdr>
    </w:div>
    <w:div w:id="804129332">
      <w:bodyDiv w:val="1"/>
      <w:marLeft w:val="0"/>
      <w:marRight w:val="0"/>
      <w:marTop w:val="0"/>
      <w:marBottom w:val="0"/>
      <w:divBdr>
        <w:top w:val="none" w:sz="0" w:space="0" w:color="auto"/>
        <w:left w:val="none" w:sz="0" w:space="0" w:color="auto"/>
        <w:bottom w:val="none" w:sz="0" w:space="0" w:color="auto"/>
        <w:right w:val="none" w:sz="0" w:space="0" w:color="auto"/>
      </w:divBdr>
    </w:div>
    <w:div w:id="828667570">
      <w:bodyDiv w:val="1"/>
      <w:marLeft w:val="0"/>
      <w:marRight w:val="0"/>
      <w:marTop w:val="0"/>
      <w:marBottom w:val="0"/>
      <w:divBdr>
        <w:top w:val="none" w:sz="0" w:space="0" w:color="auto"/>
        <w:left w:val="none" w:sz="0" w:space="0" w:color="auto"/>
        <w:bottom w:val="none" w:sz="0" w:space="0" w:color="auto"/>
        <w:right w:val="none" w:sz="0" w:space="0" w:color="auto"/>
      </w:divBdr>
    </w:div>
    <w:div w:id="842161498">
      <w:bodyDiv w:val="1"/>
      <w:marLeft w:val="0"/>
      <w:marRight w:val="0"/>
      <w:marTop w:val="0"/>
      <w:marBottom w:val="0"/>
      <w:divBdr>
        <w:top w:val="none" w:sz="0" w:space="0" w:color="auto"/>
        <w:left w:val="none" w:sz="0" w:space="0" w:color="auto"/>
        <w:bottom w:val="none" w:sz="0" w:space="0" w:color="auto"/>
        <w:right w:val="none" w:sz="0" w:space="0" w:color="auto"/>
      </w:divBdr>
    </w:div>
    <w:div w:id="864098214">
      <w:bodyDiv w:val="1"/>
      <w:marLeft w:val="0"/>
      <w:marRight w:val="0"/>
      <w:marTop w:val="0"/>
      <w:marBottom w:val="0"/>
      <w:divBdr>
        <w:top w:val="none" w:sz="0" w:space="0" w:color="auto"/>
        <w:left w:val="none" w:sz="0" w:space="0" w:color="auto"/>
        <w:bottom w:val="none" w:sz="0" w:space="0" w:color="auto"/>
        <w:right w:val="none" w:sz="0" w:space="0" w:color="auto"/>
      </w:divBdr>
    </w:div>
    <w:div w:id="864368135">
      <w:bodyDiv w:val="1"/>
      <w:marLeft w:val="0"/>
      <w:marRight w:val="0"/>
      <w:marTop w:val="0"/>
      <w:marBottom w:val="0"/>
      <w:divBdr>
        <w:top w:val="none" w:sz="0" w:space="0" w:color="auto"/>
        <w:left w:val="none" w:sz="0" w:space="0" w:color="auto"/>
        <w:bottom w:val="none" w:sz="0" w:space="0" w:color="auto"/>
        <w:right w:val="none" w:sz="0" w:space="0" w:color="auto"/>
      </w:divBdr>
    </w:div>
    <w:div w:id="877863443">
      <w:bodyDiv w:val="1"/>
      <w:marLeft w:val="0"/>
      <w:marRight w:val="0"/>
      <w:marTop w:val="0"/>
      <w:marBottom w:val="0"/>
      <w:divBdr>
        <w:top w:val="none" w:sz="0" w:space="0" w:color="auto"/>
        <w:left w:val="none" w:sz="0" w:space="0" w:color="auto"/>
        <w:bottom w:val="none" w:sz="0" w:space="0" w:color="auto"/>
        <w:right w:val="none" w:sz="0" w:space="0" w:color="auto"/>
      </w:divBdr>
    </w:div>
    <w:div w:id="882057462">
      <w:bodyDiv w:val="1"/>
      <w:marLeft w:val="0"/>
      <w:marRight w:val="0"/>
      <w:marTop w:val="0"/>
      <w:marBottom w:val="0"/>
      <w:divBdr>
        <w:top w:val="none" w:sz="0" w:space="0" w:color="auto"/>
        <w:left w:val="none" w:sz="0" w:space="0" w:color="auto"/>
        <w:bottom w:val="none" w:sz="0" w:space="0" w:color="auto"/>
        <w:right w:val="none" w:sz="0" w:space="0" w:color="auto"/>
      </w:divBdr>
    </w:div>
    <w:div w:id="949748119">
      <w:bodyDiv w:val="1"/>
      <w:marLeft w:val="0"/>
      <w:marRight w:val="0"/>
      <w:marTop w:val="0"/>
      <w:marBottom w:val="0"/>
      <w:divBdr>
        <w:top w:val="none" w:sz="0" w:space="0" w:color="auto"/>
        <w:left w:val="none" w:sz="0" w:space="0" w:color="auto"/>
        <w:bottom w:val="none" w:sz="0" w:space="0" w:color="auto"/>
        <w:right w:val="none" w:sz="0" w:space="0" w:color="auto"/>
      </w:divBdr>
    </w:div>
    <w:div w:id="987830676">
      <w:bodyDiv w:val="1"/>
      <w:marLeft w:val="0"/>
      <w:marRight w:val="0"/>
      <w:marTop w:val="0"/>
      <w:marBottom w:val="0"/>
      <w:divBdr>
        <w:top w:val="none" w:sz="0" w:space="0" w:color="auto"/>
        <w:left w:val="none" w:sz="0" w:space="0" w:color="auto"/>
        <w:bottom w:val="none" w:sz="0" w:space="0" w:color="auto"/>
        <w:right w:val="none" w:sz="0" w:space="0" w:color="auto"/>
      </w:divBdr>
    </w:div>
    <w:div w:id="1030685126">
      <w:bodyDiv w:val="1"/>
      <w:marLeft w:val="0"/>
      <w:marRight w:val="0"/>
      <w:marTop w:val="0"/>
      <w:marBottom w:val="0"/>
      <w:divBdr>
        <w:top w:val="none" w:sz="0" w:space="0" w:color="auto"/>
        <w:left w:val="none" w:sz="0" w:space="0" w:color="auto"/>
        <w:bottom w:val="none" w:sz="0" w:space="0" w:color="auto"/>
        <w:right w:val="none" w:sz="0" w:space="0" w:color="auto"/>
      </w:divBdr>
    </w:div>
    <w:div w:id="1045645420">
      <w:bodyDiv w:val="1"/>
      <w:marLeft w:val="0"/>
      <w:marRight w:val="0"/>
      <w:marTop w:val="0"/>
      <w:marBottom w:val="0"/>
      <w:divBdr>
        <w:top w:val="none" w:sz="0" w:space="0" w:color="auto"/>
        <w:left w:val="none" w:sz="0" w:space="0" w:color="auto"/>
        <w:bottom w:val="none" w:sz="0" w:space="0" w:color="auto"/>
        <w:right w:val="none" w:sz="0" w:space="0" w:color="auto"/>
      </w:divBdr>
    </w:div>
    <w:div w:id="1078669910">
      <w:bodyDiv w:val="1"/>
      <w:marLeft w:val="0"/>
      <w:marRight w:val="0"/>
      <w:marTop w:val="0"/>
      <w:marBottom w:val="0"/>
      <w:divBdr>
        <w:top w:val="none" w:sz="0" w:space="0" w:color="auto"/>
        <w:left w:val="none" w:sz="0" w:space="0" w:color="auto"/>
        <w:bottom w:val="none" w:sz="0" w:space="0" w:color="auto"/>
        <w:right w:val="none" w:sz="0" w:space="0" w:color="auto"/>
      </w:divBdr>
    </w:div>
    <w:div w:id="1092702189">
      <w:bodyDiv w:val="1"/>
      <w:marLeft w:val="0"/>
      <w:marRight w:val="0"/>
      <w:marTop w:val="0"/>
      <w:marBottom w:val="0"/>
      <w:divBdr>
        <w:top w:val="none" w:sz="0" w:space="0" w:color="auto"/>
        <w:left w:val="none" w:sz="0" w:space="0" w:color="auto"/>
        <w:bottom w:val="none" w:sz="0" w:space="0" w:color="auto"/>
        <w:right w:val="none" w:sz="0" w:space="0" w:color="auto"/>
      </w:divBdr>
    </w:div>
    <w:div w:id="1095251859">
      <w:bodyDiv w:val="1"/>
      <w:marLeft w:val="0"/>
      <w:marRight w:val="0"/>
      <w:marTop w:val="0"/>
      <w:marBottom w:val="0"/>
      <w:divBdr>
        <w:top w:val="none" w:sz="0" w:space="0" w:color="auto"/>
        <w:left w:val="none" w:sz="0" w:space="0" w:color="auto"/>
        <w:bottom w:val="none" w:sz="0" w:space="0" w:color="auto"/>
        <w:right w:val="none" w:sz="0" w:space="0" w:color="auto"/>
      </w:divBdr>
    </w:div>
    <w:div w:id="1099450359">
      <w:bodyDiv w:val="1"/>
      <w:marLeft w:val="0"/>
      <w:marRight w:val="0"/>
      <w:marTop w:val="0"/>
      <w:marBottom w:val="0"/>
      <w:divBdr>
        <w:top w:val="none" w:sz="0" w:space="0" w:color="auto"/>
        <w:left w:val="none" w:sz="0" w:space="0" w:color="auto"/>
        <w:bottom w:val="none" w:sz="0" w:space="0" w:color="auto"/>
        <w:right w:val="none" w:sz="0" w:space="0" w:color="auto"/>
      </w:divBdr>
      <w:divsChild>
        <w:div w:id="1151363101">
          <w:marLeft w:val="600"/>
          <w:marRight w:val="0"/>
          <w:marTop w:val="0"/>
          <w:marBottom w:val="0"/>
          <w:divBdr>
            <w:top w:val="none" w:sz="0" w:space="0" w:color="auto"/>
            <w:left w:val="none" w:sz="0" w:space="0" w:color="auto"/>
            <w:bottom w:val="none" w:sz="0" w:space="0" w:color="auto"/>
            <w:right w:val="none" w:sz="0" w:space="0" w:color="auto"/>
          </w:divBdr>
          <w:divsChild>
            <w:div w:id="150760611">
              <w:marLeft w:val="600"/>
              <w:marRight w:val="0"/>
              <w:marTop w:val="0"/>
              <w:marBottom w:val="0"/>
              <w:divBdr>
                <w:top w:val="none" w:sz="0" w:space="0" w:color="auto"/>
                <w:left w:val="none" w:sz="0" w:space="0" w:color="auto"/>
                <w:bottom w:val="none" w:sz="0" w:space="0" w:color="auto"/>
                <w:right w:val="none" w:sz="0" w:space="0" w:color="auto"/>
              </w:divBdr>
            </w:div>
            <w:div w:id="1158887456">
              <w:marLeft w:val="720"/>
              <w:marRight w:val="0"/>
              <w:marTop w:val="0"/>
              <w:marBottom w:val="0"/>
              <w:divBdr>
                <w:top w:val="none" w:sz="0" w:space="0" w:color="auto"/>
                <w:left w:val="none" w:sz="0" w:space="0" w:color="auto"/>
                <w:bottom w:val="none" w:sz="0" w:space="0" w:color="auto"/>
                <w:right w:val="none" w:sz="0" w:space="0" w:color="auto"/>
              </w:divBdr>
            </w:div>
          </w:divsChild>
        </w:div>
        <w:div w:id="185556402">
          <w:marLeft w:val="600"/>
          <w:marRight w:val="0"/>
          <w:marTop w:val="0"/>
          <w:marBottom w:val="0"/>
          <w:divBdr>
            <w:top w:val="none" w:sz="0" w:space="0" w:color="auto"/>
            <w:left w:val="none" w:sz="0" w:space="0" w:color="auto"/>
            <w:bottom w:val="none" w:sz="0" w:space="0" w:color="auto"/>
            <w:right w:val="none" w:sz="0" w:space="0" w:color="auto"/>
          </w:divBdr>
        </w:div>
      </w:divsChild>
    </w:div>
    <w:div w:id="1117991683">
      <w:bodyDiv w:val="1"/>
      <w:marLeft w:val="0"/>
      <w:marRight w:val="0"/>
      <w:marTop w:val="0"/>
      <w:marBottom w:val="0"/>
      <w:divBdr>
        <w:top w:val="none" w:sz="0" w:space="0" w:color="auto"/>
        <w:left w:val="none" w:sz="0" w:space="0" w:color="auto"/>
        <w:bottom w:val="none" w:sz="0" w:space="0" w:color="auto"/>
        <w:right w:val="none" w:sz="0" w:space="0" w:color="auto"/>
      </w:divBdr>
    </w:div>
    <w:div w:id="1149783937">
      <w:bodyDiv w:val="1"/>
      <w:marLeft w:val="0"/>
      <w:marRight w:val="0"/>
      <w:marTop w:val="0"/>
      <w:marBottom w:val="0"/>
      <w:divBdr>
        <w:top w:val="none" w:sz="0" w:space="0" w:color="auto"/>
        <w:left w:val="none" w:sz="0" w:space="0" w:color="auto"/>
        <w:bottom w:val="none" w:sz="0" w:space="0" w:color="auto"/>
        <w:right w:val="none" w:sz="0" w:space="0" w:color="auto"/>
      </w:divBdr>
    </w:div>
    <w:div w:id="1153640522">
      <w:bodyDiv w:val="1"/>
      <w:marLeft w:val="0"/>
      <w:marRight w:val="0"/>
      <w:marTop w:val="0"/>
      <w:marBottom w:val="0"/>
      <w:divBdr>
        <w:top w:val="none" w:sz="0" w:space="0" w:color="auto"/>
        <w:left w:val="none" w:sz="0" w:space="0" w:color="auto"/>
        <w:bottom w:val="none" w:sz="0" w:space="0" w:color="auto"/>
        <w:right w:val="none" w:sz="0" w:space="0" w:color="auto"/>
      </w:divBdr>
    </w:div>
    <w:div w:id="1168718508">
      <w:bodyDiv w:val="1"/>
      <w:marLeft w:val="0"/>
      <w:marRight w:val="0"/>
      <w:marTop w:val="0"/>
      <w:marBottom w:val="0"/>
      <w:divBdr>
        <w:top w:val="none" w:sz="0" w:space="0" w:color="auto"/>
        <w:left w:val="none" w:sz="0" w:space="0" w:color="auto"/>
        <w:bottom w:val="none" w:sz="0" w:space="0" w:color="auto"/>
        <w:right w:val="none" w:sz="0" w:space="0" w:color="auto"/>
      </w:divBdr>
    </w:div>
    <w:div w:id="1253390155">
      <w:bodyDiv w:val="1"/>
      <w:marLeft w:val="0"/>
      <w:marRight w:val="0"/>
      <w:marTop w:val="0"/>
      <w:marBottom w:val="0"/>
      <w:divBdr>
        <w:top w:val="none" w:sz="0" w:space="0" w:color="auto"/>
        <w:left w:val="none" w:sz="0" w:space="0" w:color="auto"/>
        <w:bottom w:val="none" w:sz="0" w:space="0" w:color="auto"/>
        <w:right w:val="none" w:sz="0" w:space="0" w:color="auto"/>
      </w:divBdr>
    </w:div>
    <w:div w:id="1274628543">
      <w:bodyDiv w:val="1"/>
      <w:marLeft w:val="0"/>
      <w:marRight w:val="0"/>
      <w:marTop w:val="0"/>
      <w:marBottom w:val="0"/>
      <w:divBdr>
        <w:top w:val="none" w:sz="0" w:space="0" w:color="auto"/>
        <w:left w:val="none" w:sz="0" w:space="0" w:color="auto"/>
        <w:bottom w:val="none" w:sz="0" w:space="0" w:color="auto"/>
        <w:right w:val="none" w:sz="0" w:space="0" w:color="auto"/>
      </w:divBdr>
    </w:div>
    <w:div w:id="1286694854">
      <w:bodyDiv w:val="1"/>
      <w:marLeft w:val="0"/>
      <w:marRight w:val="0"/>
      <w:marTop w:val="0"/>
      <w:marBottom w:val="0"/>
      <w:divBdr>
        <w:top w:val="none" w:sz="0" w:space="0" w:color="auto"/>
        <w:left w:val="none" w:sz="0" w:space="0" w:color="auto"/>
        <w:bottom w:val="none" w:sz="0" w:space="0" w:color="auto"/>
        <w:right w:val="none" w:sz="0" w:space="0" w:color="auto"/>
      </w:divBdr>
    </w:div>
    <w:div w:id="1385715875">
      <w:bodyDiv w:val="1"/>
      <w:marLeft w:val="0"/>
      <w:marRight w:val="0"/>
      <w:marTop w:val="0"/>
      <w:marBottom w:val="0"/>
      <w:divBdr>
        <w:top w:val="none" w:sz="0" w:space="0" w:color="auto"/>
        <w:left w:val="none" w:sz="0" w:space="0" w:color="auto"/>
        <w:bottom w:val="none" w:sz="0" w:space="0" w:color="auto"/>
        <w:right w:val="none" w:sz="0" w:space="0" w:color="auto"/>
      </w:divBdr>
    </w:div>
    <w:div w:id="1405487960">
      <w:bodyDiv w:val="1"/>
      <w:marLeft w:val="0"/>
      <w:marRight w:val="0"/>
      <w:marTop w:val="0"/>
      <w:marBottom w:val="0"/>
      <w:divBdr>
        <w:top w:val="none" w:sz="0" w:space="0" w:color="auto"/>
        <w:left w:val="none" w:sz="0" w:space="0" w:color="auto"/>
        <w:bottom w:val="none" w:sz="0" w:space="0" w:color="auto"/>
        <w:right w:val="none" w:sz="0" w:space="0" w:color="auto"/>
      </w:divBdr>
    </w:div>
    <w:div w:id="1425146681">
      <w:bodyDiv w:val="1"/>
      <w:marLeft w:val="0"/>
      <w:marRight w:val="0"/>
      <w:marTop w:val="0"/>
      <w:marBottom w:val="0"/>
      <w:divBdr>
        <w:top w:val="none" w:sz="0" w:space="0" w:color="auto"/>
        <w:left w:val="none" w:sz="0" w:space="0" w:color="auto"/>
        <w:bottom w:val="none" w:sz="0" w:space="0" w:color="auto"/>
        <w:right w:val="none" w:sz="0" w:space="0" w:color="auto"/>
      </w:divBdr>
    </w:div>
    <w:div w:id="1426725356">
      <w:bodyDiv w:val="1"/>
      <w:marLeft w:val="0"/>
      <w:marRight w:val="0"/>
      <w:marTop w:val="0"/>
      <w:marBottom w:val="0"/>
      <w:divBdr>
        <w:top w:val="none" w:sz="0" w:space="0" w:color="auto"/>
        <w:left w:val="none" w:sz="0" w:space="0" w:color="auto"/>
        <w:bottom w:val="none" w:sz="0" w:space="0" w:color="auto"/>
        <w:right w:val="none" w:sz="0" w:space="0" w:color="auto"/>
      </w:divBdr>
    </w:div>
    <w:div w:id="1432892364">
      <w:bodyDiv w:val="1"/>
      <w:marLeft w:val="0"/>
      <w:marRight w:val="0"/>
      <w:marTop w:val="0"/>
      <w:marBottom w:val="0"/>
      <w:divBdr>
        <w:top w:val="none" w:sz="0" w:space="0" w:color="auto"/>
        <w:left w:val="none" w:sz="0" w:space="0" w:color="auto"/>
        <w:bottom w:val="none" w:sz="0" w:space="0" w:color="auto"/>
        <w:right w:val="none" w:sz="0" w:space="0" w:color="auto"/>
      </w:divBdr>
    </w:div>
    <w:div w:id="1490557133">
      <w:bodyDiv w:val="1"/>
      <w:marLeft w:val="0"/>
      <w:marRight w:val="0"/>
      <w:marTop w:val="0"/>
      <w:marBottom w:val="0"/>
      <w:divBdr>
        <w:top w:val="none" w:sz="0" w:space="0" w:color="auto"/>
        <w:left w:val="none" w:sz="0" w:space="0" w:color="auto"/>
        <w:bottom w:val="none" w:sz="0" w:space="0" w:color="auto"/>
        <w:right w:val="none" w:sz="0" w:space="0" w:color="auto"/>
      </w:divBdr>
    </w:div>
    <w:div w:id="1508397146">
      <w:bodyDiv w:val="1"/>
      <w:marLeft w:val="0"/>
      <w:marRight w:val="0"/>
      <w:marTop w:val="0"/>
      <w:marBottom w:val="0"/>
      <w:divBdr>
        <w:top w:val="none" w:sz="0" w:space="0" w:color="auto"/>
        <w:left w:val="none" w:sz="0" w:space="0" w:color="auto"/>
        <w:bottom w:val="none" w:sz="0" w:space="0" w:color="auto"/>
        <w:right w:val="none" w:sz="0" w:space="0" w:color="auto"/>
      </w:divBdr>
    </w:div>
    <w:div w:id="1533378084">
      <w:bodyDiv w:val="1"/>
      <w:marLeft w:val="0"/>
      <w:marRight w:val="0"/>
      <w:marTop w:val="0"/>
      <w:marBottom w:val="0"/>
      <w:divBdr>
        <w:top w:val="none" w:sz="0" w:space="0" w:color="auto"/>
        <w:left w:val="none" w:sz="0" w:space="0" w:color="auto"/>
        <w:bottom w:val="none" w:sz="0" w:space="0" w:color="auto"/>
        <w:right w:val="none" w:sz="0" w:space="0" w:color="auto"/>
      </w:divBdr>
    </w:div>
    <w:div w:id="1555965489">
      <w:bodyDiv w:val="1"/>
      <w:marLeft w:val="0"/>
      <w:marRight w:val="0"/>
      <w:marTop w:val="0"/>
      <w:marBottom w:val="0"/>
      <w:divBdr>
        <w:top w:val="none" w:sz="0" w:space="0" w:color="auto"/>
        <w:left w:val="none" w:sz="0" w:space="0" w:color="auto"/>
        <w:bottom w:val="none" w:sz="0" w:space="0" w:color="auto"/>
        <w:right w:val="none" w:sz="0" w:space="0" w:color="auto"/>
      </w:divBdr>
    </w:div>
    <w:div w:id="1574269171">
      <w:bodyDiv w:val="1"/>
      <w:marLeft w:val="0"/>
      <w:marRight w:val="0"/>
      <w:marTop w:val="0"/>
      <w:marBottom w:val="0"/>
      <w:divBdr>
        <w:top w:val="none" w:sz="0" w:space="0" w:color="auto"/>
        <w:left w:val="none" w:sz="0" w:space="0" w:color="auto"/>
        <w:bottom w:val="none" w:sz="0" w:space="0" w:color="auto"/>
        <w:right w:val="none" w:sz="0" w:space="0" w:color="auto"/>
      </w:divBdr>
    </w:div>
    <w:div w:id="1593509490">
      <w:bodyDiv w:val="1"/>
      <w:marLeft w:val="0"/>
      <w:marRight w:val="0"/>
      <w:marTop w:val="0"/>
      <w:marBottom w:val="0"/>
      <w:divBdr>
        <w:top w:val="none" w:sz="0" w:space="0" w:color="auto"/>
        <w:left w:val="none" w:sz="0" w:space="0" w:color="auto"/>
        <w:bottom w:val="none" w:sz="0" w:space="0" w:color="auto"/>
        <w:right w:val="none" w:sz="0" w:space="0" w:color="auto"/>
      </w:divBdr>
    </w:div>
    <w:div w:id="1638223010">
      <w:bodyDiv w:val="1"/>
      <w:marLeft w:val="0"/>
      <w:marRight w:val="0"/>
      <w:marTop w:val="0"/>
      <w:marBottom w:val="0"/>
      <w:divBdr>
        <w:top w:val="none" w:sz="0" w:space="0" w:color="auto"/>
        <w:left w:val="none" w:sz="0" w:space="0" w:color="auto"/>
        <w:bottom w:val="none" w:sz="0" w:space="0" w:color="auto"/>
        <w:right w:val="none" w:sz="0" w:space="0" w:color="auto"/>
      </w:divBdr>
    </w:div>
    <w:div w:id="1679304824">
      <w:bodyDiv w:val="1"/>
      <w:marLeft w:val="0"/>
      <w:marRight w:val="0"/>
      <w:marTop w:val="0"/>
      <w:marBottom w:val="0"/>
      <w:divBdr>
        <w:top w:val="none" w:sz="0" w:space="0" w:color="auto"/>
        <w:left w:val="none" w:sz="0" w:space="0" w:color="auto"/>
        <w:bottom w:val="none" w:sz="0" w:space="0" w:color="auto"/>
        <w:right w:val="none" w:sz="0" w:space="0" w:color="auto"/>
      </w:divBdr>
      <w:divsChild>
        <w:div w:id="484516645">
          <w:marLeft w:val="0"/>
          <w:marRight w:val="0"/>
          <w:marTop w:val="0"/>
          <w:marBottom w:val="0"/>
          <w:divBdr>
            <w:top w:val="none" w:sz="0" w:space="0" w:color="auto"/>
            <w:left w:val="none" w:sz="0" w:space="0" w:color="auto"/>
            <w:bottom w:val="none" w:sz="0" w:space="0" w:color="auto"/>
            <w:right w:val="none" w:sz="0" w:space="0" w:color="auto"/>
          </w:divBdr>
          <w:divsChild>
            <w:div w:id="12710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79004">
      <w:bodyDiv w:val="1"/>
      <w:marLeft w:val="0"/>
      <w:marRight w:val="0"/>
      <w:marTop w:val="0"/>
      <w:marBottom w:val="0"/>
      <w:divBdr>
        <w:top w:val="none" w:sz="0" w:space="0" w:color="auto"/>
        <w:left w:val="none" w:sz="0" w:space="0" w:color="auto"/>
        <w:bottom w:val="none" w:sz="0" w:space="0" w:color="auto"/>
        <w:right w:val="none" w:sz="0" w:space="0" w:color="auto"/>
      </w:divBdr>
    </w:div>
    <w:div w:id="1729916919">
      <w:bodyDiv w:val="1"/>
      <w:marLeft w:val="0"/>
      <w:marRight w:val="0"/>
      <w:marTop w:val="0"/>
      <w:marBottom w:val="0"/>
      <w:divBdr>
        <w:top w:val="none" w:sz="0" w:space="0" w:color="auto"/>
        <w:left w:val="none" w:sz="0" w:space="0" w:color="auto"/>
        <w:bottom w:val="none" w:sz="0" w:space="0" w:color="auto"/>
        <w:right w:val="none" w:sz="0" w:space="0" w:color="auto"/>
      </w:divBdr>
    </w:div>
    <w:div w:id="1733043871">
      <w:bodyDiv w:val="1"/>
      <w:marLeft w:val="0"/>
      <w:marRight w:val="0"/>
      <w:marTop w:val="0"/>
      <w:marBottom w:val="0"/>
      <w:divBdr>
        <w:top w:val="none" w:sz="0" w:space="0" w:color="auto"/>
        <w:left w:val="none" w:sz="0" w:space="0" w:color="auto"/>
        <w:bottom w:val="none" w:sz="0" w:space="0" w:color="auto"/>
        <w:right w:val="none" w:sz="0" w:space="0" w:color="auto"/>
      </w:divBdr>
    </w:div>
    <w:div w:id="1733966149">
      <w:bodyDiv w:val="1"/>
      <w:marLeft w:val="0"/>
      <w:marRight w:val="0"/>
      <w:marTop w:val="0"/>
      <w:marBottom w:val="0"/>
      <w:divBdr>
        <w:top w:val="none" w:sz="0" w:space="0" w:color="auto"/>
        <w:left w:val="none" w:sz="0" w:space="0" w:color="auto"/>
        <w:bottom w:val="none" w:sz="0" w:space="0" w:color="auto"/>
        <w:right w:val="none" w:sz="0" w:space="0" w:color="auto"/>
      </w:divBdr>
    </w:div>
    <w:div w:id="1772628255">
      <w:bodyDiv w:val="1"/>
      <w:marLeft w:val="0"/>
      <w:marRight w:val="0"/>
      <w:marTop w:val="0"/>
      <w:marBottom w:val="0"/>
      <w:divBdr>
        <w:top w:val="none" w:sz="0" w:space="0" w:color="auto"/>
        <w:left w:val="none" w:sz="0" w:space="0" w:color="auto"/>
        <w:bottom w:val="none" w:sz="0" w:space="0" w:color="auto"/>
        <w:right w:val="none" w:sz="0" w:space="0" w:color="auto"/>
      </w:divBdr>
    </w:div>
    <w:div w:id="1797524046">
      <w:bodyDiv w:val="1"/>
      <w:marLeft w:val="0"/>
      <w:marRight w:val="0"/>
      <w:marTop w:val="0"/>
      <w:marBottom w:val="0"/>
      <w:divBdr>
        <w:top w:val="none" w:sz="0" w:space="0" w:color="auto"/>
        <w:left w:val="none" w:sz="0" w:space="0" w:color="auto"/>
        <w:bottom w:val="none" w:sz="0" w:space="0" w:color="auto"/>
        <w:right w:val="none" w:sz="0" w:space="0" w:color="auto"/>
      </w:divBdr>
    </w:div>
    <w:div w:id="1833174703">
      <w:bodyDiv w:val="1"/>
      <w:marLeft w:val="0"/>
      <w:marRight w:val="0"/>
      <w:marTop w:val="0"/>
      <w:marBottom w:val="0"/>
      <w:divBdr>
        <w:top w:val="none" w:sz="0" w:space="0" w:color="auto"/>
        <w:left w:val="none" w:sz="0" w:space="0" w:color="auto"/>
        <w:bottom w:val="none" w:sz="0" w:space="0" w:color="auto"/>
        <w:right w:val="none" w:sz="0" w:space="0" w:color="auto"/>
      </w:divBdr>
    </w:div>
    <w:div w:id="1836649668">
      <w:bodyDiv w:val="1"/>
      <w:marLeft w:val="0"/>
      <w:marRight w:val="0"/>
      <w:marTop w:val="0"/>
      <w:marBottom w:val="0"/>
      <w:divBdr>
        <w:top w:val="none" w:sz="0" w:space="0" w:color="auto"/>
        <w:left w:val="none" w:sz="0" w:space="0" w:color="auto"/>
        <w:bottom w:val="none" w:sz="0" w:space="0" w:color="auto"/>
        <w:right w:val="none" w:sz="0" w:space="0" w:color="auto"/>
      </w:divBdr>
    </w:div>
    <w:div w:id="1853495261">
      <w:bodyDiv w:val="1"/>
      <w:marLeft w:val="0"/>
      <w:marRight w:val="0"/>
      <w:marTop w:val="0"/>
      <w:marBottom w:val="0"/>
      <w:divBdr>
        <w:top w:val="none" w:sz="0" w:space="0" w:color="auto"/>
        <w:left w:val="none" w:sz="0" w:space="0" w:color="auto"/>
        <w:bottom w:val="none" w:sz="0" w:space="0" w:color="auto"/>
        <w:right w:val="none" w:sz="0" w:space="0" w:color="auto"/>
      </w:divBdr>
    </w:div>
    <w:div w:id="1862232837">
      <w:bodyDiv w:val="1"/>
      <w:marLeft w:val="0"/>
      <w:marRight w:val="0"/>
      <w:marTop w:val="0"/>
      <w:marBottom w:val="0"/>
      <w:divBdr>
        <w:top w:val="none" w:sz="0" w:space="0" w:color="auto"/>
        <w:left w:val="none" w:sz="0" w:space="0" w:color="auto"/>
        <w:bottom w:val="none" w:sz="0" w:space="0" w:color="auto"/>
        <w:right w:val="none" w:sz="0" w:space="0" w:color="auto"/>
      </w:divBdr>
    </w:div>
    <w:div w:id="1881476538">
      <w:bodyDiv w:val="1"/>
      <w:marLeft w:val="0"/>
      <w:marRight w:val="0"/>
      <w:marTop w:val="0"/>
      <w:marBottom w:val="0"/>
      <w:divBdr>
        <w:top w:val="none" w:sz="0" w:space="0" w:color="auto"/>
        <w:left w:val="none" w:sz="0" w:space="0" w:color="auto"/>
        <w:bottom w:val="none" w:sz="0" w:space="0" w:color="auto"/>
        <w:right w:val="none" w:sz="0" w:space="0" w:color="auto"/>
      </w:divBdr>
    </w:div>
    <w:div w:id="1902713041">
      <w:bodyDiv w:val="1"/>
      <w:marLeft w:val="0"/>
      <w:marRight w:val="0"/>
      <w:marTop w:val="0"/>
      <w:marBottom w:val="0"/>
      <w:divBdr>
        <w:top w:val="none" w:sz="0" w:space="0" w:color="auto"/>
        <w:left w:val="none" w:sz="0" w:space="0" w:color="auto"/>
        <w:bottom w:val="none" w:sz="0" w:space="0" w:color="auto"/>
        <w:right w:val="none" w:sz="0" w:space="0" w:color="auto"/>
      </w:divBdr>
    </w:div>
    <w:div w:id="1955483468">
      <w:bodyDiv w:val="1"/>
      <w:marLeft w:val="0"/>
      <w:marRight w:val="0"/>
      <w:marTop w:val="0"/>
      <w:marBottom w:val="0"/>
      <w:divBdr>
        <w:top w:val="none" w:sz="0" w:space="0" w:color="auto"/>
        <w:left w:val="none" w:sz="0" w:space="0" w:color="auto"/>
        <w:bottom w:val="none" w:sz="0" w:space="0" w:color="auto"/>
        <w:right w:val="none" w:sz="0" w:space="0" w:color="auto"/>
      </w:divBdr>
    </w:div>
    <w:div w:id="2022512404">
      <w:bodyDiv w:val="1"/>
      <w:marLeft w:val="0"/>
      <w:marRight w:val="0"/>
      <w:marTop w:val="0"/>
      <w:marBottom w:val="0"/>
      <w:divBdr>
        <w:top w:val="none" w:sz="0" w:space="0" w:color="auto"/>
        <w:left w:val="none" w:sz="0" w:space="0" w:color="auto"/>
        <w:bottom w:val="none" w:sz="0" w:space="0" w:color="auto"/>
        <w:right w:val="none" w:sz="0" w:space="0" w:color="auto"/>
      </w:divBdr>
    </w:div>
    <w:div w:id="2029286216">
      <w:bodyDiv w:val="1"/>
      <w:marLeft w:val="0"/>
      <w:marRight w:val="0"/>
      <w:marTop w:val="0"/>
      <w:marBottom w:val="0"/>
      <w:divBdr>
        <w:top w:val="none" w:sz="0" w:space="0" w:color="auto"/>
        <w:left w:val="none" w:sz="0" w:space="0" w:color="auto"/>
        <w:bottom w:val="none" w:sz="0" w:space="0" w:color="auto"/>
        <w:right w:val="none" w:sz="0" w:space="0" w:color="auto"/>
      </w:divBdr>
    </w:div>
    <w:div w:id="2036156842">
      <w:bodyDiv w:val="1"/>
      <w:marLeft w:val="0"/>
      <w:marRight w:val="0"/>
      <w:marTop w:val="0"/>
      <w:marBottom w:val="0"/>
      <w:divBdr>
        <w:top w:val="none" w:sz="0" w:space="0" w:color="auto"/>
        <w:left w:val="none" w:sz="0" w:space="0" w:color="auto"/>
        <w:bottom w:val="none" w:sz="0" w:space="0" w:color="auto"/>
        <w:right w:val="none" w:sz="0" w:space="0" w:color="auto"/>
      </w:divBdr>
    </w:div>
    <w:div w:id="2041200284">
      <w:bodyDiv w:val="1"/>
      <w:marLeft w:val="0"/>
      <w:marRight w:val="0"/>
      <w:marTop w:val="0"/>
      <w:marBottom w:val="0"/>
      <w:divBdr>
        <w:top w:val="none" w:sz="0" w:space="0" w:color="auto"/>
        <w:left w:val="none" w:sz="0" w:space="0" w:color="auto"/>
        <w:bottom w:val="none" w:sz="0" w:space="0" w:color="auto"/>
        <w:right w:val="none" w:sz="0" w:space="0" w:color="auto"/>
      </w:divBdr>
    </w:div>
    <w:div w:id="2081174181">
      <w:bodyDiv w:val="1"/>
      <w:marLeft w:val="0"/>
      <w:marRight w:val="0"/>
      <w:marTop w:val="0"/>
      <w:marBottom w:val="0"/>
      <w:divBdr>
        <w:top w:val="none" w:sz="0" w:space="0" w:color="auto"/>
        <w:left w:val="none" w:sz="0" w:space="0" w:color="auto"/>
        <w:bottom w:val="none" w:sz="0" w:space="0" w:color="auto"/>
        <w:right w:val="none" w:sz="0" w:space="0" w:color="auto"/>
      </w:divBdr>
    </w:div>
    <w:div w:id="2092307745">
      <w:bodyDiv w:val="1"/>
      <w:marLeft w:val="0"/>
      <w:marRight w:val="0"/>
      <w:marTop w:val="0"/>
      <w:marBottom w:val="0"/>
      <w:divBdr>
        <w:top w:val="none" w:sz="0" w:space="0" w:color="auto"/>
        <w:left w:val="none" w:sz="0" w:space="0" w:color="auto"/>
        <w:bottom w:val="none" w:sz="0" w:space="0" w:color="auto"/>
        <w:right w:val="none" w:sz="0" w:space="0" w:color="auto"/>
      </w:divBdr>
    </w:div>
    <w:div w:id="2119328981">
      <w:bodyDiv w:val="1"/>
      <w:marLeft w:val="0"/>
      <w:marRight w:val="0"/>
      <w:marTop w:val="0"/>
      <w:marBottom w:val="0"/>
      <w:divBdr>
        <w:top w:val="none" w:sz="0" w:space="0" w:color="auto"/>
        <w:left w:val="none" w:sz="0" w:space="0" w:color="auto"/>
        <w:bottom w:val="none" w:sz="0" w:space="0" w:color="auto"/>
        <w:right w:val="none" w:sz="0" w:space="0" w:color="auto"/>
      </w:divBdr>
    </w:div>
    <w:div w:id="2120953412">
      <w:bodyDiv w:val="1"/>
      <w:marLeft w:val="0"/>
      <w:marRight w:val="0"/>
      <w:marTop w:val="0"/>
      <w:marBottom w:val="0"/>
      <w:divBdr>
        <w:top w:val="none" w:sz="0" w:space="0" w:color="auto"/>
        <w:left w:val="none" w:sz="0" w:space="0" w:color="auto"/>
        <w:bottom w:val="none" w:sz="0" w:space="0" w:color="auto"/>
        <w:right w:val="none" w:sz="0" w:space="0" w:color="auto"/>
      </w:divBdr>
    </w:div>
    <w:div w:id="2133353601">
      <w:bodyDiv w:val="1"/>
      <w:marLeft w:val="0"/>
      <w:marRight w:val="0"/>
      <w:marTop w:val="0"/>
      <w:marBottom w:val="0"/>
      <w:divBdr>
        <w:top w:val="none" w:sz="0" w:space="0" w:color="auto"/>
        <w:left w:val="none" w:sz="0" w:space="0" w:color="auto"/>
        <w:bottom w:val="none" w:sz="0" w:space="0" w:color="auto"/>
        <w:right w:val="none" w:sz="0" w:space="0" w:color="auto"/>
      </w:divBdr>
    </w:div>
    <w:div w:id="21421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PL/TXT/?uri=CELEX:32014L0095" TargetMode="External"/><Relationship Id="rId18" Type="http://schemas.openxmlformats.org/officeDocument/2006/relationships/hyperlink" Target="https://eur-lex.europa.eu/legal-content/PL/TXT/PDF/?uri=CELEX:32017R0821&amp;from=EN" TargetMode="External"/><Relationship Id="rId26" Type="http://schemas.openxmlformats.org/officeDocument/2006/relationships/hyperlink" Target="https://ec.europa.eu/environment/strategy/chemicals-strategy_en" TargetMode="External"/><Relationship Id="rId3" Type="http://schemas.openxmlformats.org/officeDocument/2006/relationships/customXml" Target="../customXml/item3.xml"/><Relationship Id="rId21" Type="http://schemas.openxmlformats.org/officeDocument/2006/relationships/hyperlink" Target="https://ec.europa.eu/info/law/better-regulation/have-your-say/initiatives/12567-Inicjatywa-dotyczaca-zrownowazonych-produktow_pl" TargetMode="External"/><Relationship Id="rId34" Type="http://schemas.openxmlformats.org/officeDocument/2006/relationships/hyperlink" Target="https://ec.europa.eu/anti-trafficking/eu-strategy-combatting-trafficking-human-beings-2021-2025_e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ur-lex.europa.eu/legal-content/PL/TXT/?uri=CELEX:32009L0052&amp;qid=1645109593843" TargetMode="External"/><Relationship Id="rId25" Type="http://schemas.openxmlformats.org/officeDocument/2006/relationships/hyperlink" Target="https://ec.europa.eu/food/farm2fork_en" TargetMode="External"/><Relationship Id="rId33" Type="http://schemas.openxmlformats.org/officeDocument/2006/relationships/hyperlink" Target="https://ec.europa.eu/info/files/eu-strategy-rights-child-graphics_e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legal-content/PL/TXT/?uri=CELEX:32011L0036" TargetMode="External"/><Relationship Id="rId20" Type="http://schemas.openxmlformats.org/officeDocument/2006/relationships/hyperlink" Target="https://ec.europa.eu/environment/topics/waste-and-recycling/batteries-and-accumulators_en" TargetMode="External"/><Relationship Id="rId29" Type="http://schemas.openxmlformats.org/officeDocument/2006/relationships/hyperlink" Target="https://ec.europa.eu/clima/eu-action/eu-emissions-trading-system-eu-ets_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c.europa.eu/environment/strategy/biodiversity-strategy-2030_pl" TargetMode="External"/><Relationship Id="rId32" Type="http://schemas.openxmlformats.org/officeDocument/2006/relationships/hyperlink" Target="https://eur-lex.europa.eu/legal-content/PL/TXT/?uri=CELEX%3A52020JC0005"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lex.europa.eu/legal-content/PL/TXT/PDF/?uri=CELEX:32020R0852&amp;from=EN" TargetMode="External"/><Relationship Id="rId23" Type="http://schemas.openxmlformats.org/officeDocument/2006/relationships/hyperlink" Target="https://ec.europa.eu/environment/circular-economy/index_en.htm" TargetMode="External"/><Relationship Id="rId28" Type="http://schemas.openxmlformats.org/officeDocument/2006/relationships/hyperlink" Target="https://ec.europa.eu/commission/presscorner/detail/pl/ip_21_3541"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c.europa.eu/environment/publications/proposal-regulation-deforestation-free-products_en" TargetMode="External"/><Relationship Id="rId31" Type="http://schemas.openxmlformats.org/officeDocument/2006/relationships/hyperlink" Target="https://eur-lex.europa.eu/summary/chapter/employment_and_social_policy.html?root_default=SUM_1_CODED%3D17&amp;locale=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PL/TXT/?uri=CELEX%3A02019R2088-20200712" TargetMode="External"/><Relationship Id="rId22" Type="http://schemas.openxmlformats.org/officeDocument/2006/relationships/hyperlink" Target="https://eur-lex.europa.eu/legal-content/PL/ALL/?uri=CELEX%3A32009L0125" TargetMode="External"/><Relationship Id="rId27" Type="http://schemas.openxmlformats.org/officeDocument/2006/relationships/hyperlink" Target="https://eur-lex.europa.eu/legal-content/PL/TXT/?uri=CELEX%3A52021DC0390" TargetMode="External"/><Relationship Id="rId30" Type="http://schemas.openxmlformats.org/officeDocument/2006/relationships/hyperlink" Target="https://eur-lex.europa.eu/resource.html?uri=cellar:a95a4441-e558-11eb-a1a5-01aa75ed71a1.0023.02/DOC_1&amp;format=PDF"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RegData/etudes/BRIE/2014/538222/EPRS_BRI(2014)538222_REV1_EN.pdf)" TargetMode="External"/><Relationship Id="rId13" Type="http://schemas.openxmlformats.org/officeDocument/2006/relationships/hyperlink" Target="https://ap.ohchr.org/documents/dpage_e.aspx?si=A/HRC/RES/26/9" TargetMode="External"/><Relationship Id="rId18" Type="http://schemas.openxmlformats.org/officeDocument/2006/relationships/hyperlink" Target="https://www.ohchr.org/documents/publications/guidingprinciplesbusinesshr_en.pdf" TargetMode="External"/><Relationship Id="rId26" Type="http://schemas.openxmlformats.org/officeDocument/2006/relationships/hyperlink" Target="https://ec.europa.eu/info/sites/default/files/joint_declaration_2022.pdf" TargetMode="External"/><Relationship Id="rId3" Type="http://schemas.openxmlformats.org/officeDocument/2006/relationships/hyperlink" Target="https://doi.org/10.1787/9789264115415-en" TargetMode="External"/><Relationship Id="rId21" Type="http://schemas.openxmlformats.org/officeDocument/2006/relationships/hyperlink" Target="https://www.un.org/ga/search/view_doc.asp?symbol=A/RES/70/1&amp;Lang=E" TargetMode="External"/><Relationship Id="rId7" Type="http://schemas.openxmlformats.org/officeDocument/2006/relationships/hyperlink" Target="https://www.europarl.europa.eu/RegData/etudes/STUD/2016/578007/EXPO_STU(2016)578007_EN.pdf" TargetMode="External"/><Relationship Id="rId12" Type="http://schemas.openxmlformats.org/officeDocument/2006/relationships/hyperlink" Target="https://www.economist.com/business/2021/02/20/can-anglo-saxon-activist-investors-whip-danone-into-shape" TargetMode="External"/><Relationship Id="rId17" Type="http://schemas.openxmlformats.org/officeDocument/2006/relationships/hyperlink" Target="https://www.economie.gouv.fr/entreprises/societe-mission" TargetMode="External"/><Relationship Id="rId25" Type="http://schemas.openxmlformats.org/officeDocument/2006/relationships/hyperlink" Target="https://oeil.secure.europarl.europa.eu/oeil/popups/ficheprocedure.do?lang=en&amp;reference=2020/2129(INL)" TargetMode="External"/><Relationship Id="rId2" Type="http://schemas.openxmlformats.org/officeDocument/2006/relationships/hyperlink" Target="https://www.ohchr.org/Documents/Publications/GuidingPrinciplesBusinessHR_EN.pdf" TargetMode="External"/><Relationship Id="rId16" Type="http://schemas.openxmlformats.org/officeDocument/2006/relationships/hyperlink" Target="https://data.europa.eu/doi/10.2838/472901" TargetMode="External"/><Relationship Id="rId20" Type="http://schemas.openxmlformats.org/officeDocument/2006/relationships/hyperlink" Target="https://www.ilo.org/empent/Publications/WCMS_094386/lang--en/index.htm" TargetMode="External"/><Relationship Id="rId1" Type="http://schemas.openxmlformats.org/officeDocument/2006/relationships/hyperlink" Target="https://oeil.secure.europarl.europa.eu/oeil/popups/ficheprocedure.do?lang=en&amp;reference=2020/2129(INL)" TargetMode="External"/><Relationship Id="rId6" Type="http://schemas.openxmlformats.org/officeDocument/2006/relationships/hyperlink" Target="https://www.business-humanrights.org/en/blog/brumadinho-dam-collapse-lessons-in-corporate-due-diligence-and-remedy-for-harm-done/" TargetMode="External"/><Relationship Id="rId11" Type="http://schemas.openxmlformats.org/officeDocument/2006/relationships/hyperlink" Target="https://eur-lex.europa.eu/summary/chapter/employment_and_social_policy.html?root_default=SUM_1_CODED%3D17&amp;locale=pl" TargetMode="External"/><Relationship Id="rId24" Type="http://schemas.openxmlformats.org/officeDocument/2006/relationships/hyperlink" Target="https://op.europa.eu/webpub/empl/european-pillar-of-social-rights/pl/" TargetMode="External"/><Relationship Id="rId5" Type="http://schemas.openxmlformats.org/officeDocument/2006/relationships/hyperlink" Target="https://data.europa.eu/doi/10.2838/39830" TargetMode="External"/><Relationship Id="rId15" Type="http://schemas.openxmlformats.org/officeDocument/2006/relationships/hyperlink" Target="https://ec.europa.eu/info/law/better-regulation/have-your-say/initiatives/12548-Sustainable-corporate-governance/public-consultation_pl" TargetMode="External"/><Relationship Id="rId23" Type="http://schemas.openxmlformats.org/officeDocument/2006/relationships/hyperlink" Target="https://unfccc.int/sites/default/files/resource/cma2021_L16_adv.pdf" TargetMode="External"/><Relationship Id="rId28" Type="http://schemas.openxmlformats.org/officeDocument/2006/relationships/hyperlink" Target="https://www.ohchr.org/Documents/Issues/Business/RtRInterpretativeGuide.pdf" TargetMode="External"/><Relationship Id="rId10" Type="http://schemas.openxmlformats.org/officeDocument/2006/relationships/hyperlink" Target="https://www.adelphi.de/en/system/files/mediathek/bilder/Umweltatlas%20Lieferkette%20-%20adelphi-Systain-englisch.pdf" TargetMode="External"/><Relationship Id="rId19" Type="http://schemas.openxmlformats.org/officeDocument/2006/relationships/hyperlink" Target="https://www.oecd.org/investment/due-diligence-guidance-for-responsible-business-conduct.htm" TargetMode="External"/><Relationship Id="rId4" Type="http://schemas.openxmlformats.org/officeDocument/2006/relationships/hyperlink" Target="https://mneguidelines.oecd.org/mneguidelines/" TargetMode="External"/><Relationship Id="rId9" Type="http://schemas.openxmlformats.org/officeDocument/2006/relationships/hyperlink" Target="https://www.esma.europa.eu/press-news/esma-news/three-european-supervisory-authorities-publish-final-report-and-draft-rts" TargetMode="External"/><Relationship Id="rId14" Type="http://schemas.openxmlformats.org/officeDocument/2006/relationships/hyperlink" Target="https://www.ohchr.org/Documents/HRBodies/HRCouncil/WGTransCorp/Session6/OEIGWG_Chair-Rapporteur_second_revised_draft_LBI_on_TNCs_and_OBEs_with_respect_to_Human_Rights.pdf" TargetMode="External"/><Relationship Id="rId22" Type="http://schemas.openxmlformats.org/officeDocument/2006/relationships/hyperlink" Target="https://unfccc.int/files/essential_background/convention/application/pdf/english_paris_agreement.pdf" TargetMode="External"/><Relationship Id="rId27" Type="http://schemas.openxmlformats.org/officeDocument/2006/relationships/hyperlink" Target="https://www.ungpreporting.org/wp-content/uploads/UNGPReportingFramework_withguidance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5951883E5C30040B203E32BE87605CE" ma:contentTypeVersion="0" ma:contentTypeDescription="Create a new document in this library." ma:contentTypeScope="" ma:versionID="f9b365d76977b9da4d2173adeddd3672">
  <xsd:schema xmlns:xsd="http://www.w3.org/2001/XMLSchema" xmlns:xs="http://www.w3.org/2001/XMLSchema" xmlns:p="http://schemas.microsoft.com/office/2006/metadata/properties" xmlns:ns2="http://schemas.microsoft.com/sharepoint/v3/fields" xmlns:ns3="b22a275e-e4fe-4beb-ace0-d80ad182a842" targetNamespace="http://schemas.microsoft.com/office/2006/metadata/properties" ma:root="true" ma:fieldsID="08740ce07f07110a82f4d2281c621160" ns2:_="" ns3:_="">
    <xsd:import namespace="http://schemas.microsoft.com/sharepoint/v3/fields"/>
    <xsd:import namespace="b22a275e-e4fe-4beb-ace0-d80ad182a84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22a275e-e4fe-4beb-ace0-d80ad182a8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b22a275e-e4fe-4beb-ace0-d80ad182a842">Not Started</EC_Collab_Status>
    <_Status xmlns="http://schemas.microsoft.com/sharepoint/v3/fields">Not Started</_Status>
    <EC_Collab_DocumentLanguage xmlns="b22a275e-e4fe-4beb-ace0-d80ad182a842">EN</EC_Collab_DocumentLanguage>
    <EC_Collab_Reference xmlns="b22a275e-e4fe-4beb-ace0-d80ad182a84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5FA6A-A1C6-4C40-A52E-AABC7BCD3462}">
  <ds:schemaRefs>
    <ds:schemaRef ds:uri="http://schemas.microsoft.com/sharepoint/v3/contenttype/forms"/>
  </ds:schemaRefs>
</ds:datastoreItem>
</file>

<file path=customXml/itemProps2.xml><?xml version="1.0" encoding="utf-8"?>
<ds:datastoreItem xmlns:ds="http://schemas.openxmlformats.org/officeDocument/2006/customXml" ds:itemID="{159E4F96-AF28-4625-8F34-17292C927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22a275e-e4fe-4beb-ace0-d80ad182a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4EF71-6202-44DA-958F-CD112F9DBFF7}">
  <ds:schemaRefs>
    <ds:schemaRef ds:uri="http://schemas.microsoft.com/office/2006/metadata/properties"/>
    <ds:schemaRef ds:uri="http://schemas.microsoft.com/office/infopath/2007/PartnerControls"/>
    <ds:schemaRef ds:uri="b22a275e-e4fe-4beb-ace0-d80ad182a842"/>
    <ds:schemaRef ds:uri="http://schemas.microsoft.com/sharepoint/v3/fields"/>
  </ds:schemaRefs>
</ds:datastoreItem>
</file>

<file path=customXml/itemProps4.xml><?xml version="1.0" encoding="utf-8"?>
<ds:datastoreItem xmlns:ds="http://schemas.openxmlformats.org/officeDocument/2006/customXml" ds:itemID="{A3D74A3E-5A98-4BC2-8867-1C29B59E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82</Pages>
  <Words>26918</Words>
  <Characters>187619</Characters>
  <Application>Microsoft Office Word</Application>
  <DocSecurity>0</DocSecurity>
  <Lines>2931</Lines>
  <Paragraphs>616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41</cp:revision>
  <dcterms:created xsi:type="dcterms:W3CDTF">2022-03-21T18:39:00Z</dcterms:created>
  <dcterms:modified xsi:type="dcterms:W3CDTF">2022-03-28T14:27:00Z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ContentTypeId">
    <vt:lpwstr>0x010100258AA79CEB83498886A3A086811232500005951883E5C30040B203E32BE87605CE</vt:lpwstr>
  </property>
  <property fmtid="{D5CDD505-2E9C-101B-9397-08002B2CF9AE}" pid="9" name="DQCStatus">
    <vt:lpwstr>Green (DQC version 03)</vt:lpwstr>
  </property>
</Properties>
</file>