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78DB" w14:textId="21C0FA7E" w:rsidR="005A2717" w:rsidRPr="009C6CA4" w:rsidRDefault="00397AA0" w:rsidP="00397AA0">
      <w:pPr>
        <w:pStyle w:val="Pagedecouverture"/>
        <w:rPr>
          <w:noProof/>
        </w:rPr>
      </w:pPr>
      <w:r>
        <w:rPr>
          <w:noProof/>
        </w:rPr>
        <w:pict w14:anchorId="53FC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123E9938-4B18-4F3E-9C34-8139890776F4" style="width:455.25pt;height:442.5pt">
            <v:imagedata r:id="rId8" o:title=""/>
          </v:shape>
        </w:pict>
      </w:r>
    </w:p>
    <w:p w14:paraId="040FD393" w14:textId="77777777" w:rsidR="003953B9" w:rsidRPr="009C6CA4" w:rsidRDefault="003953B9" w:rsidP="003953B9">
      <w:pPr>
        <w:pStyle w:val="Pagedecouverture"/>
        <w:rPr>
          <w:noProof/>
        </w:rPr>
        <w:sectPr w:rsidR="003953B9" w:rsidRPr="009C6CA4" w:rsidSect="00397A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5C12D26" w14:textId="26A06661" w:rsidR="00E45DE7" w:rsidRPr="009C6CA4" w:rsidRDefault="00E45DE7" w:rsidP="00E45DE7">
      <w:pPr>
        <w:pStyle w:val="Annexetitre"/>
        <w:rPr>
          <w:noProof/>
        </w:rPr>
      </w:pPr>
      <w:bookmarkStart w:id="0" w:name="_GoBack"/>
      <w:bookmarkEnd w:id="0"/>
      <w:r w:rsidRPr="009C6CA4">
        <w:rPr>
          <w:noProof/>
        </w:rPr>
        <w:lastRenderedPageBreak/>
        <w:t xml:space="preserve">ZAŁĄCZNIK </w:t>
      </w:r>
    </w:p>
    <w:p w14:paraId="5EEDB4EA" w14:textId="77777777" w:rsidR="00E45DE7" w:rsidRPr="009C6CA4" w:rsidRDefault="00E45DE7" w:rsidP="00E45DE7">
      <w:pPr>
        <w:pStyle w:val="ManualHeading1"/>
        <w:rPr>
          <w:b w:val="0"/>
          <w:noProof/>
        </w:rPr>
      </w:pPr>
      <w:r w:rsidRPr="009C6CA4">
        <w:rPr>
          <w:noProof/>
        </w:rPr>
        <w:t>Część I</w:t>
      </w:r>
    </w:p>
    <w:p w14:paraId="604251FE" w14:textId="456976EC" w:rsidR="00E45DE7" w:rsidRPr="009C6CA4" w:rsidRDefault="00E45DE7" w:rsidP="00A43A0E">
      <w:pPr>
        <w:pStyle w:val="Heading1"/>
        <w:numPr>
          <w:ilvl w:val="0"/>
          <w:numId w:val="12"/>
        </w:numPr>
        <w:rPr>
          <w:noProof/>
        </w:rPr>
      </w:pPr>
      <w:r w:rsidRPr="009C6CA4">
        <w:rPr>
          <w:noProof/>
        </w:rPr>
        <w:t>Naruszenia praw</w:t>
      </w:r>
      <w:r w:rsidR="009C6CA4" w:rsidRPr="009C6CA4">
        <w:rPr>
          <w:noProof/>
        </w:rPr>
        <w:t xml:space="preserve"> i zak</w:t>
      </w:r>
      <w:r w:rsidRPr="009C6CA4">
        <w:rPr>
          <w:noProof/>
        </w:rPr>
        <w:t>azów określonych</w:t>
      </w:r>
      <w:r w:rsidR="009C6CA4" w:rsidRPr="009C6CA4">
        <w:rPr>
          <w:noProof/>
        </w:rPr>
        <w:t xml:space="preserve"> w mię</w:t>
      </w:r>
      <w:r w:rsidRPr="009C6CA4">
        <w:rPr>
          <w:noProof/>
        </w:rPr>
        <w:t>dzynarodowych umowach</w:t>
      </w:r>
      <w:r w:rsidR="009C6CA4" w:rsidRPr="009C6CA4">
        <w:rPr>
          <w:noProof/>
        </w:rPr>
        <w:t xml:space="preserve"> w dzi</w:t>
      </w:r>
      <w:r w:rsidRPr="009C6CA4">
        <w:rPr>
          <w:noProof/>
        </w:rPr>
        <w:t>edzinie praw człowieka</w:t>
      </w:r>
    </w:p>
    <w:p w14:paraId="6B506712" w14:textId="002D13D9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narodu do rozporządzania swoimi zasobami naturalnymi oraz do nie bycia pozbawionym własnych środków egzystencji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 Międzynarodowego paktu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itycznych.</w:t>
      </w:r>
    </w:p>
    <w:p w14:paraId="068F09AA" w14:textId="0AA765E8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do życia</w:t>
      </w:r>
      <w:r w:rsidR="009C6CA4" w:rsidRPr="009C6CA4">
        <w:rPr>
          <w:noProof/>
        </w:rPr>
        <w:t xml:space="preserve"> i bez</w:t>
      </w:r>
      <w:r w:rsidRPr="009C6CA4">
        <w:rPr>
          <w:noProof/>
        </w:rPr>
        <w:t>pieczeństwa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Powszechnej deklaracji praw człowieka.</w:t>
      </w:r>
    </w:p>
    <w:p w14:paraId="3872766E" w14:textId="16453400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tortur, okrutnego, nieludzkiego lub poniżającego traktowania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5 Powszechnej deklaracji praw człowieka. </w:t>
      </w:r>
    </w:p>
    <w:p w14:paraId="1A36323B" w14:textId="06CD4501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do wolności</w:t>
      </w:r>
      <w:r w:rsidR="009C6CA4" w:rsidRPr="009C6CA4">
        <w:rPr>
          <w:noProof/>
        </w:rPr>
        <w:t xml:space="preserve"> i bez</w:t>
      </w:r>
      <w:r w:rsidRPr="009C6CA4">
        <w:rPr>
          <w:noProof/>
        </w:rPr>
        <w:t>pieczeństwa osobistego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9 Powszechnej deklaracji praw człowieka.</w:t>
      </w:r>
    </w:p>
    <w:p w14:paraId="2C31B3DD" w14:textId="1D0AF4E8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samowolnej lub bezprawnej ingerencji</w:t>
      </w:r>
      <w:r w:rsidR="009C6CA4" w:rsidRPr="009C6CA4">
        <w:rPr>
          <w:noProof/>
        </w:rPr>
        <w:t xml:space="preserve"> w życ</w:t>
      </w:r>
      <w:r w:rsidRPr="009C6CA4">
        <w:rPr>
          <w:noProof/>
        </w:rPr>
        <w:t>ie prywatne, rodzinne</w:t>
      </w:r>
      <w:r w:rsidR="009C6CA4" w:rsidRPr="009C6CA4">
        <w:rPr>
          <w:noProof/>
        </w:rPr>
        <w:t xml:space="preserve"> i dom</w:t>
      </w:r>
      <w:r w:rsidRPr="009C6CA4">
        <w:rPr>
          <w:noProof/>
        </w:rPr>
        <w:t>owe osoby lub</w:t>
      </w:r>
      <w:r w:rsidR="009C6CA4" w:rsidRPr="009C6CA4">
        <w:rPr>
          <w:noProof/>
        </w:rPr>
        <w:t xml:space="preserve"> w jej</w:t>
      </w:r>
      <w:r w:rsidRPr="009C6CA4">
        <w:rPr>
          <w:noProof/>
        </w:rPr>
        <w:t xml:space="preserve"> korespondencję</w:t>
      </w:r>
      <w:r w:rsidR="009C6CA4" w:rsidRPr="009C6CA4">
        <w:rPr>
          <w:noProof/>
        </w:rPr>
        <w:t xml:space="preserve"> a tak</w:t>
      </w:r>
      <w:r w:rsidRPr="009C6CA4">
        <w:rPr>
          <w:noProof/>
        </w:rPr>
        <w:t>że uwłaczania jej dobremu imieniu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17 Powszechnej deklaracji praw człowieka.</w:t>
      </w:r>
    </w:p>
    <w:p w14:paraId="09CDE221" w14:textId="6B9ACD40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ingerencji</w:t>
      </w:r>
      <w:r w:rsidR="009C6CA4" w:rsidRPr="009C6CA4">
        <w:rPr>
          <w:noProof/>
        </w:rPr>
        <w:t xml:space="preserve"> w wol</w:t>
      </w:r>
      <w:r w:rsidRPr="009C6CA4">
        <w:rPr>
          <w:noProof/>
        </w:rPr>
        <w:t>ność myśli, sumienia</w:t>
      </w:r>
      <w:r w:rsidR="009C6CA4" w:rsidRPr="009C6CA4">
        <w:rPr>
          <w:noProof/>
        </w:rPr>
        <w:t xml:space="preserve"> i wyz</w:t>
      </w:r>
      <w:r w:rsidRPr="009C6CA4">
        <w:rPr>
          <w:noProof/>
        </w:rPr>
        <w:t>nania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18 Powszechnej deklaracji praw człowieka.</w:t>
      </w:r>
    </w:p>
    <w:p w14:paraId="3A68D259" w14:textId="6748941C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do korzystania ze sprawiedliwych</w:t>
      </w:r>
      <w:r w:rsidR="009C6CA4" w:rsidRPr="009C6CA4">
        <w:rPr>
          <w:noProof/>
        </w:rPr>
        <w:t xml:space="preserve"> i kor</w:t>
      </w:r>
      <w:r w:rsidRPr="009C6CA4">
        <w:rPr>
          <w:noProof/>
        </w:rPr>
        <w:t>zystnych warunków pracy,</w:t>
      </w:r>
      <w:r w:rsidR="009C6CA4" w:rsidRPr="009C6CA4">
        <w:rPr>
          <w:noProof/>
        </w:rPr>
        <w:t xml:space="preserve"> w tym</w:t>
      </w:r>
      <w:r w:rsidRPr="009C6CA4">
        <w:rPr>
          <w:noProof/>
        </w:rPr>
        <w:t xml:space="preserve"> godziwego zarobku, zadowalających warunków życia, warunków pracy odpowiadających wymaganiom bezpieczeństwa</w:t>
      </w:r>
      <w:r w:rsidR="009C6CA4" w:rsidRPr="009C6CA4">
        <w:rPr>
          <w:noProof/>
        </w:rPr>
        <w:t xml:space="preserve"> i hig</w:t>
      </w:r>
      <w:r w:rsidRPr="009C6CA4">
        <w:rPr>
          <w:noProof/>
        </w:rPr>
        <w:t>ieny oraz rozsądnego ograniczenia czasu pracy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7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 xml:space="preserve">turalnych. </w:t>
      </w:r>
    </w:p>
    <w:p w14:paraId="625A694F" w14:textId="493491F3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ograniczania dostępu pracowników do odpowiedniego mieszkania, jeżeli korzystają oni</w:t>
      </w:r>
      <w:r w:rsidR="009C6CA4" w:rsidRPr="009C6CA4">
        <w:rPr>
          <w:noProof/>
        </w:rPr>
        <w:t xml:space="preserve"> z zak</w:t>
      </w:r>
      <w:r w:rsidRPr="009C6CA4">
        <w:rPr>
          <w:noProof/>
        </w:rPr>
        <w:t>waterowania zapewnionego przez przedsiębiorstwo, oraz zakazu ograniczenia dostępu pracowników do odpowiedniego wyżywienia, odzieży oraz wody</w:t>
      </w:r>
      <w:r w:rsidR="009C6CA4" w:rsidRPr="009C6CA4">
        <w:rPr>
          <w:noProof/>
        </w:rPr>
        <w:t xml:space="preserve"> i war</w:t>
      </w:r>
      <w:r w:rsidRPr="009C6CA4">
        <w:rPr>
          <w:noProof/>
        </w:rPr>
        <w:t>unków sanitarnych</w:t>
      </w:r>
      <w:r w:rsidR="009C6CA4" w:rsidRPr="009C6CA4">
        <w:rPr>
          <w:noProof/>
        </w:rPr>
        <w:t xml:space="preserve"> w mie</w:t>
      </w:r>
      <w:r w:rsidRPr="009C6CA4">
        <w:rPr>
          <w:noProof/>
        </w:rPr>
        <w:t>jscu pracy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11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>turalnych.</w:t>
      </w:r>
    </w:p>
    <w:p w14:paraId="5DB95CD9" w14:textId="1DC317E9" w:rsidR="00FD7A4F" w:rsidRPr="009C6CA4" w:rsidRDefault="00B212E0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dziecka do tego, by we wszystkich decyzjach</w:t>
      </w:r>
      <w:r w:rsidR="009C6CA4" w:rsidRPr="009C6CA4">
        <w:rPr>
          <w:noProof/>
        </w:rPr>
        <w:t xml:space="preserve"> i dzi</w:t>
      </w:r>
      <w:r w:rsidRPr="009C6CA4">
        <w:rPr>
          <w:noProof/>
        </w:rPr>
        <w:t>ałaniach dotyczących dzieci przede wszystkim sprawą nadrzędną było najlepsze zabezpieczenie interesów dziecka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 Naruszenie prawa dziecka do rozwoju swojego pełnego potencjału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6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 Naruszenie prawa dziecka do jak najwyższego poziomu zdrowia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24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 Naruszenie prawa do korzystania</w:t>
      </w:r>
      <w:r w:rsidR="009C6CA4" w:rsidRPr="009C6CA4">
        <w:rPr>
          <w:noProof/>
        </w:rPr>
        <w:t xml:space="preserve"> z sys</w:t>
      </w:r>
      <w:r w:rsidRPr="009C6CA4">
        <w:rPr>
          <w:noProof/>
        </w:rPr>
        <w:t>temu zabezpieczenia społecznego oraz odpowiedniego poziomu życia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26</w:t>
      </w:r>
      <w:r w:rsidR="009C6CA4" w:rsidRPr="009C6CA4">
        <w:rPr>
          <w:noProof/>
        </w:rPr>
        <w:t xml:space="preserve"> i 2</w:t>
      </w:r>
      <w:r w:rsidRPr="009C6CA4">
        <w:rPr>
          <w:noProof/>
        </w:rPr>
        <w:t>7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 Naruszenie prawa do nauki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28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 Naruszenie prawa dziecka do ochrony przed wszelkimi formami wykorzystywania seksualnego</w:t>
      </w:r>
      <w:r w:rsidR="009C6CA4" w:rsidRPr="009C6CA4">
        <w:rPr>
          <w:noProof/>
        </w:rPr>
        <w:t xml:space="preserve"> i nie</w:t>
      </w:r>
      <w:r w:rsidRPr="009C6CA4">
        <w:rPr>
          <w:noProof/>
        </w:rPr>
        <w:t>godziwego traktowania</w:t>
      </w:r>
      <w:r w:rsidR="009C6CA4" w:rsidRPr="009C6CA4">
        <w:rPr>
          <w:noProof/>
        </w:rPr>
        <w:t xml:space="preserve"> w cel</w:t>
      </w:r>
      <w:r w:rsidRPr="009C6CA4">
        <w:rPr>
          <w:noProof/>
        </w:rPr>
        <w:t>ach seksualnych oraz do ochrony przed uprowadzeniem, sprzedażą bądź nielegalnym przemieszczeniem</w:t>
      </w:r>
      <w:r w:rsidR="009C6CA4" w:rsidRPr="009C6CA4">
        <w:rPr>
          <w:noProof/>
        </w:rPr>
        <w:t xml:space="preserve"> w inn</w:t>
      </w:r>
      <w:r w:rsidRPr="009C6CA4">
        <w:rPr>
          <w:noProof/>
        </w:rPr>
        <w:t>e miejsce</w:t>
      </w:r>
      <w:r w:rsidR="009C6CA4" w:rsidRPr="009C6CA4">
        <w:rPr>
          <w:noProof/>
        </w:rPr>
        <w:t xml:space="preserve"> w jeg</w:t>
      </w:r>
      <w:r w:rsidRPr="009C6CA4">
        <w:rPr>
          <w:noProof/>
        </w:rPr>
        <w:t>o kraju lub za granicą</w:t>
      </w:r>
      <w:r w:rsidR="009C6CA4" w:rsidRPr="009C6CA4">
        <w:rPr>
          <w:noProof/>
        </w:rPr>
        <w:t xml:space="preserve"> w cel</w:t>
      </w:r>
      <w:r w:rsidRPr="009C6CA4">
        <w:rPr>
          <w:noProof/>
        </w:rPr>
        <w:t>u wykorzystania,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34</w:t>
      </w:r>
      <w:r w:rsidR="009C6CA4" w:rsidRPr="009C6CA4">
        <w:rPr>
          <w:noProof/>
        </w:rPr>
        <w:t xml:space="preserve"> i 3</w:t>
      </w:r>
      <w:r w:rsidRPr="009C6CA4">
        <w:rPr>
          <w:noProof/>
        </w:rPr>
        <w:t>5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dziecka.</w:t>
      </w:r>
    </w:p>
    <w:p w14:paraId="4186F8C1" w14:textId="21F22F43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zatrudniania dzieci poniżej wieku,</w:t>
      </w:r>
      <w:r w:rsidR="009C6CA4" w:rsidRPr="009C6CA4">
        <w:rPr>
          <w:noProof/>
        </w:rPr>
        <w:t xml:space="preserve"> w któ</w:t>
      </w:r>
      <w:r w:rsidRPr="009C6CA4">
        <w:rPr>
          <w:noProof/>
        </w:rPr>
        <w:t>rym ustaje obowiązek szkolny,</w:t>
      </w:r>
      <w:r w:rsidR="009C6CA4" w:rsidRPr="009C6CA4">
        <w:rPr>
          <w:noProof/>
        </w:rPr>
        <w:t xml:space="preserve"> a w każ</w:t>
      </w:r>
      <w:r w:rsidRPr="009C6CA4">
        <w:rPr>
          <w:noProof/>
        </w:rPr>
        <w:t>dym razie przed ukończeniem 15 roku życia, chyba że przewidziano to</w:t>
      </w:r>
      <w:r w:rsidR="009C6CA4" w:rsidRPr="009C6CA4">
        <w:rPr>
          <w:noProof/>
        </w:rPr>
        <w:t xml:space="preserve"> w pra</w:t>
      </w:r>
      <w:r w:rsidRPr="009C6CA4">
        <w:rPr>
          <w:noProof/>
        </w:rPr>
        <w:t>wie miejsca zatrudnienia,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 ust.</w:t>
      </w:r>
      <w:r w:rsidR="00077D55" w:rsidRPr="009C6CA4">
        <w:rPr>
          <w:noProof/>
        </w:rPr>
        <w:t> </w:t>
      </w:r>
      <w:r w:rsidRPr="009C6CA4">
        <w:rPr>
          <w:noProof/>
        </w:rPr>
        <w:t>4 oraz art.</w:t>
      </w:r>
      <w:r w:rsidR="00077D55" w:rsidRPr="009C6CA4">
        <w:rPr>
          <w:noProof/>
        </w:rPr>
        <w:t> </w:t>
      </w:r>
      <w:r w:rsidRPr="009C6CA4">
        <w:rPr>
          <w:noProof/>
        </w:rPr>
        <w:t>4–8 Konwencji nr</w:t>
      </w:r>
      <w:r w:rsidR="00077D55" w:rsidRPr="009C6CA4">
        <w:rPr>
          <w:noProof/>
        </w:rPr>
        <w:t> </w:t>
      </w:r>
      <w:r w:rsidRPr="009C6CA4">
        <w:rPr>
          <w:noProof/>
        </w:rPr>
        <w:t>138 Międzynarodowej Organizacji Pracy dotyczącej najniższego wieku dopuszczenia do zatrudnienia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973</w:t>
      </w:r>
      <w:r w:rsidR="00077D55" w:rsidRPr="009C6CA4">
        <w:rPr>
          <w:noProof/>
        </w:rPr>
        <w:t> </w:t>
      </w:r>
      <w:r w:rsidRPr="009C6CA4">
        <w:rPr>
          <w:noProof/>
        </w:rPr>
        <w:t>r.</w:t>
      </w:r>
    </w:p>
    <w:p w14:paraId="7201E405" w14:textId="3F46AAE9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pracy dzieci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32 Konwencji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dziecka,</w:t>
      </w:r>
      <w:r w:rsidR="009C6CA4" w:rsidRPr="009C6CA4">
        <w:rPr>
          <w:noProof/>
        </w:rPr>
        <w:t xml:space="preserve"> z uwz</w:t>
      </w:r>
      <w:r w:rsidRPr="009C6CA4">
        <w:rPr>
          <w:noProof/>
        </w:rPr>
        <w:t>ględnieniem najgorszych form pracy dzieci (osób</w:t>
      </w:r>
      <w:r w:rsidR="009C6CA4" w:rsidRPr="009C6CA4">
        <w:rPr>
          <w:noProof/>
        </w:rPr>
        <w:t xml:space="preserve"> w wie</w:t>
      </w:r>
      <w:r w:rsidRPr="009C6CA4">
        <w:rPr>
          <w:noProof/>
        </w:rPr>
        <w:t>ku poniżej 18 lat)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Konwencji nr</w:t>
      </w:r>
      <w:r w:rsidR="00077D55" w:rsidRPr="009C6CA4">
        <w:rPr>
          <w:noProof/>
        </w:rPr>
        <w:t> </w:t>
      </w:r>
      <w:r w:rsidRPr="009C6CA4">
        <w:rPr>
          <w:noProof/>
        </w:rPr>
        <w:t>182 Międzynarodowej Organizacji Pracy dotyczącej zakazu</w:t>
      </w:r>
      <w:r w:rsidR="009C6CA4" w:rsidRPr="009C6CA4">
        <w:rPr>
          <w:noProof/>
        </w:rPr>
        <w:t xml:space="preserve"> i nat</w:t>
      </w:r>
      <w:r w:rsidRPr="009C6CA4">
        <w:rPr>
          <w:noProof/>
        </w:rPr>
        <w:t>ychmiastowych działań na rzecz eliminowania najgorszych form pracy dzieci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999</w:t>
      </w:r>
      <w:r w:rsidR="00077D55" w:rsidRPr="009C6CA4">
        <w:rPr>
          <w:noProof/>
        </w:rPr>
        <w:t> </w:t>
      </w:r>
      <w:r w:rsidRPr="009C6CA4">
        <w:rPr>
          <w:noProof/>
        </w:rPr>
        <w:t>r. Obejmują one:</w:t>
      </w:r>
    </w:p>
    <w:p w14:paraId="4D9580D6" w14:textId="6CE99526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a)</w:t>
      </w:r>
      <w:r w:rsidRPr="009C6CA4">
        <w:rPr>
          <w:noProof/>
        </w:rPr>
        <w:tab/>
      </w:r>
      <w:r w:rsidR="00E45DE7" w:rsidRPr="009C6CA4">
        <w:rPr>
          <w:noProof/>
        </w:rPr>
        <w:t>wszystkie formy niewolnictwa lub praktyk podobnych do niewolnictwa, takich jak sprzedaż</w:t>
      </w:r>
      <w:r w:rsidRPr="009C6CA4">
        <w:rPr>
          <w:noProof/>
        </w:rPr>
        <w:t xml:space="preserve"> i han</w:t>
      </w:r>
      <w:r w:rsidR="00E45DE7" w:rsidRPr="009C6CA4">
        <w:rPr>
          <w:noProof/>
        </w:rPr>
        <w:t>del dziećmi, niewolnictwo za długi</w:t>
      </w:r>
      <w:r w:rsidRPr="009C6CA4">
        <w:rPr>
          <w:noProof/>
        </w:rPr>
        <w:t xml:space="preserve"> i pań</w:t>
      </w:r>
      <w:r w:rsidR="00E45DE7" w:rsidRPr="009C6CA4">
        <w:rPr>
          <w:noProof/>
        </w:rPr>
        <w:t>szczyzna lub praca przymusowa albo obowiązkowa,</w:t>
      </w:r>
      <w:r w:rsidRPr="009C6CA4">
        <w:rPr>
          <w:noProof/>
        </w:rPr>
        <w:t xml:space="preserve"> w tym</w:t>
      </w:r>
      <w:r w:rsidR="00E45DE7" w:rsidRPr="009C6CA4">
        <w:rPr>
          <w:noProof/>
        </w:rPr>
        <w:t xml:space="preserve"> przymusowe lub obowiązkowe rekrutowanie dzieci do udziału</w:t>
      </w:r>
      <w:r w:rsidRPr="009C6CA4">
        <w:rPr>
          <w:noProof/>
        </w:rPr>
        <w:t xml:space="preserve"> w kon</w:t>
      </w:r>
      <w:r w:rsidR="00E45DE7" w:rsidRPr="009C6CA4">
        <w:rPr>
          <w:noProof/>
        </w:rPr>
        <w:t>flikcie zbrojnym;</w:t>
      </w:r>
    </w:p>
    <w:p w14:paraId="7B7C76AB" w14:textId="5066A485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b)</w:t>
      </w:r>
      <w:r w:rsidRPr="009C6CA4">
        <w:rPr>
          <w:noProof/>
        </w:rPr>
        <w:tab/>
      </w:r>
      <w:r w:rsidR="00E45DE7" w:rsidRPr="009C6CA4">
        <w:rPr>
          <w:noProof/>
        </w:rPr>
        <w:t>korzystanie, angażowanie lub proponowanie dziecka do prostytucji, produkcji pornografii lub przedstawień pornograficznych;</w:t>
      </w:r>
    </w:p>
    <w:p w14:paraId="70E171A8" w14:textId="7685445E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c)</w:t>
      </w:r>
      <w:r w:rsidRPr="009C6CA4">
        <w:rPr>
          <w:noProof/>
        </w:rPr>
        <w:tab/>
      </w:r>
      <w:r w:rsidR="00E45DE7" w:rsidRPr="009C6CA4">
        <w:rPr>
          <w:noProof/>
        </w:rPr>
        <w:t>korzystanie, angażowanie lub proponowanie dziecka do nielegalnych działalności,</w:t>
      </w:r>
      <w:r w:rsidRPr="009C6CA4">
        <w:rPr>
          <w:noProof/>
        </w:rPr>
        <w:t xml:space="preserve"> w szc</w:t>
      </w:r>
      <w:r w:rsidR="00E45DE7" w:rsidRPr="009C6CA4">
        <w:rPr>
          <w:noProof/>
        </w:rPr>
        <w:t>zególności do produkcji</w:t>
      </w:r>
      <w:r w:rsidRPr="009C6CA4">
        <w:rPr>
          <w:noProof/>
        </w:rPr>
        <w:t xml:space="preserve"> i han</w:t>
      </w:r>
      <w:r w:rsidR="00E45DE7" w:rsidRPr="009C6CA4">
        <w:rPr>
          <w:noProof/>
        </w:rPr>
        <w:t>dlu narkotyków,;</w:t>
      </w:r>
    </w:p>
    <w:p w14:paraId="13D23DD5" w14:textId="07FC9288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d)</w:t>
      </w:r>
      <w:r w:rsidRPr="009C6CA4">
        <w:rPr>
          <w:noProof/>
        </w:rPr>
        <w:tab/>
      </w:r>
      <w:r w:rsidR="00E45DE7" w:rsidRPr="009C6CA4">
        <w:rPr>
          <w:noProof/>
        </w:rPr>
        <w:t>pracę, która ze względu na swój charakter lub okoliczności,</w:t>
      </w:r>
      <w:r w:rsidRPr="009C6CA4">
        <w:rPr>
          <w:noProof/>
        </w:rPr>
        <w:t xml:space="preserve"> w któ</w:t>
      </w:r>
      <w:r w:rsidR="00E45DE7" w:rsidRPr="009C6CA4">
        <w:rPr>
          <w:noProof/>
        </w:rPr>
        <w:t>rych jest prowadzona, może zagrażać zdrowiu, bezpieczeństwu lub moralności dzieci.</w:t>
      </w:r>
    </w:p>
    <w:p w14:paraId="039ADB57" w14:textId="3DBC4C5F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pracy przymusowej. Obejmuje to wszelką pracę lub usługi wymagane od jakiejś osoby pod groźbą jakiejkolwiek kary i do których dana osoba nie zgłosiła się dobrowolnie, na przykład</w:t>
      </w:r>
      <w:r w:rsidR="009C6CA4" w:rsidRPr="009C6CA4">
        <w:rPr>
          <w:noProof/>
        </w:rPr>
        <w:t xml:space="preserve"> w wyn</w:t>
      </w:r>
      <w:r w:rsidRPr="009C6CA4">
        <w:rPr>
          <w:noProof/>
        </w:rPr>
        <w:t>iku niewolnictwa za długi lub handlu ludźmi. Praca przymusowa nie obejmuje wszelkiej pracy lub usług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 ust.</w:t>
      </w:r>
      <w:r w:rsidR="00077D55" w:rsidRPr="009C6CA4">
        <w:rPr>
          <w:noProof/>
        </w:rPr>
        <w:t> </w:t>
      </w:r>
      <w:r w:rsidRPr="009C6CA4">
        <w:rPr>
          <w:noProof/>
        </w:rPr>
        <w:t>2 Konwencji nr</w:t>
      </w:r>
      <w:r w:rsidR="00077D55" w:rsidRPr="009C6CA4">
        <w:rPr>
          <w:noProof/>
        </w:rPr>
        <w:t> </w:t>
      </w:r>
      <w:r w:rsidRPr="009C6CA4">
        <w:rPr>
          <w:noProof/>
        </w:rPr>
        <w:t>29 Międzynarodowej Organizacji Pracy dotyczącej pracy przymusowej lub obowiązkowej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930</w:t>
      </w:r>
      <w:r w:rsidR="00077D55" w:rsidRPr="009C6CA4">
        <w:rPr>
          <w:noProof/>
        </w:rPr>
        <w:t> </w:t>
      </w:r>
      <w:r w:rsidRPr="009C6CA4">
        <w:rPr>
          <w:noProof/>
        </w:rPr>
        <w:t>r. lub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8 ust.</w:t>
      </w:r>
      <w:r w:rsidR="00077D55" w:rsidRPr="009C6CA4">
        <w:rPr>
          <w:noProof/>
        </w:rPr>
        <w:t> </w:t>
      </w:r>
      <w:r w:rsidRPr="009C6CA4">
        <w:rPr>
          <w:noProof/>
        </w:rPr>
        <w:t>3 lit.</w:t>
      </w:r>
      <w:r w:rsidR="00077D55" w:rsidRPr="009C6CA4">
        <w:rPr>
          <w:noProof/>
        </w:rPr>
        <w:t> </w:t>
      </w:r>
      <w:r w:rsidRPr="009C6CA4">
        <w:rPr>
          <w:noProof/>
        </w:rPr>
        <w:t>b) i c) Międzynarodowego paktu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itycznych.</w:t>
      </w:r>
    </w:p>
    <w:p w14:paraId="66DD4C9B" w14:textId="539C44D1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stosowania wszelkich form niewolnictwa, praktyk zbliżonych do niewolnictwa, pańszczyzny lub innych form dominacji lub opresji</w:t>
      </w:r>
      <w:r w:rsidR="009C6CA4" w:rsidRPr="009C6CA4">
        <w:rPr>
          <w:noProof/>
        </w:rPr>
        <w:t xml:space="preserve"> w mie</w:t>
      </w:r>
      <w:r w:rsidRPr="009C6CA4">
        <w:rPr>
          <w:noProof/>
        </w:rPr>
        <w:t>jscu pracy, takich jak skrajne przypadki wyzysku ekonomicznego lub wykorzystywania seksualnego</w:t>
      </w:r>
      <w:r w:rsidR="009C6CA4" w:rsidRPr="009C6CA4">
        <w:rPr>
          <w:noProof/>
        </w:rPr>
        <w:t xml:space="preserve"> i pon</w:t>
      </w:r>
      <w:r w:rsidRPr="009C6CA4">
        <w:rPr>
          <w:noProof/>
        </w:rPr>
        <w:t>iżania,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4 Powszechnej deklaracji praw człowieka</w:t>
      </w:r>
      <w:r w:rsidR="009C6CA4" w:rsidRPr="009C6CA4">
        <w:rPr>
          <w:noProof/>
        </w:rPr>
        <w:t xml:space="preserve"> i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8 Międzynarodowego paktu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itycznych.</w:t>
      </w:r>
    </w:p>
    <w:p w14:paraId="17576312" w14:textId="0601C5CE" w:rsidR="00D10795" w:rsidRPr="009C6CA4" w:rsidRDefault="00D10795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handlu ludźmi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Protokołu</w:t>
      </w:r>
      <w:r w:rsidR="009C6CA4" w:rsidRPr="009C6CA4">
        <w:rPr>
          <w:noProof/>
        </w:rPr>
        <w:t xml:space="preserve"> o zap</w:t>
      </w:r>
      <w:r w:rsidRPr="009C6CA4">
        <w:rPr>
          <w:noProof/>
        </w:rPr>
        <w:t>obieganiu, zwalczaniu oraz karaniu za handel ludźmi,</w:t>
      </w:r>
      <w:r w:rsidR="009C6CA4" w:rsidRPr="009C6CA4">
        <w:rPr>
          <w:noProof/>
        </w:rPr>
        <w:t xml:space="preserve"> w szc</w:t>
      </w:r>
      <w:r w:rsidRPr="009C6CA4">
        <w:rPr>
          <w:noProof/>
        </w:rPr>
        <w:t>zególności kobietami</w:t>
      </w:r>
      <w:r w:rsidR="009C6CA4" w:rsidRPr="009C6CA4">
        <w:rPr>
          <w:noProof/>
        </w:rPr>
        <w:t xml:space="preserve"> i dzi</w:t>
      </w:r>
      <w:r w:rsidRPr="009C6CA4">
        <w:rPr>
          <w:noProof/>
        </w:rPr>
        <w:t>ećmi, uzupełniającego Konwencję Narodów Zjednoczonych przeciwko międzynarodowej przestępczości zorganizowanej.</w:t>
      </w:r>
    </w:p>
    <w:p w14:paraId="52D0B265" w14:textId="73182686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do wolności zrzeszania się, zgromadzania się, prawa organizowania się</w:t>
      </w:r>
      <w:r w:rsidR="009C6CA4" w:rsidRPr="009C6CA4">
        <w:rPr>
          <w:noProof/>
        </w:rPr>
        <w:t xml:space="preserve"> i rok</w:t>
      </w:r>
      <w:r w:rsidRPr="009C6CA4">
        <w:rPr>
          <w:noProof/>
        </w:rPr>
        <w:t>owań zbiorowych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20 Powszechnej deklaracji praw człowieka, art.</w:t>
      </w:r>
      <w:r w:rsidR="00077D55" w:rsidRPr="009C6CA4">
        <w:rPr>
          <w:noProof/>
        </w:rPr>
        <w:t> </w:t>
      </w:r>
      <w:r w:rsidRPr="009C6CA4">
        <w:rPr>
          <w:noProof/>
        </w:rPr>
        <w:t>21</w:t>
      </w:r>
      <w:r w:rsidR="009C6CA4" w:rsidRPr="009C6CA4">
        <w:rPr>
          <w:noProof/>
        </w:rPr>
        <w:t xml:space="preserve"> i 2</w:t>
      </w:r>
      <w:r w:rsidRPr="009C6CA4">
        <w:rPr>
          <w:noProof/>
        </w:rPr>
        <w:t>2 Międzynarodowego paktu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itycznych, art.</w:t>
      </w:r>
      <w:r w:rsidR="00077D55" w:rsidRPr="009C6CA4">
        <w:rPr>
          <w:noProof/>
        </w:rPr>
        <w:t> </w:t>
      </w:r>
      <w:r w:rsidRPr="009C6CA4">
        <w:rPr>
          <w:noProof/>
        </w:rPr>
        <w:t>8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>turalnych, Konwencji Międzynarodowej Organizacji Pracy dotyczącej wolności związkowej</w:t>
      </w:r>
      <w:r w:rsidR="009C6CA4" w:rsidRPr="009C6CA4">
        <w:rPr>
          <w:noProof/>
        </w:rPr>
        <w:t xml:space="preserve"> i och</w:t>
      </w:r>
      <w:r w:rsidRPr="009C6CA4">
        <w:rPr>
          <w:noProof/>
        </w:rPr>
        <w:t>rony praw związkowych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948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87) oraz Konwencji Międzynarodowej Organizacji Pracy dotyczącej stosowania zasad prawa organizowania się</w:t>
      </w:r>
      <w:r w:rsidR="009C6CA4" w:rsidRPr="009C6CA4">
        <w:rPr>
          <w:noProof/>
        </w:rPr>
        <w:t xml:space="preserve"> i rok</w:t>
      </w:r>
      <w:r w:rsidRPr="009C6CA4">
        <w:rPr>
          <w:noProof/>
        </w:rPr>
        <w:t>owań zbiorowych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949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98),</w:t>
      </w:r>
      <w:r w:rsidR="009C6CA4" w:rsidRPr="009C6CA4">
        <w:rPr>
          <w:noProof/>
        </w:rPr>
        <w:t xml:space="preserve"> w tym</w:t>
      </w:r>
      <w:r w:rsidRPr="009C6CA4">
        <w:rPr>
          <w:noProof/>
        </w:rPr>
        <w:t xml:space="preserve"> następujących praw: </w:t>
      </w:r>
    </w:p>
    <w:p w14:paraId="2B58AF99" w14:textId="21EB26BA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a)</w:t>
      </w:r>
      <w:r w:rsidRPr="009C6CA4">
        <w:rPr>
          <w:noProof/>
        </w:rPr>
        <w:tab/>
      </w:r>
      <w:r w:rsidR="00141588" w:rsidRPr="009C6CA4">
        <w:rPr>
          <w:noProof/>
        </w:rPr>
        <w:t>pracownicy mają prawo do tworzenia związków zawodowych lub przystępowania do nich,</w:t>
      </w:r>
    </w:p>
    <w:p w14:paraId="0455516F" w14:textId="29EFE14B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b)</w:t>
      </w:r>
      <w:r w:rsidRPr="009C6CA4">
        <w:rPr>
          <w:noProof/>
        </w:rPr>
        <w:tab/>
      </w:r>
      <w:r w:rsidR="00E45DE7" w:rsidRPr="009C6CA4">
        <w:rPr>
          <w:noProof/>
        </w:rPr>
        <w:t>tworzenie związków zawodowych, przystępowanie do nich</w:t>
      </w:r>
      <w:r w:rsidRPr="009C6CA4">
        <w:rPr>
          <w:noProof/>
        </w:rPr>
        <w:t xml:space="preserve"> i czł</w:t>
      </w:r>
      <w:r w:rsidR="00E45DE7" w:rsidRPr="009C6CA4">
        <w:rPr>
          <w:noProof/>
        </w:rPr>
        <w:t>onkostwo</w:t>
      </w:r>
      <w:r w:rsidRPr="009C6CA4">
        <w:rPr>
          <w:noProof/>
        </w:rPr>
        <w:t xml:space="preserve"> w tak</w:t>
      </w:r>
      <w:r w:rsidR="00E45DE7" w:rsidRPr="009C6CA4">
        <w:rPr>
          <w:noProof/>
        </w:rPr>
        <w:t>ich związkach nie może być wykorzystywane jako powód do nieuzasadnionej dyskryminacji lub działań odwetowych,</w:t>
      </w:r>
    </w:p>
    <w:p w14:paraId="180E1F0A" w14:textId="1B036E3B" w:rsidR="00053E10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c)</w:t>
      </w:r>
      <w:r w:rsidRPr="009C6CA4">
        <w:rPr>
          <w:noProof/>
        </w:rPr>
        <w:tab/>
      </w:r>
      <w:r w:rsidR="00053E10" w:rsidRPr="009C6CA4">
        <w:rPr>
          <w:noProof/>
        </w:rPr>
        <w:t>organizacje pracownicze mają swobodę działania zgodnie</w:t>
      </w:r>
      <w:r w:rsidRPr="009C6CA4">
        <w:rPr>
          <w:noProof/>
        </w:rPr>
        <w:t xml:space="preserve"> z obo</w:t>
      </w:r>
      <w:r w:rsidR="00053E10" w:rsidRPr="009C6CA4">
        <w:rPr>
          <w:noProof/>
        </w:rPr>
        <w:t>wiązującymi ich statutami</w:t>
      </w:r>
      <w:r w:rsidRPr="009C6CA4">
        <w:rPr>
          <w:noProof/>
        </w:rPr>
        <w:t xml:space="preserve"> i reg</w:t>
      </w:r>
      <w:r w:rsidR="00053E10" w:rsidRPr="009C6CA4">
        <w:rPr>
          <w:noProof/>
        </w:rPr>
        <w:t>ulaminami, bez ingerencji władz;</w:t>
      </w:r>
    </w:p>
    <w:p w14:paraId="5821C26D" w14:textId="325C5CFA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d)</w:t>
      </w:r>
      <w:r w:rsidRPr="009C6CA4">
        <w:rPr>
          <w:noProof/>
        </w:rPr>
        <w:tab/>
      </w:r>
      <w:r w:rsidR="00E45DE7" w:rsidRPr="009C6CA4">
        <w:rPr>
          <w:noProof/>
        </w:rPr>
        <w:t>prawo strajku</w:t>
      </w:r>
      <w:r w:rsidRPr="009C6CA4">
        <w:rPr>
          <w:noProof/>
        </w:rPr>
        <w:t xml:space="preserve"> i pra</w:t>
      </w:r>
      <w:r w:rsidR="00E45DE7" w:rsidRPr="009C6CA4">
        <w:rPr>
          <w:noProof/>
        </w:rPr>
        <w:t>wo do rokowań zbiorowych.</w:t>
      </w:r>
    </w:p>
    <w:p w14:paraId="222CA4CB" w14:textId="1D4562B6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nierównego traktowania</w:t>
      </w:r>
      <w:r w:rsidR="009C6CA4" w:rsidRPr="009C6CA4">
        <w:rPr>
          <w:noProof/>
        </w:rPr>
        <w:t xml:space="preserve"> w zak</w:t>
      </w:r>
      <w:r w:rsidRPr="009C6CA4">
        <w:rPr>
          <w:noProof/>
        </w:rPr>
        <w:t>resie zatrudniania, chyba że jest to uzasadnione wymogami zatrudnienia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</w:t>
      </w:r>
      <w:r w:rsidR="009C6CA4" w:rsidRPr="009C6CA4">
        <w:rPr>
          <w:noProof/>
        </w:rPr>
        <w:t xml:space="preserve"> i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Konwencji Międzynarodowej Organizacji Pracy dotyczącej jednakowego wynagrodzenia dla pracujących mężczyzn</w:t>
      </w:r>
      <w:r w:rsidR="009C6CA4" w:rsidRPr="009C6CA4">
        <w:rPr>
          <w:noProof/>
        </w:rPr>
        <w:t xml:space="preserve"> i kob</w:t>
      </w:r>
      <w:r w:rsidRPr="009C6CA4">
        <w:rPr>
          <w:noProof/>
        </w:rPr>
        <w:t>iet za pracę jednakowej wartości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951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100), art.</w:t>
      </w:r>
      <w:r w:rsidR="00077D55" w:rsidRPr="009C6CA4">
        <w:rPr>
          <w:noProof/>
        </w:rPr>
        <w:t> </w:t>
      </w:r>
      <w:r w:rsidRPr="009C6CA4">
        <w:rPr>
          <w:noProof/>
        </w:rPr>
        <w:t>1</w:t>
      </w:r>
      <w:r w:rsidR="009C6CA4" w:rsidRPr="009C6CA4">
        <w:rPr>
          <w:noProof/>
        </w:rPr>
        <w:t xml:space="preserve"> i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 Konwencji Międzynarodowej Organizacji Pracy dotyczącej dyskryminacji</w:t>
      </w:r>
      <w:r w:rsidR="009C6CA4" w:rsidRPr="009C6CA4">
        <w:rPr>
          <w:noProof/>
        </w:rPr>
        <w:t xml:space="preserve"> w zak</w:t>
      </w:r>
      <w:r w:rsidRPr="009C6CA4">
        <w:rPr>
          <w:noProof/>
        </w:rPr>
        <w:t>resie zatrudnienia</w:t>
      </w:r>
      <w:r w:rsidR="009C6CA4" w:rsidRPr="009C6CA4">
        <w:rPr>
          <w:noProof/>
        </w:rPr>
        <w:t xml:space="preserve"> i wyk</w:t>
      </w:r>
      <w:r w:rsidRPr="009C6CA4">
        <w:rPr>
          <w:noProof/>
        </w:rPr>
        <w:t>onywania zawodu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958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111) oraz art.</w:t>
      </w:r>
      <w:r w:rsidR="00077D55" w:rsidRPr="009C6CA4">
        <w:rPr>
          <w:noProof/>
        </w:rPr>
        <w:t> </w:t>
      </w:r>
      <w:r w:rsidRPr="009C6CA4">
        <w:rPr>
          <w:noProof/>
        </w:rPr>
        <w:t>7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>turalnych; nierówne traktowanie obejmuje</w:t>
      </w:r>
      <w:r w:rsidR="009C6CA4" w:rsidRPr="009C6CA4">
        <w:rPr>
          <w:noProof/>
        </w:rPr>
        <w:t xml:space="preserve"> w szc</w:t>
      </w:r>
      <w:r w:rsidRPr="009C6CA4">
        <w:rPr>
          <w:noProof/>
        </w:rPr>
        <w:t>zególności wypłacanie nierównego wynagrodzenia za pracę</w:t>
      </w:r>
      <w:r w:rsidR="009C6CA4" w:rsidRPr="009C6CA4">
        <w:rPr>
          <w:noProof/>
        </w:rPr>
        <w:t xml:space="preserve"> o tak</w:t>
      </w:r>
      <w:r w:rsidRPr="009C6CA4">
        <w:rPr>
          <w:noProof/>
        </w:rPr>
        <w:t>iej samej wartości.</w:t>
      </w:r>
    </w:p>
    <w:p w14:paraId="25BAC761" w14:textId="7FBFE2F4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odmowy zapewnienia odpowiedniej płacy zapewniającej utrzymanie na minimalnym poziomie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7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 xml:space="preserve">turalnych. </w:t>
      </w:r>
    </w:p>
    <w:p w14:paraId="097FA098" w14:textId="6424356A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powodowania jakiejkolwiek wymiernej degradacji środowiska,</w:t>
      </w:r>
      <w:r w:rsidR="009C6CA4" w:rsidRPr="009C6CA4">
        <w:rPr>
          <w:noProof/>
        </w:rPr>
        <w:t xml:space="preserve"> w tym</w:t>
      </w:r>
      <w:r w:rsidRPr="009C6CA4">
        <w:rPr>
          <w:noProof/>
        </w:rPr>
        <w:t xml:space="preserve"> szkodliwych zmian</w:t>
      </w:r>
      <w:r w:rsidR="009C6CA4" w:rsidRPr="009C6CA4">
        <w:rPr>
          <w:noProof/>
        </w:rPr>
        <w:t xml:space="preserve"> w gle</w:t>
      </w:r>
      <w:r w:rsidRPr="009C6CA4">
        <w:rPr>
          <w:noProof/>
        </w:rPr>
        <w:t>bie, zanieczyszczenia wody lub powietrza, szkodliwych emisji lub nadmiernego zużycia wody lub wywierania innego wpływu na zasoby naturalne,</w:t>
      </w:r>
      <w:r w:rsidR="009C6CA4" w:rsidRPr="009C6CA4">
        <w:rPr>
          <w:noProof/>
        </w:rPr>
        <w:t xml:space="preserve"> w wyn</w:t>
      </w:r>
      <w:r w:rsidRPr="009C6CA4">
        <w:rPr>
          <w:noProof/>
        </w:rPr>
        <w:t xml:space="preserve">iku którego </w:t>
      </w:r>
    </w:p>
    <w:p w14:paraId="00409E38" w14:textId="789BA3AF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a)</w:t>
      </w:r>
      <w:r w:rsidRPr="009C6CA4">
        <w:rPr>
          <w:noProof/>
        </w:rPr>
        <w:tab/>
      </w:r>
      <w:r w:rsidR="00E45DE7" w:rsidRPr="009C6CA4">
        <w:rPr>
          <w:noProof/>
        </w:rPr>
        <w:t>dochodzi do ograniczenia zasobów naturalnych potrzebnych do zachowania</w:t>
      </w:r>
      <w:r w:rsidRPr="009C6CA4">
        <w:rPr>
          <w:noProof/>
        </w:rPr>
        <w:t xml:space="preserve"> i pro</w:t>
      </w:r>
      <w:r w:rsidR="00E45DE7" w:rsidRPr="009C6CA4">
        <w:rPr>
          <w:noProof/>
        </w:rPr>
        <w:t>dukcji żywności; lub</w:t>
      </w:r>
    </w:p>
    <w:p w14:paraId="4A028A42" w14:textId="6E4E7E8E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b)</w:t>
      </w:r>
      <w:r w:rsidRPr="009C6CA4">
        <w:rPr>
          <w:noProof/>
        </w:rPr>
        <w:tab/>
      </w:r>
      <w:r w:rsidR="00E45DE7" w:rsidRPr="009C6CA4">
        <w:rPr>
          <w:noProof/>
        </w:rPr>
        <w:t>ludzie tracą dostęp do bezpiecznej</w:t>
      </w:r>
      <w:r w:rsidRPr="009C6CA4">
        <w:rPr>
          <w:noProof/>
        </w:rPr>
        <w:t xml:space="preserve"> i czy</w:t>
      </w:r>
      <w:r w:rsidR="00E45DE7" w:rsidRPr="009C6CA4">
        <w:rPr>
          <w:noProof/>
        </w:rPr>
        <w:t>stej wody pitnej; lub</w:t>
      </w:r>
    </w:p>
    <w:p w14:paraId="5E7EDD7E" w14:textId="0E533B12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c)</w:t>
      </w:r>
      <w:r w:rsidRPr="009C6CA4">
        <w:rPr>
          <w:noProof/>
        </w:rPr>
        <w:tab/>
      </w:r>
      <w:r w:rsidR="00E45DE7" w:rsidRPr="009C6CA4">
        <w:rPr>
          <w:noProof/>
        </w:rPr>
        <w:t>ludzie mają utrudniony dostęp do urządzeń sanitarnych lub urządzenia te zostają zniszczone; lub</w:t>
      </w:r>
    </w:p>
    <w:p w14:paraId="440418FE" w14:textId="5AE1AC42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d)</w:t>
      </w:r>
      <w:r w:rsidRPr="009C6CA4">
        <w:rPr>
          <w:noProof/>
        </w:rPr>
        <w:tab/>
      </w:r>
      <w:r w:rsidR="00E45DE7" w:rsidRPr="009C6CA4">
        <w:rPr>
          <w:noProof/>
        </w:rPr>
        <w:t>wyrządzona jest szkoda</w:t>
      </w:r>
      <w:r w:rsidRPr="009C6CA4">
        <w:rPr>
          <w:noProof/>
        </w:rPr>
        <w:t xml:space="preserve"> w zak</w:t>
      </w:r>
      <w:r w:rsidR="00E45DE7" w:rsidRPr="009C6CA4">
        <w:rPr>
          <w:noProof/>
        </w:rPr>
        <w:t>resie zdrowia, bezpieczeństwa, zwykłego użytkowania nieruchomości lub gruntów lub zwykłego prowadzenia działalności gospodarczej przez ludzi; lub</w:t>
      </w:r>
    </w:p>
    <w:p w14:paraId="6C3FA987" w14:textId="37844533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e)</w:t>
      </w:r>
      <w:r w:rsidRPr="009C6CA4">
        <w:rPr>
          <w:noProof/>
        </w:rPr>
        <w:tab/>
      </w:r>
      <w:r w:rsidR="00E45DE7" w:rsidRPr="009C6CA4">
        <w:rPr>
          <w:noProof/>
        </w:rPr>
        <w:t>wywierany jest wpływ na integralność środowiska, np.</w:t>
      </w:r>
      <w:r w:rsidRPr="009C6CA4">
        <w:rPr>
          <w:noProof/>
        </w:rPr>
        <w:t xml:space="preserve"> w wyn</w:t>
      </w:r>
      <w:r w:rsidR="00E45DE7" w:rsidRPr="009C6CA4">
        <w:rPr>
          <w:noProof/>
        </w:rPr>
        <w:t>iku wylesiania,</w:t>
      </w:r>
    </w:p>
    <w:p w14:paraId="61579767" w14:textId="52270EB1" w:rsidR="00E45DE7" w:rsidRPr="009C6CA4" w:rsidRDefault="00E45DE7" w:rsidP="00E45DE7">
      <w:pPr>
        <w:pStyle w:val="Text1"/>
        <w:ind w:left="851"/>
        <w:rPr>
          <w:noProof/>
        </w:rPr>
      </w:pPr>
      <w:r w:rsidRPr="009C6CA4">
        <w:rPr>
          <w:noProof/>
        </w:rPr>
        <w:t>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3 Powszechnej deklaracji praw człowieka, art.</w:t>
      </w:r>
      <w:r w:rsidR="00077D55" w:rsidRPr="009C6CA4">
        <w:rPr>
          <w:noProof/>
        </w:rPr>
        <w:t> </w:t>
      </w:r>
      <w:r w:rsidRPr="009C6CA4">
        <w:rPr>
          <w:noProof/>
        </w:rPr>
        <w:t>5 Międzynarodowego paktu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</w:t>
      </w:r>
      <w:r w:rsidR="009C6CA4" w:rsidRPr="009C6CA4">
        <w:rPr>
          <w:noProof/>
        </w:rPr>
        <w:t xml:space="preserve"> i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12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>turalnych;</w:t>
      </w:r>
    </w:p>
    <w:p w14:paraId="785831E4" w14:textId="5A25D4EF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bezprawnego eksmitowania lub przejęcia gruntów, lasów lub obszarów wodnych</w:t>
      </w:r>
      <w:r w:rsidR="009C6CA4" w:rsidRPr="009C6CA4">
        <w:rPr>
          <w:noProof/>
        </w:rPr>
        <w:t xml:space="preserve"> w ram</w:t>
      </w:r>
      <w:r w:rsidRPr="009C6CA4">
        <w:rPr>
          <w:noProof/>
        </w:rPr>
        <w:t>ach pozyskiwania, rozwijania lub innego wykorzystania gruntów, lasów lub obszarów wodnych,</w:t>
      </w:r>
      <w:r w:rsidR="009C6CA4" w:rsidRPr="009C6CA4">
        <w:rPr>
          <w:noProof/>
        </w:rPr>
        <w:t xml:space="preserve"> w tym</w:t>
      </w:r>
      <w:r w:rsidRPr="009C6CA4">
        <w:rPr>
          <w:noProof/>
        </w:rPr>
        <w:t xml:space="preserve"> poprzez wylesianie, których wykorzystanie zapewnia odpowiedni poziom życia ludzi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11 Międzynarodowego paktu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 xml:space="preserve">turalnych. </w:t>
      </w:r>
    </w:p>
    <w:p w14:paraId="1946B009" w14:textId="5A20F595" w:rsidR="00685FA6" w:rsidRPr="009C6CA4" w:rsidRDefault="00685FA6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prawa ludności rdzennej do ziemi, terytoriów</w:t>
      </w:r>
      <w:r w:rsidR="009C6CA4" w:rsidRPr="009C6CA4">
        <w:rPr>
          <w:noProof/>
        </w:rPr>
        <w:t xml:space="preserve"> i zas</w:t>
      </w:r>
      <w:r w:rsidRPr="009C6CA4">
        <w:rPr>
          <w:noProof/>
        </w:rPr>
        <w:t>obów tradycyjnie przez nie posiadanych, zajmowanych, używanych</w:t>
      </w:r>
      <w:r w:rsidR="009C6CA4" w:rsidRPr="009C6CA4">
        <w:rPr>
          <w:noProof/>
        </w:rPr>
        <w:t xml:space="preserve"> w inn</w:t>
      </w:r>
      <w:r w:rsidRPr="009C6CA4">
        <w:rPr>
          <w:noProof/>
        </w:rPr>
        <w:t>y sposób lub nabytych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25, art.</w:t>
      </w:r>
      <w:r w:rsidR="00077D55" w:rsidRPr="009C6CA4">
        <w:rPr>
          <w:noProof/>
        </w:rPr>
        <w:t> </w:t>
      </w:r>
      <w:r w:rsidRPr="009C6CA4">
        <w:rPr>
          <w:noProof/>
        </w:rPr>
        <w:t>26 ust.</w:t>
      </w:r>
      <w:r w:rsidR="00077D55" w:rsidRPr="009C6CA4">
        <w:rPr>
          <w:noProof/>
        </w:rPr>
        <w:t> </w:t>
      </w:r>
      <w:r w:rsidRPr="009C6CA4">
        <w:rPr>
          <w:noProof/>
        </w:rPr>
        <w:t>1</w:t>
      </w:r>
      <w:r w:rsidR="009C6CA4" w:rsidRPr="009C6CA4">
        <w:rPr>
          <w:noProof/>
        </w:rPr>
        <w:t xml:space="preserve"> i 2</w:t>
      </w:r>
      <w:r w:rsidRPr="009C6CA4">
        <w:rPr>
          <w:noProof/>
        </w:rPr>
        <w:t>, art.</w:t>
      </w:r>
      <w:r w:rsidR="00077D55" w:rsidRPr="009C6CA4">
        <w:rPr>
          <w:noProof/>
        </w:rPr>
        <w:t> </w:t>
      </w:r>
      <w:r w:rsidRPr="009C6CA4">
        <w:rPr>
          <w:noProof/>
        </w:rPr>
        <w:t>27</w:t>
      </w:r>
      <w:r w:rsidR="009C6CA4" w:rsidRPr="009C6CA4">
        <w:rPr>
          <w:noProof/>
        </w:rPr>
        <w:t xml:space="preserve"> i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29 ust.</w:t>
      </w:r>
      <w:r w:rsidR="00077D55" w:rsidRPr="009C6CA4">
        <w:rPr>
          <w:noProof/>
        </w:rPr>
        <w:t> </w:t>
      </w:r>
      <w:r w:rsidRPr="009C6CA4">
        <w:rPr>
          <w:noProof/>
        </w:rPr>
        <w:t>2 Deklaracji Organizacji Narodów Zjednoczonych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ludności rdzennej.</w:t>
      </w:r>
    </w:p>
    <w:p w14:paraId="6A7EF21C" w14:textId="670A12A6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lub prawa, których nie wymieniono</w:t>
      </w:r>
      <w:r w:rsidR="009C6CA4" w:rsidRPr="009C6CA4">
        <w:rPr>
          <w:noProof/>
        </w:rPr>
        <w:t xml:space="preserve"> w pkt</w:t>
      </w:r>
      <w:r w:rsidR="00077D55" w:rsidRPr="009C6CA4">
        <w:rPr>
          <w:noProof/>
        </w:rPr>
        <w:t> </w:t>
      </w:r>
      <w:r w:rsidRPr="009C6CA4">
        <w:rPr>
          <w:noProof/>
        </w:rPr>
        <w:t>1–20 powyżej, ale które określono</w:t>
      </w:r>
      <w:r w:rsidR="009C6CA4" w:rsidRPr="009C6CA4">
        <w:rPr>
          <w:noProof/>
        </w:rPr>
        <w:t xml:space="preserve"> w umo</w:t>
      </w:r>
      <w:r w:rsidRPr="009C6CA4">
        <w:rPr>
          <w:noProof/>
        </w:rPr>
        <w:t>wach</w:t>
      </w:r>
      <w:r w:rsidR="009C6CA4" w:rsidRPr="009C6CA4">
        <w:rPr>
          <w:noProof/>
        </w:rPr>
        <w:t xml:space="preserve"> w dzi</w:t>
      </w:r>
      <w:r w:rsidRPr="009C6CA4">
        <w:rPr>
          <w:noProof/>
        </w:rPr>
        <w:t>edzinie praw człowieka wymienionych</w:t>
      </w:r>
      <w:r w:rsidR="009C6CA4" w:rsidRPr="009C6CA4">
        <w:rPr>
          <w:noProof/>
        </w:rPr>
        <w:t xml:space="preserve"> w tej</w:t>
      </w:r>
      <w:r w:rsidRPr="009C6CA4">
        <w:rPr>
          <w:noProof/>
        </w:rPr>
        <w:t xml:space="preserve"> części</w:t>
      </w:r>
      <w:r w:rsidR="009C6CA4" w:rsidRPr="009C6CA4">
        <w:rPr>
          <w:noProof/>
        </w:rPr>
        <w:t xml:space="preserve"> w sek</w:t>
      </w:r>
      <w:r w:rsidRPr="009C6CA4">
        <w:rPr>
          <w:noProof/>
        </w:rPr>
        <w:t>cji 2, które to naruszenie bezpośrednio dotyczy interesu prawnego chronionego tymi umowami, pod warunkiem że można przyjąć, iż przedsiębiorstwo mogło ustalić ryzyko wystąpienia takiego naruszenia</w:t>
      </w:r>
      <w:r w:rsidR="009C6CA4" w:rsidRPr="009C6CA4">
        <w:rPr>
          <w:noProof/>
        </w:rPr>
        <w:t xml:space="preserve"> i wsz</w:t>
      </w:r>
      <w:r w:rsidRPr="009C6CA4">
        <w:rPr>
          <w:noProof/>
        </w:rPr>
        <w:t>elkie odpowiednie środki, które należałoby zastosować</w:t>
      </w:r>
      <w:r w:rsidR="009C6CA4" w:rsidRPr="009C6CA4">
        <w:rPr>
          <w:noProof/>
        </w:rPr>
        <w:t xml:space="preserve"> w cel</w:t>
      </w:r>
      <w:r w:rsidRPr="009C6CA4">
        <w:rPr>
          <w:noProof/>
        </w:rPr>
        <w:t>u spełnienia obowiązków,</w:t>
      </w:r>
      <w:r w:rsidR="009C6CA4" w:rsidRPr="009C6CA4">
        <w:rPr>
          <w:noProof/>
        </w:rPr>
        <w:t xml:space="preserve"> o któ</w:t>
      </w:r>
      <w:r w:rsidRPr="009C6CA4">
        <w:rPr>
          <w:noProof/>
        </w:rPr>
        <w:t>rych mowa</w:t>
      </w:r>
      <w:r w:rsidR="009C6CA4" w:rsidRPr="009C6CA4">
        <w:rPr>
          <w:noProof/>
        </w:rPr>
        <w:t xml:space="preserve"> w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4 niniejszej dyrektywy, uwzględniając wszystkie istotne okoliczności swojej działalności, takie jak sektor</w:t>
      </w:r>
      <w:r w:rsidR="009C6CA4" w:rsidRPr="009C6CA4">
        <w:rPr>
          <w:noProof/>
        </w:rPr>
        <w:t xml:space="preserve"> i war</w:t>
      </w:r>
      <w:r w:rsidRPr="009C6CA4">
        <w:rPr>
          <w:noProof/>
        </w:rPr>
        <w:t>unki operacyjne.</w:t>
      </w:r>
    </w:p>
    <w:p w14:paraId="231B06CC" w14:textId="083070B1" w:rsidR="00E45DE7" w:rsidRPr="009C6CA4" w:rsidRDefault="00E45DE7" w:rsidP="00D02FC5">
      <w:pPr>
        <w:pStyle w:val="Heading1"/>
        <w:rPr>
          <w:noProof/>
        </w:rPr>
      </w:pPr>
      <w:r w:rsidRPr="009C6CA4">
        <w:rPr>
          <w:noProof/>
        </w:rPr>
        <w:t>Konwencje określające prawa człowieka</w:t>
      </w:r>
      <w:r w:rsidR="009C6CA4" w:rsidRPr="009C6CA4">
        <w:rPr>
          <w:noProof/>
        </w:rPr>
        <w:t xml:space="preserve"> i pod</w:t>
      </w:r>
      <w:r w:rsidRPr="009C6CA4">
        <w:rPr>
          <w:noProof/>
        </w:rPr>
        <w:t>stawowe wolności</w:t>
      </w:r>
    </w:p>
    <w:p w14:paraId="5EE085CB" w14:textId="77777777" w:rsidR="00E45DE7" w:rsidRPr="009C6CA4" w:rsidRDefault="00E45DE7" w:rsidP="0010577D">
      <w:pPr>
        <w:pStyle w:val="Bullet1"/>
        <w:numPr>
          <w:ilvl w:val="0"/>
          <w:numId w:val="1"/>
        </w:numPr>
        <w:rPr>
          <w:noProof/>
        </w:rPr>
      </w:pPr>
      <w:r w:rsidRPr="009C6CA4">
        <w:rPr>
          <w:noProof/>
        </w:rPr>
        <w:t>Powszechna deklaracja praw człowieka;</w:t>
      </w:r>
    </w:p>
    <w:p w14:paraId="667993BC" w14:textId="4D7A51E1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Międzynarodowy pakt praw obywatelskich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itycznych;</w:t>
      </w:r>
    </w:p>
    <w:p w14:paraId="61258F14" w14:textId="4295484C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Międzynarodowy pakt praw gospodarczych, społecznych</w:t>
      </w:r>
      <w:r w:rsidR="009C6CA4" w:rsidRPr="009C6CA4">
        <w:rPr>
          <w:noProof/>
        </w:rPr>
        <w:t xml:space="preserve"> i kul</w:t>
      </w:r>
      <w:r w:rsidRPr="009C6CA4">
        <w:rPr>
          <w:noProof/>
        </w:rPr>
        <w:t>turalnych;</w:t>
      </w:r>
    </w:p>
    <w:p w14:paraId="5FC97CB1" w14:textId="409F0355" w:rsidR="004F7A38" w:rsidRPr="009C6CA4" w:rsidRDefault="004F7A38" w:rsidP="004F7A38">
      <w:pPr>
        <w:pStyle w:val="Bullet1"/>
        <w:rPr>
          <w:noProof/>
        </w:rPr>
      </w:pPr>
      <w:r w:rsidRPr="009C6CA4">
        <w:rPr>
          <w:noProof/>
        </w:rPr>
        <w:t>Konwencja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zapobiegania</w:t>
      </w:r>
      <w:r w:rsidR="009C6CA4" w:rsidRPr="009C6CA4">
        <w:rPr>
          <w:noProof/>
        </w:rPr>
        <w:t xml:space="preserve"> i kar</w:t>
      </w:r>
      <w:r w:rsidRPr="009C6CA4">
        <w:rPr>
          <w:noProof/>
        </w:rPr>
        <w:t>ania zbrodni ludobójstwa;</w:t>
      </w:r>
    </w:p>
    <w:p w14:paraId="4FC16A6A" w14:textId="1B17D6A3" w:rsidR="004F7A38" w:rsidRPr="009C6CA4" w:rsidRDefault="004F7A38" w:rsidP="004F7A38">
      <w:pPr>
        <w:pStyle w:val="Bullet1"/>
        <w:rPr>
          <w:noProof/>
        </w:rPr>
      </w:pPr>
      <w:r w:rsidRPr="009C6CA4">
        <w:rPr>
          <w:noProof/>
        </w:rPr>
        <w:t>Konwencja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zakazu stosowania tortur oraz innego okrutnego, nieludzkiego lub poniżającego traktowania albo karania;</w:t>
      </w:r>
    </w:p>
    <w:p w14:paraId="7233449B" w14:textId="1266AD5B" w:rsidR="00953A66" w:rsidRPr="009C6CA4" w:rsidRDefault="00953A66" w:rsidP="00A10082">
      <w:pPr>
        <w:pStyle w:val="Bullet1"/>
        <w:rPr>
          <w:noProof/>
        </w:rPr>
      </w:pPr>
      <w:r w:rsidRPr="009C6CA4">
        <w:rPr>
          <w:noProof/>
        </w:rPr>
        <w:t>Międzynarodowa konwencja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likwidacji wszelkich form dyskryminacji rasowej;</w:t>
      </w:r>
    </w:p>
    <w:p w14:paraId="3635CE64" w14:textId="538A0FA3" w:rsidR="00953A66" w:rsidRPr="009C6CA4" w:rsidRDefault="00953A66" w:rsidP="00A10082">
      <w:pPr>
        <w:pStyle w:val="Bullet1"/>
        <w:rPr>
          <w:noProof/>
        </w:rPr>
      </w:pPr>
      <w:r w:rsidRPr="009C6CA4">
        <w:rPr>
          <w:noProof/>
        </w:rPr>
        <w:t>Konwencja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likwidacji wszelkich form dyskryminacji kobiet;</w:t>
      </w:r>
    </w:p>
    <w:p w14:paraId="78EECECD" w14:textId="1AFE7CF0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Konwencja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>wach dziecka;</w:t>
      </w:r>
    </w:p>
    <w:p w14:paraId="13BC3CEB" w14:textId="2AE3B306" w:rsidR="00953A66" w:rsidRPr="009C6CA4" w:rsidRDefault="00953A66" w:rsidP="00E45DE7">
      <w:pPr>
        <w:pStyle w:val="Bullet1"/>
        <w:rPr>
          <w:noProof/>
        </w:rPr>
      </w:pPr>
      <w:r w:rsidRPr="009C6CA4">
        <w:rPr>
          <w:noProof/>
        </w:rPr>
        <w:t>Konwencja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 xml:space="preserve">wach osób niepełnosprawnych; </w:t>
      </w:r>
    </w:p>
    <w:p w14:paraId="15A7EDB6" w14:textId="78456A40" w:rsidR="00953A66" w:rsidRPr="009C6CA4" w:rsidRDefault="00953A66" w:rsidP="00E45DE7">
      <w:pPr>
        <w:pStyle w:val="Bullet1"/>
        <w:rPr>
          <w:noProof/>
        </w:rPr>
      </w:pPr>
      <w:r w:rsidRPr="009C6CA4">
        <w:rPr>
          <w:noProof/>
        </w:rPr>
        <w:t>Deklaracja Organizacji Narodów Zjednoczonych</w:t>
      </w:r>
      <w:r w:rsidR="009C6CA4" w:rsidRPr="009C6CA4">
        <w:rPr>
          <w:noProof/>
        </w:rPr>
        <w:t xml:space="preserve"> o pra</w:t>
      </w:r>
      <w:r w:rsidRPr="009C6CA4">
        <w:rPr>
          <w:noProof/>
        </w:rPr>
        <w:t xml:space="preserve">wach ludności rdzennej; </w:t>
      </w:r>
    </w:p>
    <w:p w14:paraId="25A18D89" w14:textId="6E1483E2" w:rsidR="00953A66" w:rsidRPr="009C6CA4" w:rsidRDefault="00953A66" w:rsidP="00E45DE7">
      <w:pPr>
        <w:pStyle w:val="Bullet1"/>
        <w:rPr>
          <w:noProof/>
        </w:rPr>
      </w:pPr>
      <w:r w:rsidRPr="009C6CA4">
        <w:rPr>
          <w:noProof/>
        </w:rPr>
        <w:t>Deklaracja praw osób należących do mniejszości narodowych lub etnicznych, religijnych</w:t>
      </w:r>
      <w:r w:rsidR="009C6CA4" w:rsidRPr="009C6CA4">
        <w:rPr>
          <w:noProof/>
        </w:rPr>
        <w:t xml:space="preserve"> i jęz</w:t>
      </w:r>
      <w:r w:rsidRPr="009C6CA4">
        <w:rPr>
          <w:noProof/>
        </w:rPr>
        <w:t>ykowych;</w:t>
      </w:r>
    </w:p>
    <w:p w14:paraId="45E5F14A" w14:textId="3329FDF8" w:rsidR="005050D0" w:rsidRPr="009C6CA4" w:rsidRDefault="005050D0" w:rsidP="005050D0">
      <w:pPr>
        <w:pStyle w:val="Bullet1"/>
        <w:rPr>
          <w:noProof/>
        </w:rPr>
      </w:pPr>
      <w:r w:rsidRPr="009C6CA4">
        <w:rPr>
          <w:noProof/>
        </w:rPr>
        <w:t>Konwencja Narodów Zjednoczonych przeciwko międzynarodowej przestępczości zorganizowanej oraz Protokół</w:t>
      </w:r>
      <w:r w:rsidR="009C6CA4" w:rsidRPr="009C6CA4">
        <w:rPr>
          <w:noProof/>
        </w:rPr>
        <w:t xml:space="preserve"> o zap</w:t>
      </w:r>
      <w:r w:rsidRPr="009C6CA4">
        <w:rPr>
          <w:noProof/>
        </w:rPr>
        <w:t>obieganiu, zwalczaniu oraz karaniu za handel ludźmi,</w:t>
      </w:r>
      <w:r w:rsidR="009C6CA4" w:rsidRPr="009C6CA4">
        <w:rPr>
          <w:noProof/>
        </w:rPr>
        <w:t xml:space="preserve"> w szc</w:t>
      </w:r>
      <w:r w:rsidRPr="009C6CA4">
        <w:rPr>
          <w:noProof/>
        </w:rPr>
        <w:t>zególności kobietami</w:t>
      </w:r>
      <w:r w:rsidR="009C6CA4" w:rsidRPr="009C6CA4">
        <w:rPr>
          <w:noProof/>
        </w:rPr>
        <w:t xml:space="preserve"> i dzi</w:t>
      </w:r>
      <w:r w:rsidRPr="009C6CA4">
        <w:rPr>
          <w:noProof/>
        </w:rPr>
        <w:t>ećmi, uzupełniający Konwencję Narodów Zjednoczonych przeciwko międzynarodowej przestępczości zorganizowanej;</w:t>
      </w:r>
    </w:p>
    <w:p w14:paraId="7C8074D2" w14:textId="1431086A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Deklaracja Międzynarodowej Organizacji Pracy dotycząca podstawowych zasad</w:t>
      </w:r>
      <w:r w:rsidR="009C6CA4" w:rsidRPr="009C6CA4">
        <w:rPr>
          <w:noProof/>
        </w:rPr>
        <w:t xml:space="preserve"> i pra</w:t>
      </w:r>
      <w:r w:rsidRPr="009C6CA4">
        <w:rPr>
          <w:noProof/>
        </w:rPr>
        <w:t>w</w:t>
      </w:r>
      <w:r w:rsidR="009C6CA4" w:rsidRPr="009C6CA4">
        <w:rPr>
          <w:noProof/>
        </w:rPr>
        <w:t xml:space="preserve"> w pra</w:t>
      </w:r>
      <w:r w:rsidRPr="009C6CA4">
        <w:rPr>
          <w:noProof/>
        </w:rPr>
        <w:t>cy;</w:t>
      </w:r>
    </w:p>
    <w:p w14:paraId="670EA149" w14:textId="0CF2DDA7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Trójstronna deklaracja zasad dotyczących przedsiębiorstw wielonarodowych</w:t>
      </w:r>
      <w:r w:rsidR="009C6CA4" w:rsidRPr="009C6CA4">
        <w:rPr>
          <w:noProof/>
        </w:rPr>
        <w:t xml:space="preserve"> i pol</w:t>
      </w:r>
      <w:r w:rsidRPr="009C6CA4">
        <w:rPr>
          <w:noProof/>
        </w:rPr>
        <w:t>ityki społecznej przyjęta przez Międzynarodową Organizację Pracy;</w:t>
      </w:r>
    </w:p>
    <w:p w14:paraId="374E573F" w14:textId="77777777" w:rsidR="00E45DE7" w:rsidRPr="009C6CA4" w:rsidRDefault="00E45DE7" w:rsidP="00E45DE7">
      <w:pPr>
        <w:pStyle w:val="Bullet1"/>
        <w:rPr>
          <w:noProof/>
        </w:rPr>
      </w:pPr>
      <w:r w:rsidRPr="009C6CA4">
        <w:rPr>
          <w:noProof/>
        </w:rPr>
        <w:t>Główne/podstawowe konwencje Międzynarodowej Organizacji Pracy:</w:t>
      </w:r>
    </w:p>
    <w:p w14:paraId="0DF6248A" w14:textId="66CF52EB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wolności związkowej</w:t>
      </w:r>
      <w:r w:rsidR="009C6CA4" w:rsidRPr="009C6CA4">
        <w:rPr>
          <w:noProof/>
        </w:rPr>
        <w:t xml:space="preserve"> i och</w:t>
      </w:r>
      <w:r w:rsidRPr="009C6CA4">
        <w:rPr>
          <w:noProof/>
        </w:rPr>
        <w:t>rony praw związkowych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948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87) </w:t>
      </w:r>
    </w:p>
    <w:p w14:paraId="36E480C6" w14:textId="7466F84F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stosowania zasad prawa organizowania się</w:t>
      </w:r>
      <w:r w:rsidR="009C6CA4" w:rsidRPr="009C6CA4">
        <w:rPr>
          <w:noProof/>
        </w:rPr>
        <w:t xml:space="preserve"> i rok</w:t>
      </w:r>
      <w:r w:rsidRPr="009C6CA4">
        <w:rPr>
          <w:noProof/>
        </w:rPr>
        <w:t>owań zbiorowych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949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98) </w:t>
      </w:r>
    </w:p>
    <w:p w14:paraId="772D0012" w14:textId="6A37EE63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pracy przymusowej lub obowiązkowej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930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29)</w:t>
      </w:r>
      <w:r w:rsidR="009C6CA4" w:rsidRPr="009C6CA4">
        <w:rPr>
          <w:noProof/>
        </w:rPr>
        <w:t xml:space="preserve"> i pro</w:t>
      </w:r>
      <w:r w:rsidRPr="009C6CA4">
        <w:rPr>
          <w:noProof/>
        </w:rPr>
        <w:t>tokół do niej</w:t>
      </w:r>
      <w:r w:rsidR="009C6CA4" w:rsidRPr="009C6CA4">
        <w:rPr>
          <w:noProof/>
        </w:rPr>
        <w:t xml:space="preserve"> z 2</w:t>
      </w:r>
      <w:r w:rsidRPr="009C6CA4">
        <w:rPr>
          <w:noProof/>
        </w:rPr>
        <w:t>014</w:t>
      </w:r>
      <w:r w:rsidR="00077D55" w:rsidRPr="009C6CA4">
        <w:rPr>
          <w:noProof/>
        </w:rPr>
        <w:t> </w:t>
      </w:r>
      <w:r w:rsidRPr="009C6CA4">
        <w:rPr>
          <w:noProof/>
        </w:rPr>
        <w:t>r.</w:t>
      </w:r>
    </w:p>
    <w:p w14:paraId="1468B212" w14:textId="145F7F2F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zniesienia pracy przymusowej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957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105) </w:t>
      </w:r>
    </w:p>
    <w:p w14:paraId="0F841603" w14:textId="4EBFF29A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najniższego wieku dopuszczenia do zatrudnienia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973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138) </w:t>
      </w:r>
    </w:p>
    <w:p w14:paraId="594D30C7" w14:textId="02BAD568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zakazu</w:t>
      </w:r>
      <w:r w:rsidR="009C6CA4" w:rsidRPr="009C6CA4">
        <w:rPr>
          <w:noProof/>
        </w:rPr>
        <w:t xml:space="preserve"> i nat</w:t>
      </w:r>
      <w:r w:rsidRPr="009C6CA4">
        <w:rPr>
          <w:noProof/>
        </w:rPr>
        <w:t>ychmiastowych działań na rzecz eliminowania najgorszych form pracy dzieci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999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182) </w:t>
      </w:r>
    </w:p>
    <w:p w14:paraId="01552B46" w14:textId="318CDCE2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jednakowego wynagrodzenia dla pracujących mężczyzn</w:t>
      </w:r>
      <w:r w:rsidR="009C6CA4" w:rsidRPr="009C6CA4">
        <w:rPr>
          <w:noProof/>
        </w:rPr>
        <w:t xml:space="preserve"> i kob</w:t>
      </w:r>
      <w:r w:rsidRPr="009C6CA4">
        <w:rPr>
          <w:noProof/>
        </w:rPr>
        <w:t>iet za pracę jednakowej wartości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951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 xml:space="preserve">100) </w:t>
      </w:r>
    </w:p>
    <w:p w14:paraId="3B69BBE6" w14:textId="4E57FC4F" w:rsidR="002710F3" w:rsidRPr="009C6CA4" w:rsidRDefault="002710F3" w:rsidP="00A43A0E">
      <w:pPr>
        <w:pStyle w:val="Bullet2"/>
        <w:numPr>
          <w:ilvl w:val="0"/>
          <w:numId w:val="10"/>
        </w:numPr>
        <w:rPr>
          <w:noProof/>
        </w:rPr>
      </w:pPr>
      <w:r w:rsidRPr="009C6CA4">
        <w:rPr>
          <w:noProof/>
        </w:rPr>
        <w:t>Konwencja dotycząca dyskryminacji</w:t>
      </w:r>
      <w:r w:rsidR="009C6CA4" w:rsidRPr="009C6CA4">
        <w:rPr>
          <w:noProof/>
        </w:rPr>
        <w:t xml:space="preserve"> w zak</w:t>
      </w:r>
      <w:r w:rsidRPr="009C6CA4">
        <w:rPr>
          <w:noProof/>
        </w:rPr>
        <w:t>resie zatrudnienia</w:t>
      </w:r>
      <w:r w:rsidR="009C6CA4" w:rsidRPr="009C6CA4">
        <w:rPr>
          <w:noProof/>
        </w:rPr>
        <w:t xml:space="preserve"> i wyk</w:t>
      </w:r>
      <w:r w:rsidRPr="009C6CA4">
        <w:rPr>
          <w:noProof/>
        </w:rPr>
        <w:t>onywania zawodu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958</w:t>
      </w:r>
      <w:r w:rsidR="00077D55" w:rsidRPr="009C6CA4">
        <w:rPr>
          <w:noProof/>
        </w:rPr>
        <w:t> </w:t>
      </w:r>
      <w:r w:rsidRPr="009C6CA4">
        <w:rPr>
          <w:noProof/>
        </w:rPr>
        <w:t>r. (nr</w:t>
      </w:r>
      <w:r w:rsidR="00077D55" w:rsidRPr="009C6CA4">
        <w:rPr>
          <w:noProof/>
        </w:rPr>
        <w:t> </w:t>
      </w:r>
      <w:r w:rsidRPr="009C6CA4">
        <w:rPr>
          <w:noProof/>
        </w:rPr>
        <w:t>111)</w:t>
      </w:r>
    </w:p>
    <w:p w14:paraId="60293273" w14:textId="5537C298" w:rsidR="00E45DE7" w:rsidRPr="009C6CA4" w:rsidRDefault="00E45DE7" w:rsidP="00D02FC5">
      <w:pPr>
        <w:rPr>
          <w:noProof/>
        </w:rPr>
      </w:pPr>
    </w:p>
    <w:p w14:paraId="27814563" w14:textId="77777777" w:rsidR="00E45DE7" w:rsidRPr="009C6CA4" w:rsidRDefault="00E45DE7" w:rsidP="00E45DE7">
      <w:pPr>
        <w:pStyle w:val="ManualHeading1"/>
        <w:rPr>
          <w:noProof/>
        </w:rPr>
      </w:pPr>
      <w:r w:rsidRPr="009C6CA4">
        <w:rPr>
          <w:noProof/>
        </w:rPr>
        <w:t>Część II</w:t>
      </w:r>
    </w:p>
    <w:p w14:paraId="254FB81D" w14:textId="7B5C0CAE" w:rsidR="00E45DE7" w:rsidRPr="009C6CA4" w:rsidRDefault="00E45DE7" w:rsidP="00A40390">
      <w:pPr>
        <w:rPr>
          <w:noProof/>
        </w:rPr>
      </w:pPr>
      <w:r w:rsidRPr="009C6CA4">
        <w:rPr>
          <w:b/>
          <w:smallCaps/>
          <w:noProof/>
        </w:rPr>
        <w:t>Naruszenia uznanych na forum międzynarodowym celów</w:t>
      </w:r>
      <w:r w:rsidR="009C6CA4" w:rsidRPr="009C6CA4">
        <w:rPr>
          <w:b/>
          <w:smallCaps/>
          <w:noProof/>
        </w:rPr>
        <w:t xml:space="preserve"> i zak</w:t>
      </w:r>
      <w:r w:rsidRPr="009C6CA4">
        <w:rPr>
          <w:b/>
          <w:smallCaps/>
          <w:noProof/>
        </w:rPr>
        <w:t>azów uwzględnionych</w:t>
      </w:r>
      <w:r w:rsidR="009C6CA4" w:rsidRPr="009C6CA4">
        <w:rPr>
          <w:b/>
          <w:smallCaps/>
          <w:noProof/>
        </w:rPr>
        <w:t xml:space="preserve"> w kon</w:t>
      </w:r>
      <w:r w:rsidRPr="009C6CA4">
        <w:rPr>
          <w:b/>
          <w:smallCaps/>
          <w:noProof/>
        </w:rPr>
        <w:t>wencjach</w:t>
      </w:r>
      <w:r w:rsidR="009C6CA4" w:rsidRPr="009C6CA4">
        <w:rPr>
          <w:b/>
          <w:smallCaps/>
          <w:noProof/>
        </w:rPr>
        <w:t xml:space="preserve"> w dzi</w:t>
      </w:r>
      <w:r w:rsidRPr="009C6CA4">
        <w:rPr>
          <w:b/>
          <w:smallCaps/>
          <w:noProof/>
        </w:rPr>
        <w:t>edzinie prawa ochrony środowiska</w:t>
      </w:r>
    </w:p>
    <w:p w14:paraId="713DDEC3" w14:textId="4336CCD2" w:rsidR="00432C86" w:rsidRPr="009C6CA4" w:rsidRDefault="00463410" w:rsidP="00A43A0E">
      <w:pPr>
        <w:pStyle w:val="NumPar1"/>
        <w:numPr>
          <w:ilvl w:val="0"/>
          <w:numId w:val="11"/>
        </w:numPr>
        <w:rPr>
          <w:noProof/>
        </w:rPr>
      </w:pPr>
      <w:r w:rsidRPr="009C6CA4">
        <w:rPr>
          <w:noProof/>
        </w:rPr>
        <w:t>Naruszenie obowiązku stosowania niezbędnych środków dotyczących wykorzystania zasobów biologicznych</w:t>
      </w:r>
      <w:r w:rsidR="009C6CA4" w:rsidRPr="009C6CA4">
        <w:rPr>
          <w:noProof/>
        </w:rPr>
        <w:t xml:space="preserve"> w cel</w:t>
      </w:r>
      <w:r w:rsidRPr="009C6CA4">
        <w:rPr>
          <w:noProof/>
        </w:rPr>
        <w:t>u uniknięcia lub zmniejszenia negatywnego wpływu na różnorodność biologiczną, zgodnie</w:t>
      </w:r>
      <w:r w:rsidR="009C6CA4" w:rsidRPr="009C6CA4">
        <w:rPr>
          <w:noProof/>
        </w:rPr>
        <w:t xml:space="preserve"> z art</w:t>
      </w:r>
      <w:r w:rsidRPr="009C6CA4">
        <w:rPr>
          <w:noProof/>
        </w:rPr>
        <w:t>.</w:t>
      </w:r>
      <w:r w:rsidR="00077D55" w:rsidRPr="009C6CA4">
        <w:rPr>
          <w:noProof/>
        </w:rPr>
        <w:t> </w:t>
      </w:r>
      <w:r w:rsidRPr="009C6CA4">
        <w:rPr>
          <w:noProof/>
        </w:rPr>
        <w:t>10 lit.</w:t>
      </w:r>
      <w:r w:rsidR="00077D55" w:rsidRPr="009C6CA4">
        <w:rPr>
          <w:noProof/>
        </w:rPr>
        <w:t> </w:t>
      </w:r>
      <w:r w:rsidRPr="009C6CA4">
        <w:rPr>
          <w:noProof/>
        </w:rPr>
        <w:t>b) Konwencji</w:t>
      </w:r>
      <w:r w:rsidR="009C6CA4" w:rsidRPr="009C6CA4">
        <w:rPr>
          <w:noProof/>
        </w:rPr>
        <w:t xml:space="preserve"> o róż</w:t>
      </w:r>
      <w:r w:rsidRPr="009C6CA4">
        <w:rPr>
          <w:noProof/>
        </w:rPr>
        <w:t>norodności biologicznej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992</w:t>
      </w:r>
      <w:r w:rsidR="00077D55" w:rsidRPr="009C6CA4">
        <w:rPr>
          <w:noProof/>
        </w:rPr>
        <w:t> </w:t>
      </w:r>
      <w:r w:rsidRPr="009C6CA4">
        <w:rPr>
          <w:noProof/>
        </w:rPr>
        <w:t>r. oraz [uwzględniając ewentualne zmiany Konwencji Organizacji Narodów Zjednoczonych</w:t>
      </w:r>
      <w:r w:rsidR="009C6CA4" w:rsidRPr="009C6CA4">
        <w:rPr>
          <w:noProof/>
        </w:rPr>
        <w:t xml:space="preserve"> o róż</w:t>
      </w:r>
      <w:r w:rsidRPr="009C6CA4">
        <w:rPr>
          <w:noProof/>
        </w:rPr>
        <w:t>norodności biologicznej na okres po</w:t>
      </w:r>
      <w:r w:rsidR="00077D55" w:rsidRPr="009C6CA4">
        <w:rPr>
          <w:noProof/>
        </w:rPr>
        <w:t> </w:t>
      </w:r>
      <w:r w:rsidRPr="009C6CA4">
        <w:rPr>
          <w:noProof/>
        </w:rPr>
        <w:t>2020</w:t>
      </w:r>
      <w:r w:rsidR="00077D55" w:rsidRPr="009C6CA4">
        <w:rPr>
          <w:noProof/>
        </w:rPr>
        <w:t> </w:t>
      </w:r>
      <w:r w:rsidRPr="009C6CA4">
        <w:rPr>
          <w:noProof/>
        </w:rPr>
        <w:t>r.],</w:t>
      </w:r>
      <w:r w:rsidR="009C6CA4" w:rsidRPr="009C6CA4">
        <w:rPr>
          <w:noProof/>
        </w:rPr>
        <w:t xml:space="preserve"> w tym</w:t>
      </w:r>
      <w:r w:rsidRPr="009C6CA4">
        <w:rPr>
          <w:noProof/>
        </w:rPr>
        <w:t xml:space="preserve"> obowiązków określonych</w:t>
      </w:r>
      <w:r w:rsidR="009C6CA4" w:rsidRPr="009C6CA4">
        <w:rPr>
          <w:noProof/>
        </w:rPr>
        <w:t xml:space="preserve"> w pro</w:t>
      </w:r>
      <w:r w:rsidRPr="009C6CA4">
        <w:rPr>
          <w:noProof/>
        </w:rPr>
        <w:t>tokole kartageńskim</w:t>
      </w:r>
      <w:r w:rsidR="009C6CA4" w:rsidRPr="009C6CA4">
        <w:rPr>
          <w:noProof/>
        </w:rPr>
        <w:t xml:space="preserve"> w zak</w:t>
      </w:r>
      <w:r w:rsidRPr="009C6CA4">
        <w:rPr>
          <w:noProof/>
        </w:rPr>
        <w:t>resie rozwijania zmodyfikowanych organizmów żywych, sposobu postępowania</w:t>
      </w:r>
      <w:r w:rsidR="009C6CA4" w:rsidRPr="009C6CA4">
        <w:rPr>
          <w:noProof/>
        </w:rPr>
        <w:t xml:space="preserve"> z nim</w:t>
      </w:r>
      <w:r w:rsidRPr="009C6CA4">
        <w:rPr>
          <w:noProof/>
        </w:rPr>
        <w:t>i, ich transportu, użytkowania, transferu</w:t>
      </w:r>
      <w:r w:rsidR="009C6CA4" w:rsidRPr="009C6CA4">
        <w:rPr>
          <w:noProof/>
        </w:rPr>
        <w:t xml:space="preserve"> i uwa</w:t>
      </w:r>
      <w:r w:rsidRPr="009C6CA4">
        <w:rPr>
          <w:noProof/>
        </w:rPr>
        <w:t>lniania oraz</w:t>
      </w:r>
      <w:r w:rsidR="009C6CA4" w:rsidRPr="009C6CA4">
        <w:rPr>
          <w:noProof/>
        </w:rPr>
        <w:t xml:space="preserve"> w Pro</w:t>
      </w:r>
      <w:r w:rsidRPr="009C6CA4">
        <w:rPr>
          <w:noProof/>
        </w:rPr>
        <w:t>tokole</w:t>
      </w:r>
      <w:r w:rsidR="009C6CA4" w:rsidRPr="009C6CA4">
        <w:rPr>
          <w:noProof/>
        </w:rPr>
        <w:t xml:space="preserve"> o dos</w:t>
      </w:r>
      <w:r w:rsidRPr="009C6CA4">
        <w:rPr>
          <w:noProof/>
        </w:rPr>
        <w:t>tępie do zasobów genetycznych oraz sprawiedliwym</w:t>
      </w:r>
      <w:r w:rsidR="009C6CA4" w:rsidRPr="009C6CA4">
        <w:rPr>
          <w:noProof/>
        </w:rPr>
        <w:t xml:space="preserve"> i rów</w:t>
      </w:r>
      <w:r w:rsidRPr="009C6CA4">
        <w:rPr>
          <w:noProof/>
        </w:rPr>
        <w:t>nym podziale korzyści wynikających</w:t>
      </w:r>
      <w:r w:rsidR="009C6CA4" w:rsidRPr="009C6CA4">
        <w:rPr>
          <w:noProof/>
        </w:rPr>
        <w:t xml:space="preserve"> z wyk</w:t>
      </w:r>
      <w:r w:rsidRPr="009C6CA4">
        <w:rPr>
          <w:noProof/>
        </w:rPr>
        <w:t>orzystania tych zasobów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12 października 2014</w:t>
      </w:r>
      <w:r w:rsidR="00077D55" w:rsidRPr="009C6CA4">
        <w:rPr>
          <w:noProof/>
        </w:rPr>
        <w:t> </w:t>
      </w:r>
      <w:r w:rsidRPr="009C6CA4">
        <w:rPr>
          <w:noProof/>
        </w:rPr>
        <w:t>r..</w:t>
      </w:r>
    </w:p>
    <w:p w14:paraId="155198EE" w14:textId="1DE292F7" w:rsidR="002D16EE" w:rsidRPr="009C6CA4" w:rsidRDefault="002D16EE" w:rsidP="00A43A0E">
      <w:pPr>
        <w:pStyle w:val="NumPar1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before="168" w:after="0" w:line="256" w:lineRule="auto"/>
        <w:ind w:right="116"/>
        <w:rPr>
          <w:noProof/>
        </w:rPr>
      </w:pPr>
      <w:r w:rsidRPr="009C6CA4">
        <w:rPr>
          <w:noProof/>
        </w:rPr>
        <w:t>Naruszenie zakazu przywozu lub wywozu jakichkolwiek okazów uwzględnionych</w:t>
      </w:r>
      <w:r w:rsidR="009C6CA4" w:rsidRPr="009C6CA4">
        <w:rPr>
          <w:noProof/>
        </w:rPr>
        <w:t xml:space="preserve"> w dod</w:t>
      </w:r>
      <w:r w:rsidRPr="009C6CA4">
        <w:rPr>
          <w:noProof/>
        </w:rPr>
        <w:t>atku do Konwencji</w:t>
      </w:r>
      <w:r w:rsidR="009C6CA4" w:rsidRPr="009C6CA4">
        <w:rPr>
          <w:noProof/>
        </w:rPr>
        <w:t xml:space="preserve"> o mię</w:t>
      </w:r>
      <w:r w:rsidRPr="009C6CA4">
        <w:rPr>
          <w:noProof/>
        </w:rPr>
        <w:t>dzynarodowym handlu dzikimi zwierzętami</w:t>
      </w:r>
      <w:r w:rsidR="009C6CA4" w:rsidRPr="009C6CA4">
        <w:rPr>
          <w:noProof/>
        </w:rPr>
        <w:t xml:space="preserve"> i roś</w:t>
      </w:r>
      <w:r w:rsidRPr="009C6CA4">
        <w:rPr>
          <w:noProof/>
        </w:rPr>
        <w:t>linami gatunków zagrożonych wyginięciem (CITES)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3 marca 1973</w:t>
      </w:r>
      <w:r w:rsidR="00077D55" w:rsidRPr="009C6CA4">
        <w:rPr>
          <w:noProof/>
        </w:rPr>
        <w:t> </w:t>
      </w:r>
      <w:r w:rsidRPr="009C6CA4">
        <w:rPr>
          <w:noProof/>
        </w:rPr>
        <w:t>r. bez zezwolenia, na podstawie art. III, IV i V.</w:t>
      </w:r>
    </w:p>
    <w:p w14:paraId="6A95094C" w14:textId="1AED97EA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before="168" w:after="0" w:line="256" w:lineRule="auto"/>
        <w:ind w:right="116"/>
        <w:rPr>
          <w:noProof/>
        </w:rPr>
      </w:pPr>
      <w:r w:rsidRPr="009C6CA4">
        <w:rPr>
          <w:noProof/>
        </w:rPr>
        <w:t>Naruszenie zakazu produkcji produktów</w:t>
      </w:r>
      <w:r w:rsidR="009C6CA4" w:rsidRPr="009C6CA4">
        <w:rPr>
          <w:noProof/>
        </w:rPr>
        <w:t xml:space="preserve"> z dod</w:t>
      </w:r>
      <w:r w:rsidRPr="009C6CA4">
        <w:rPr>
          <w:noProof/>
        </w:rPr>
        <w:t>atkiem rtęci na podstawie art.</w:t>
      </w:r>
      <w:r w:rsidR="00077D55" w:rsidRPr="009C6CA4">
        <w:rPr>
          <w:noProof/>
        </w:rPr>
        <w:t> </w:t>
      </w:r>
      <w:r w:rsidRPr="009C6CA4">
        <w:rPr>
          <w:noProof/>
        </w:rPr>
        <w:t>4 ust.</w:t>
      </w:r>
      <w:r w:rsidR="00077D55" w:rsidRPr="009C6CA4">
        <w:rPr>
          <w:noProof/>
        </w:rPr>
        <w:t> </w:t>
      </w:r>
      <w:r w:rsidRPr="009C6CA4">
        <w:rPr>
          <w:noProof/>
        </w:rPr>
        <w:t>1 Konwencji</w:t>
      </w:r>
      <w:r w:rsidR="009C6CA4" w:rsidRPr="009C6CA4">
        <w:rPr>
          <w:noProof/>
        </w:rPr>
        <w:t xml:space="preserve"> z Min</w:t>
      </w:r>
      <w:r w:rsidRPr="009C6CA4">
        <w:rPr>
          <w:noProof/>
        </w:rPr>
        <w:t>amaty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rtęci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10 października 2013</w:t>
      </w:r>
      <w:r w:rsidR="00077D55" w:rsidRPr="009C6CA4">
        <w:rPr>
          <w:noProof/>
        </w:rPr>
        <w:t> </w:t>
      </w:r>
      <w:r w:rsidRPr="009C6CA4">
        <w:rPr>
          <w:noProof/>
        </w:rPr>
        <w:t>r. („konwencja</w:t>
      </w:r>
      <w:r w:rsidR="009C6CA4" w:rsidRPr="009C6CA4">
        <w:rPr>
          <w:noProof/>
        </w:rPr>
        <w:t xml:space="preserve"> z Min</w:t>
      </w:r>
      <w:r w:rsidRPr="009C6CA4">
        <w:rPr>
          <w:noProof/>
        </w:rPr>
        <w:t>amaty”)</w:t>
      </w:r>
      <w:r w:rsidR="009C6CA4" w:rsidRPr="009C6CA4">
        <w:rPr>
          <w:noProof/>
        </w:rPr>
        <w:t xml:space="preserve"> i czę</w:t>
      </w:r>
      <w:r w:rsidRPr="009C6CA4">
        <w:rPr>
          <w:noProof/>
        </w:rPr>
        <w:t>ści pierwszej załącznika A do tej konwencji.</w:t>
      </w:r>
    </w:p>
    <w:p w14:paraId="7292982D" w14:textId="567C53CC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95"/>
        </w:tabs>
        <w:autoSpaceDE w:val="0"/>
        <w:autoSpaceDN w:val="0"/>
        <w:spacing w:before="168" w:after="0" w:line="256" w:lineRule="auto"/>
        <w:ind w:right="114"/>
        <w:rPr>
          <w:noProof/>
        </w:rPr>
      </w:pPr>
      <w:r w:rsidRPr="009C6CA4">
        <w:rPr>
          <w:noProof/>
        </w:rPr>
        <w:t>Naruszenie zakazu wykorzystywania rtęci lub związków rtęci</w:t>
      </w:r>
      <w:r w:rsidR="009C6CA4" w:rsidRPr="009C6CA4">
        <w:rPr>
          <w:noProof/>
        </w:rPr>
        <w:t xml:space="preserve"> w pro</w:t>
      </w:r>
      <w:r w:rsidRPr="009C6CA4">
        <w:rPr>
          <w:noProof/>
        </w:rPr>
        <w:t>cesach produkcyjnych</w:t>
      </w:r>
      <w:r w:rsidR="009C6CA4" w:rsidRPr="009C6CA4">
        <w:rPr>
          <w:noProof/>
        </w:rPr>
        <w:t xml:space="preserve"> w roz</w:t>
      </w:r>
      <w:r w:rsidRPr="009C6CA4">
        <w:rPr>
          <w:noProof/>
        </w:rPr>
        <w:t>umieniu art.</w:t>
      </w:r>
      <w:r w:rsidR="00077D55" w:rsidRPr="009C6CA4">
        <w:rPr>
          <w:noProof/>
        </w:rPr>
        <w:t> </w:t>
      </w:r>
      <w:r w:rsidRPr="009C6CA4">
        <w:rPr>
          <w:noProof/>
        </w:rPr>
        <w:t>5 ust.</w:t>
      </w:r>
      <w:r w:rsidR="00077D55" w:rsidRPr="009C6CA4">
        <w:rPr>
          <w:noProof/>
        </w:rPr>
        <w:t> </w:t>
      </w:r>
      <w:r w:rsidRPr="009C6CA4">
        <w:rPr>
          <w:noProof/>
        </w:rPr>
        <w:t>2 konwencji</w:t>
      </w:r>
      <w:r w:rsidR="009C6CA4" w:rsidRPr="009C6CA4">
        <w:rPr>
          <w:noProof/>
        </w:rPr>
        <w:t xml:space="preserve"> z Min</w:t>
      </w:r>
      <w:r w:rsidRPr="009C6CA4">
        <w:rPr>
          <w:noProof/>
        </w:rPr>
        <w:t>amaty</w:t>
      </w:r>
      <w:r w:rsidR="009C6CA4" w:rsidRPr="009C6CA4">
        <w:rPr>
          <w:noProof/>
        </w:rPr>
        <w:t xml:space="preserve"> i czę</w:t>
      </w:r>
      <w:r w:rsidRPr="009C6CA4">
        <w:rPr>
          <w:noProof/>
        </w:rPr>
        <w:t>ści I załącznika B do tej konwencji po dacie wycofania określonej</w:t>
      </w:r>
      <w:r w:rsidR="009C6CA4" w:rsidRPr="009C6CA4">
        <w:rPr>
          <w:noProof/>
        </w:rPr>
        <w:t xml:space="preserve"> w tej</w:t>
      </w:r>
      <w:r w:rsidRPr="009C6CA4">
        <w:rPr>
          <w:noProof/>
        </w:rPr>
        <w:t xml:space="preserve"> konwencji</w:t>
      </w:r>
      <w:r w:rsidR="009C6CA4" w:rsidRPr="009C6CA4">
        <w:rPr>
          <w:noProof/>
        </w:rPr>
        <w:t xml:space="preserve"> w odn</w:t>
      </w:r>
      <w:r w:rsidRPr="009C6CA4">
        <w:rPr>
          <w:noProof/>
        </w:rPr>
        <w:t>iesieniu do poszczególnych produktów</w:t>
      </w:r>
      <w:r w:rsidR="009C6CA4" w:rsidRPr="009C6CA4">
        <w:rPr>
          <w:noProof/>
        </w:rPr>
        <w:t xml:space="preserve"> i pro</w:t>
      </w:r>
      <w:r w:rsidRPr="009C6CA4">
        <w:rPr>
          <w:noProof/>
        </w:rPr>
        <w:t>cesów.</w:t>
      </w:r>
    </w:p>
    <w:p w14:paraId="7CE4E1F1" w14:textId="73AA6326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167" w:after="0" w:line="254" w:lineRule="auto"/>
        <w:ind w:right="114"/>
        <w:rPr>
          <w:noProof/>
        </w:rPr>
      </w:pPr>
      <w:r w:rsidRPr="009C6CA4">
        <w:rPr>
          <w:noProof/>
        </w:rPr>
        <w:t>Naruszenie zakazu postępowania</w:t>
      </w:r>
      <w:r w:rsidR="009C6CA4" w:rsidRPr="009C6CA4">
        <w:rPr>
          <w:noProof/>
        </w:rPr>
        <w:t xml:space="preserve"> z odp</w:t>
      </w:r>
      <w:r w:rsidRPr="009C6CA4">
        <w:rPr>
          <w:noProof/>
        </w:rPr>
        <w:t>adami rtęciowymi</w:t>
      </w:r>
      <w:r w:rsidR="009C6CA4" w:rsidRPr="009C6CA4">
        <w:rPr>
          <w:noProof/>
        </w:rPr>
        <w:t xml:space="preserve"> w spo</w:t>
      </w:r>
      <w:r w:rsidRPr="009C6CA4">
        <w:rPr>
          <w:noProof/>
        </w:rPr>
        <w:t>sób niezgodny</w:t>
      </w:r>
      <w:r w:rsidR="009C6CA4" w:rsidRPr="009C6CA4">
        <w:rPr>
          <w:noProof/>
        </w:rPr>
        <w:t xml:space="preserve"> z prz</w:t>
      </w:r>
      <w:r w:rsidRPr="009C6CA4">
        <w:rPr>
          <w:noProof/>
        </w:rPr>
        <w:t>episami art.</w:t>
      </w:r>
      <w:r w:rsidR="00077D55" w:rsidRPr="009C6CA4">
        <w:rPr>
          <w:noProof/>
        </w:rPr>
        <w:t> </w:t>
      </w:r>
      <w:r w:rsidRPr="009C6CA4">
        <w:rPr>
          <w:noProof/>
        </w:rPr>
        <w:t>11 ust.</w:t>
      </w:r>
      <w:r w:rsidR="00077D55" w:rsidRPr="009C6CA4">
        <w:rPr>
          <w:noProof/>
        </w:rPr>
        <w:t> </w:t>
      </w:r>
      <w:r w:rsidRPr="009C6CA4">
        <w:rPr>
          <w:noProof/>
        </w:rPr>
        <w:t>3 konwencji</w:t>
      </w:r>
      <w:r w:rsidR="009C6CA4" w:rsidRPr="009C6CA4">
        <w:rPr>
          <w:noProof/>
        </w:rPr>
        <w:t xml:space="preserve"> z Min</w:t>
      </w:r>
      <w:r w:rsidRPr="009C6CA4">
        <w:rPr>
          <w:noProof/>
        </w:rPr>
        <w:t>amaty.</w:t>
      </w:r>
    </w:p>
    <w:p w14:paraId="73BCD475" w14:textId="3B032CD6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80"/>
        </w:tabs>
        <w:autoSpaceDE w:val="0"/>
        <w:autoSpaceDN w:val="0"/>
        <w:spacing w:before="170" w:after="0" w:line="259" w:lineRule="auto"/>
        <w:ind w:right="114"/>
        <w:rPr>
          <w:noProof/>
        </w:rPr>
      </w:pPr>
      <w:r w:rsidRPr="009C6CA4">
        <w:rPr>
          <w:noProof/>
        </w:rPr>
        <w:t>Naruszenie zakazu produkcji</w:t>
      </w:r>
      <w:r w:rsidR="009C6CA4" w:rsidRPr="009C6CA4">
        <w:rPr>
          <w:noProof/>
        </w:rPr>
        <w:t xml:space="preserve"> i sto</w:t>
      </w:r>
      <w:r w:rsidRPr="009C6CA4">
        <w:rPr>
          <w:noProof/>
        </w:rPr>
        <w:t>sowania substancji chemicznych na podstawie art.</w:t>
      </w:r>
      <w:r w:rsidR="00077D55" w:rsidRPr="009C6CA4">
        <w:rPr>
          <w:noProof/>
        </w:rPr>
        <w:t> </w:t>
      </w:r>
      <w:r w:rsidRPr="009C6CA4">
        <w:rPr>
          <w:noProof/>
        </w:rPr>
        <w:t>3 ust.</w:t>
      </w:r>
      <w:r w:rsidR="00077D55" w:rsidRPr="009C6CA4">
        <w:rPr>
          <w:noProof/>
        </w:rPr>
        <w:t> </w:t>
      </w:r>
      <w:r w:rsidRPr="009C6CA4">
        <w:rPr>
          <w:noProof/>
        </w:rPr>
        <w:t>1 lit.</w:t>
      </w:r>
      <w:r w:rsidR="00077D55" w:rsidRPr="009C6CA4">
        <w:rPr>
          <w:noProof/>
        </w:rPr>
        <w:t> </w:t>
      </w:r>
      <w:r w:rsidRPr="009C6CA4">
        <w:rPr>
          <w:noProof/>
        </w:rPr>
        <w:t>a) pkt (i) Konwencji sztokholmskiej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trwałych zanieczyszczeń organicznych</w:t>
      </w:r>
      <w:r w:rsidR="009C6CA4" w:rsidRPr="009C6CA4">
        <w:rPr>
          <w:noProof/>
        </w:rPr>
        <w:t xml:space="preserve"> z 2</w:t>
      </w:r>
      <w:r w:rsidRPr="009C6CA4">
        <w:rPr>
          <w:noProof/>
        </w:rPr>
        <w:t>2 maja 2001</w:t>
      </w:r>
      <w:r w:rsidR="00077D55" w:rsidRPr="009C6CA4">
        <w:rPr>
          <w:noProof/>
        </w:rPr>
        <w:t> </w:t>
      </w:r>
      <w:r w:rsidRPr="009C6CA4">
        <w:rPr>
          <w:noProof/>
        </w:rPr>
        <w:t>r. (konwencja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TZO)</w:t>
      </w:r>
      <w:r w:rsidR="009C6CA4" w:rsidRPr="009C6CA4">
        <w:rPr>
          <w:noProof/>
        </w:rPr>
        <w:t xml:space="preserve"> i zał</w:t>
      </w:r>
      <w:r w:rsidRPr="009C6CA4">
        <w:rPr>
          <w:noProof/>
        </w:rPr>
        <w:t>ącznika A do tej konwencji,</w:t>
      </w:r>
      <w:r w:rsidR="009C6CA4" w:rsidRPr="009C6CA4">
        <w:rPr>
          <w:noProof/>
        </w:rPr>
        <w:t xml:space="preserve"> w wer</w:t>
      </w:r>
      <w:r w:rsidRPr="009C6CA4">
        <w:rPr>
          <w:noProof/>
        </w:rPr>
        <w:t>sji przyjętej</w:t>
      </w:r>
      <w:r w:rsidR="009C6CA4" w:rsidRPr="009C6CA4">
        <w:rPr>
          <w:noProof/>
        </w:rPr>
        <w:t xml:space="preserve"> w roz</w:t>
      </w:r>
      <w:r w:rsidRPr="009C6CA4">
        <w:rPr>
          <w:noProof/>
        </w:rPr>
        <w:t>porządzeniu Parlamentu Europejskiego</w:t>
      </w:r>
      <w:r w:rsidR="009C6CA4" w:rsidRPr="009C6CA4">
        <w:rPr>
          <w:noProof/>
        </w:rPr>
        <w:t xml:space="preserve"> i Rad</w:t>
      </w:r>
      <w:r w:rsidRPr="009C6CA4">
        <w:rPr>
          <w:noProof/>
        </w:rPr>
        <w:t>y (UE) 2019/1021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20 czerwca 2019</w:t>
      </w:r>
      <w:r w:rsidR="00077D55" w:rsidRPr="009C6CA4">
        <w:rPr>
          <w:noProof/>
        </w:rPr>
        <w:t> </w:t>
      </w:r>
      <w:r w:rsidRPr="009C6CA4">
        <w:rPr>
          <w:noProof/>
        </w:rPr>
        <w:t>r. dotyczącym trwałych zanieczyszczeń organicznych (Dz.U. L 169</w:t>
      </w:r>
      <w:r w:rsidR="009C6CA4" w:rsidRPr="009C6CA4">
        <w:rPr>
          <w:noProof/>
        </w:rPr>
        <w:t xml:space="preserve"> z 2</w:t>
      </w:r>
      <w:r w:rsidRPr="009C6CA4">
        <w:rPr>
          <w:noProof/>
        </w:rPr>
        <w:t>5.6.2019, s. 45).</w:t>
      </w:r>
    </w:p>
    <w:p w14:paraId="2E2F7ABA" w14:textId="1BD59F97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87"/>
        </w:tabs>
        <w:autoSpaceDE w:val="0"/>
        <w:autoSpaceDN w:val="0"/>
        <w:spacing w:before="158" w:after="0" w:line="256" w:lineRule="auto"/>
        <w:ind w:right="115"/>
        <w:rPr>
          <w:noProof/>
        </w:rPr>
      </w:pPr>
      <w:r w:rsidRPr="009C6CA4">
        <w:rPr>
          <w:noProof/>
        </w:rPr>
        <w:t>Naruszenie zakazu obchodzenia się</w:t>
      </w:r>
      <w:r w:rsidR="009C6CA4" w:rsidRPr="009C6CA4">
        <w:rPr>
          <w:noProof/>
        </w:rPr>
        <w:t xml:space="preserve"> z odp</w:t>
      </w:r>
      <w:r w:rsidRPr="009C6CA4">
        <w:rPr>
          <w:noProof/>
        </w:rPr>
        <w:t>adami, ich gromadzenia, magazynowania</w:t>
      </w:r>
      <w:r w:rsidR="009C6CA4" w:rsidRPr="009C6CA4">
        <w:rPr>
          <w:noProof/>
        </w:rPr>
        <w:t xml:space="preserve"> i uni</w:t>
      </w:r>
      <w:r w:rsidRPr="009C6CA4">
        <w:rPr>
          <w:noProof/>
        </w:rPr>
        <w:t>eszkodliwiania</w:t>
      </w:r>
      <w:r w:rsidR="009C6CA4" w:rsidRPr="009C6CA4">
        <w:rPr>
          <w:noProof/>
        </w:rPr>
        <w:t xml:space="preserve"> w spo</w:t>
      </w:r>
      <w:r w:rsidRPr="009C6CA4">
        <w:rPr>
          <w:noProof/>
        </w:rPr>
        <w:t>sób, który nie jest przyjazny dla środowiska zgodnie</w:t>
      </w:r>
      <w:r w:rsidR="009C6CA4" w:rsidRPr="009C6CA4">
        <w:rPr>
          <w:noProof/>
        </w:rPr>
        <w:t xml:space="preserve"> z obo</w:t>
      </w:r>
      <w:r w:rsidRPr="009C6CA4">
        <w:rPr>
          <w:noProof/>
        </w:rPr>
        <w:t>wiązującymi regulacjami</w:t>
      </w:r>
      <w:r w:rsidR="009C6CA4" w:rsidRPr="009C6CA4">
        <w:rPr>
          <w:noProof/>
        </w:rPr>
        <w:t xml:space="preserve"> w dan</w:t>
      </w:r>
      <w:r w:rsidRPr="009C6CA4">
        <w:rPr>
          <w:noProof/>
        </w:rPr>
        <w:t>ej jurysdykcji na podstawie przepisów art.</w:t>
      </w:r>
      <w:r w:rsidR="00077D55" w:rsidRPr="009C6CA4">
        <w:rPr>
          <w:noProof/>
        </w:rPr>
        <w:t> </w:t>
      </w:r>
      <w:r w:rsidRPr="009C6CA4">
        <w:rPr>
          <w:noProof/>
        </w:rPr>
        <w:t>6 ust.</w:t>
      </w:r>
      <w:r w:rsidR="00077D55" w:rsidRPr="009C6CA4">
        <w:rPr>
          <w:noProof/>
        </w:rPr>
        <w:t> </w:t>
      </w:r>
      <w:r w:rsidRPr="009C6CA4">
        <w:rPr>
          <w:noProof/>
        </w:rPr>
        <w:t>1 lit.</w:t>
      </w:r>
      <w:r w:rsidR="00077D55" w:rsidRPr="009C6CA4">
        <w:rPr>
          <w:noProof/>
        </w:rPr>
        <w:t> </w:t>
      </w:r>
      <w:r w:rsidRPr="009C6CA4">
        <w:rPr>
          <w:noProof/>
        </w:rPr>
        <w:t>d) pkt (i) i (ii) konwencji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TZO.</w:t>
      </w:r>
    </w:p>
    <w:p w14:paraId="6E83EC89" w14:textId="58058A7E" w:rsidR="00E45DE7" w:rsidRPr="009C6CA4" w:rsidRDefault="00E45DE7" w:rsidP="00A43A0E">
      <w:pPr>
        <w:pStyle w:val="NumPar1"/>
        <w:widowControl w:val="0"/>
        <w:numPr>
          <w:ilvl w:val="0"/>
          <w:numId w:val="11"/>
        </w:numPr>
        <w:tabs>
          <w:tab w:val="left" w:pos="887"/>
        </w:tabs>
        <w:autoSpaceDE w:val="0"/>
        <w:autoSpaceDN w:val="0"/>
        <w:spacing w:before="158" w:after="0" w:line="256" w:lineRule="auto"/>
        <w:ind w:right="115"/>
        <w:rPr>
          <w:noProof/>
        </w:rPr>
      </w:pPr>
      <w:r w:rsidRPr="009C6CA4">
        <w:rPr>
          <w:noProof/>
        </w:rPr>
        <w:t>Naruszenie zakazu przywozu substancji chemicznej widniejącej</w:t>
      </w:r>
      <w:r w:rsidR="009C6CA4" w:rsidRPr="009C6CA4">
        <w:rPr>
          <w:noProof/>
        </w:rPr>
        <w:t xml:space="preserve"> w zał</w:t>
      </w:r>
      <w:r w:rsidRPr="009C6CA4">
        <w:rPr>
          <w:noProof/>
        </w:rPr>
        <w:t>ączniku III do Konwencji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procedury zgody po uprzednim poinformowaniu</w:t>
      </w:r>
      <w:r w:rsidR="009C6CA4" w:rsidRPr="009C6CA4">
        <w:rPr>
          <w:noProof/>
        </w:rPr>
        <w:t xml:space="preserve"> w mię</w:t>
      </w:r>
      <w:r w:rsidRPr="009C6CA4">
        <w:rPr>
          <w:noProof/>
        </w:rPr>
        <w:t>dzynarodowym handlu niektórymi niebezpiecznymi substancjami chemicznymi</w:t>
      </w:r>
      <w:r w:rsidR="009C6CA4" w:rsidRPr="009C6CA4">
        <w:rPr>
          <w:noProof/>
        </w:rPr>
        <w:t xml:space="preserve"> i pes</w:t>
      </w:r>
      <w:r w:rsidRPr="009C6CA4">
        <w:rPr>
          <w:noProof/>
        </w:rPr>
        <w:t>tycydami (UNEP/FAO) przyjętej</w:t>
      </w:r>
      <w:r w:rsidR="009C6CA4" w:rsidRPr="009C6CA4">
        <w:rPr>
          <w:noProof/>
        </w:rPr>
        <w:t xml:space="preserve"> w dni</w:t>
      </w:r>
      <w:r w:rsidRPr="009C6CA4">
        <w:rPr>
          <w:noProof/>
        </w:rPr>
        <w:t>u 10 września 1998</w:t>
      </w:r>
      <w:r w:rsidR="00077D55" w:rsidRPr="009C6CA4">
        <w:rPr>
          <w:noProof/>
        </w:rPr>
        <w:t> </w:t>
      </w:r>
      <w:r w:rsidRPr="009C6CA4">
        <w:rPr>
          <w:noProof/>
        </w:rPr>
        <w:t>r., wskazanej przez stronę importującą Konwencji zgodnie</w:t>
      </w:r>
      <w:r w:rsidR="009C6CA4" w:rsidRPr="009C6CA4">
        <w:rPr>
          <w:noProof/>
        </w:rPr>
        <w:t xml:space="preserve"> z pro</w:t>
      </w:r>
      <w:r w:rsidRPr="009C6CA4">
        <w:rPr>
          <w:noProof/>
        </w:rPr>
        <w:t>cedurą zgody po uprzednim poinformowaniu (procedura PIC).</w:t>
      </w:r>
    </w:p>
    <w:p w14:paraId="56164219" w14:textId="07E20B44" w:rsidR="00E45DE7" w:rsidRPr="009C6CA4" w:rsidRDefault="00E45DE7" w:rsidP="00A43A0E">
      <w:pPr>
        <w:pStyle w:val="NumPar1"/>
        <w:numPr>
          <w:ilvl w:val="0"/>
          <w:numId w:val="11"/>
        </w:numPr>
        <w:rPr>
          <w:noProof/>
        </w:rPr>
      </w:pPr>
      <w:r w:rsidRPr="009C6CA4">
        <w:rPr>
          <w:noProof/>
        </w:rPr>
        <w:t>Naruszenie zakazu produkcji</w:t>
      </w:r>
      <w:r w:rsidR="009C6CA4" w:rsidRPr="009C6CA4">
        <w:rPr>
          <w:noProof/>
        </w:rPr>
        <w:t xml:space="preserve"> i kon</w:t>
      </w:r>
      <w:r w:rsidRPr="009C6CA4">
        <w:rPr>
          <w:noProof/>
        </w:rPr>
        <w:t>sumpcji określonych substancji zubożających warstwę ozonową (tj. CFC, dichlorodifluorometany, CTC, TCA, BCM, MB, bromofluorowęglowodory i HCFC) po ich wycofaniu na podstawie Konwencji wiedeńskiej</w:t>
      </w:r>
      <w:r w:rsidR="009C6CA4" w:rsidRPr="009C6CA4">
        <w:rPr>
          <w:noProof/>
        </w:rPr>
        <w:t xml:space="preserve"> o och</w:t>
      </w:r>
      <w:r w:rsidRPr="009C6CA4">
        <w:rPr>
          <w:noProof/>
        </w:rPr>
        <w:t>ronie warstwy ozonowej</w:t>
      </w:r>
      <w:r w:rsidR="009C6CA4" w:rsidRPr="009C6CA4">
        <w:rPr>
          <w:noProof/>
        </w:rPr>
        <w:t xml:space="preserve"> i Pro</w:t>
      </w:r>
      <w:r w:rsidRPr="009C6CA4">
        <w:rPr>
          <w:noProof/>
        </w:rPr>
        <w:t>tokołu montrealskiego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 xml:space="preserve">awie substancji zubożających warstwę ozonową. </w:t>
      </w:r>
    </w:p>
    <w:p w14:paraId="2EF29C83" w14:textId="171D8BD0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wywozu odpadów niebezpiecznych</w:t>
      </w:r>
      <w:r w:rsidR="009C6CA4" w:rsidRPr="009C6CA4">
        <w:rPr>
          <w:noProof/>
        </w:rPr>
        <w:t xml:space="preserve"> w roz</w:t>
      </w:r>
      <w:r w:rsidRPr="009C6CA4">
        <w:rPr>
          <w:noProof/>
        </w:rPr>
        <w:t>umieniu art.</w:t>
      </w:r>
      <w:r w:rsidR="00077D55" w:rsidRPr="009C6CA4">
        <w:rPr>
          <w:noProof/>
        </w:rPr>
        <w:t> </w:t>
      </w:r>
      <w:r w:rsidRPr="009C6CA4">
        <w:rPr>
          <w:noProof/>
        </w:rPr>
        <w:t>1 ust.</w:t>
      </w:r>
      <w:r w:rsidR="00077D55" w:rsidRPr="009C6CA4">
        <w:rPr>
          <w:noProof/>
        </w:rPr>
        <w:t> </w:t>
      </w:r>
      <w:r w:rsidRPr="009C6CA4">
        <w:rPr>
          <w:noProof/>
        </w:rPr>
        <w:t>1</w:t>
      </w:r>
      <w:r w:rsidR="009C6CA4" w:rsidRPr="009C6CA4">
        <w:rPr>
          <w:noProof/>
        </w:rPr>
        <w:t xml:space="preserve"> i inn</w:t>
      </w:r>
      <w:r w:rsidRPr="009C6CA4">
        <w:rPr>
          <w:noProof/>
        </w:rPr>
        <w:t>ych odpadów</w:t>
      </w:r>
      <w:r w:rsidR="009C6CA4" w:rsidRPr="009C6CA4">
        <w:rPr>
          <w:noProof/>
        </w:rPr>
        <w:t xml:space="preserve"> w roz</w:t>
      </w:r>
      <w:r w:rsidRPr="009C6CA4">
        <w:rPr>
          <w:noProof/>
        </w:rPr>
        <w:t>umieniu art.</w:t>
      </w:r>
      <w:r w:rsidR="00077D55" w:rsidRPr="009C6CA4">
        <w:rPr>
          <w:noProof/>
        </w:rPr>
        <w:t> </w:t>
      </w:r>
      <w:r w:rsidRPr="009C6CA4">
        <w:rPr>
          <w:noProof/>
        </w:rPr>
        <w:t>1 ust.</w:t>
      </w:r>
      <w:r w:rsidR="00077D55" w:rsidRPr="009C6CA4">
        <w:rPr>
          <w:noProof/>
        </w:rPr>
        <w:t> </w:t>
      </w:r>
      <w:r w:rsidRPr="009C6CA4">
        <w:rPr>
          <w:noProof/>
        </w:rPr>
        <w:t>2 Konwencji bazylejskiej</w:t>
      </w:r>
      <w:r w:rsidR="009C6CA4" w:rsidRPr="009C6CA4">
        <w:rPr>
          <w:noProof/>
        </w:rPr>
        <w:t xml:space="preserve"> o kon</w:t>
      </w:r>
      <w:r w:rsidRPr="009C6CA4">
        <w:rPr>
          <w:noProof/>
        </w:rPr>
        <w:t>troli transgranicznego przemieszczania</w:t>
      </w:r>
      <w:r w:rsidR="009C6CA4" w:rsidRPr="009C6CA4">
        <w:rPr>
          <w:noProof/>
        </w:rPr>
        <w:t xml:space="preserve"> i usu</w:t>
      </w:r>
      <w:r w:rsidRPr="009C6CA4">
        <w:rPr>
          <w:noProof/>
        </w:rPr>
        <w:t>wania odpadów niebezpiecznych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22 marca 1989</w:t>
      </w:r>
      <w:r w:rsidR="00077D55" w:rsidRPr="009C6CA4">
        <w:rPr>
          <w:noProof/>
        </w:rPr>
        <w:t> </w:t>
      </w:r>
      <w:r w:rsidRPr="009C6CA4">
        <w:rPr>
          <w:noProof/>
        </w:rPr>
        <w:t>r. (konwencja bazylejska)</w:t>
      </w:r>
      <w:r w:rsidR="009C6CA4" w:rsidRPr="009C6CA4">
        <w:rPr>
          <w:noProof/>
        </w:rPr>
        <w:t xml:space="preserve"> i w roz</w:t>
      </w:r>
      <w:r w:rsidRPr="009C6CA4">
        <w:rPr>
          <w:noProof/>
        </w:rPr>
        <w:t>umieniu rozporządzenia (WE) nr</w:t>
      </w:r>
      <w:r w:rsidR="00077D55" w:rsidRPr="009C6CA4">
        <w:rPr>
          <w:noProof/>
        </w:rPr>
        <w:t> </w:t>
      </w:r>
      <w:r w:rsidRPr="009C6CA4">
        <w:rPr>
          <w:noProof/>
        </w:rPr>
        <w:t>1013/2006 Parlamentu Europejskiego</w:t>
      </w:r>
      <w:r w:rsidR="009C6CA4" w:rsidRPr="009C6CA4">
        <w:rPr>
          <w:noProof/>
        </w:rPr>
        <w:t xml:space="preserve"> i Rad</w:t>
      </w:r>
      <w:r w:rsidRPr="009C6CA4">
        <w:rPr>
          <w:noProof/>
        </w:rPr>
        <w:t>y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14 czerwca 2006</w:t>
      </w:r>
      <w:r w:rsidR="00077D55" w:rsidRPr="009C6CA4">
        <w:rPr>
          <w:noProof/>
        </w:rPr>
        <w:t> </w:t>
      </w:r>
      <w:r w:rsidRPr="009C6CA4">
        <w:rPr>
          <w:noProof/>
        </w:rPr>
        <w:t>r.</w:t>
      </w:r>
      <w:r w:rsidR="009C6CA4" w:rsidRPr="009C6CA4">
        <w:rPr>
          <w:noProof/>
        </w:rPr>
        <w:t xml:space="preserve"> w spr</w:t>
      </w:r>
      <w:r w:rsidRPr="009C6CA4">
        <w:rPr>
          <w:noProof/>
        </w:rPr>
        <w:t>awie przemieszczania odpadów (Dz.U. L 190</w:t>
      </w:r>
      <w:r w:rsidR="009C6CA4" w:rsidRPr="009C6CA4">
        <w:rPr>
          <w:noProof/>
        </w:rPr>
        <w:t xml:space="preserve"> z 1</w:t>
      </w:r>
      <w:r w:rsidRPr="009C6CA4">
        <w:rPr>
          <w:noProof/>
        </w:rPr>
        <w:t>2.7.2006, s. 1) (rozporządzenie (WE) nr</w:t>
      </w:r>
      <w:r w:rsidR="00077D55" w:rsidRPr="009C6CA4">
        <w:rPr>
          <w:noProof/>
        </w:rPr>
        <w:t> </w:t>
      </w:r>
      <w:r w:rsidRPr="009C6CA4">
        <w:rPr>
          <w:noProof/>
        </w:rPr>
        <w:t>1013/2006), ostatnio zmienione rozporządzeniem delegowanym Komisji (UE) 2020/2174</w:t>
      </w:r>
      <w:r w:rsidR="009C6CA4" w:rsidRPr="009C6CA4">
        <w:rPr>
          <w:noProof/>
        </w:rPr>
        <w:t xml:space="preserve"> z dni</w:t>
      </w:r>
      <w:r w:rsidRPr="009C6CA4">
        <w:rPr>
          <w:noProof/>
        </w:rPr>
        <w:t>a 19 października 2020</w:t>
      </w:r>
      <w:r w:rsidR="00077D55" w:rsidRPr="009C6CA4">
        <w:rPr>
          <w:noProof/>
        </w:rPr>
        <w:t> </w:t>
      </w:r>
      <w:r w:rsidRPr="009C6CA4">
        <w:rPr>
          <w:noProof/>
        </w:rPr>
        <w:t>r. (Dz.U. L 433</w:t>
      </w:r>
      <w:r w:rsidR="009C6CA4" w:rsidRPr="009C6CA4">
        <w:rPr>
          <w:noProof/>
        </w:rPr>
        <w:t xml:space="preserve"> z 2</w:t>
      </w:r>
      <w:r w:rsidRPr="009C6CA4">
        <w:rPr>
          <w:noProof/>
        </w:rPr>
        <w:t xml:space="preserve">2.12.2020, s. 11) </w:t>
      </w:r>
    </w:p>
    <w:p w14:paraId="2C6B28DB" w14:textId="596E3920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a)</w:t>
      </w:r>
      <w:r w:rsidRPr="009C6CA4">
        <w:rPr>
          <w:noProof/>
        </w:rPr>
        <w:tab/>
      </w:r>
      <w:r w:rsidR="00E45DE7" w:rsidRPr="009C6CA4">
        <w:rPr>
          <w:noProof/>
        </w:rPr>
        <w:t>do strony, która stosuje zakaz przywozu takich odpadów niebezpiecznych</w:t>
      </w:r>
      <w:r w:rsidRPr="009C6CA4">
        <w:rPr>
          <w:noProof/>
        </w:rPr>
        <w:t xml:space="preserve"> i inn</w:t>
      </w:r>
      <w:r w:rsidR="00E45DE7" w:rsidRPr="009C6CA4">
        <w:rPr>
          <w:noProof/>
        </w:rPr>
        <w:t>ych odpadów (art.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4 ust.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1 lit.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b) konwencji bazylejskiej),</w:t>
      </w:r>
    </w:p>
    <w:p w14:paraId="260B162D" w14:textId="58085F9D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b)</w:t>
      </w:r>
      <w:r w:rsidRPr="009C6CA4">
        <w:rPr>
          <w:noProof/>
        </w:rPr>
        <w:tab/>
      </w:r>
      <w:r w:rsidR="00E45DE7" w:rsidRPr="009C6CA4">
        <w:rPr>
          <w:noProof/>
        </w:rPr>
        <w:t>do państwa importującego zdefiniowanego</w:t>
      </w:r>
      <w:r w:rsidRPr="009C6CA4">
        <w:rPr>
          <w:noProof/>
        </w:rPr>
        <w:t xml:space="preserve"> w art</w:t>
      </w:r>
      <w:r w:rsidR="00E45DE7" w:rsidRPr="009C6CA4">
        <w:rPr>
          <w:noProof/>
        </w:rPr>
        <w:t>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2 pkt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11 konwencji bazylejskiej, które nie wyrazi pisemnej zgody na określony przywóz,</w:t>
      </w:r>
      <w:r w:rsidRPr="009C6CA4">
        <w:rPr>
          <w:noProof/>
        </w:rPr>
        <w:t xml:space="preserve"> w prz</w:t>
      </w:r>
      <w:r w:rsidR="00E45DE7" w:rsidRPr="009C6CA4">
        <w:rPr>
          <w:noProof/>
        </w:rPr>
        <w:t>ypadku gdy państwo importujące nie zabroniło przywozu takich odpadów niebezpiecznych (art.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4 ust.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1 lit.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c) konwencji bazylejskiej),</w:t>
      </w:r>
    </w:p>
    <w:p w14:paraId="125E942B" w14:textId="74173667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c)</w:t>
      </w:r>
      <w:r w:rsidRPr="009C6CA4">
        <w:rPr>
          <w:noProof/>
        </w:rPr>
        <w:tab/>
      </w:r>
      <w:r w:rsidR="00E45DE7" w:rsidRPr="009C6CA4">
        <w:rPr>
          <w:noProof/>
        </w:rPr>
        <w:t>do państwa niebędącego stroną konwencji bazylejskiej (art.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4 ust.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5 konwencji bazylejskiej),</w:t>
      </w:r>
    </w:p>
    <w:p w14:paraId="5166E49A" w14:textId="5FABBD91" w:rsidR="00E45DE7" w:rsidRPr="009C6CA4" w:rsidRDefault="009C6CA4" w:rsidP="009C6CA4">
      <w:pPr>
        <w:pStyle w:val="Point1"/>
        <w:rPr>
          <w:noProof/>
        </w:rPr>
      </w:pPr>
      <w:r w:rsidRPr="009C6CA4">
        <w:rPr>
          <w:noProof/>
        </w:rPr>
        <w:t>d)</w:t>
      </w:r>
      <w:r w:rsidRPr="009C6CA4">
        <w:rPr>
          <w:noProof/>
        </w:rPr>
        <w:tab/>
      </w:r>
      <w:r w:rsidR="00E45DE7" w:rsidRPr="009C6CA4">
        <w:rPr>
          <w:noProof/>
        </w:rPr>
        <w:t>do państwa importującego, jeżeli takie odpady niebezpieczne lub inne odpady nie podlegają gospodarce prowadzonej</w:t>
      </w:r>
      <w:r w:rsidRPr="009C6CA4">
        <w:rPr>
          <w:noProof/>
        </w:rPr>
        <w:t xml:space="preserve"> w spo</w:t>
      </w:r>
      <w:r w:rsidR="00E45DE7" w:rsidRPr="009C6CA4">
        <w:rPr>
          <w:noProof/>
        </w:rPr>
        <w:t>sób bezpieczny dla środowiska</w:t>
      </w:r>
      <w:r w:rsidRPr="009C6CA4">
        <w:rPr>
          <w:noProof/>
        </w:rPr>
        <w:t xml:space="preserve"> w kra</w:t>
      </w:r>
      <w:r w:rsidR="00E45DE7" w:rsidRPr="009C6CA4">
        <w:rPr>
          <w:noProof/>
        </w:rPr>
        <w:t>ju importującym lub gdziekolwiek indziej (art.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4 ust.</w:t>
      </w:r>
      <w:r w:rsidR="00077D55" w:rsidRPr="009C6CA4">
        <w:rPr>
          <w:noProof/>
        </w:rPr>
        <w:t> </w:t>
      </w:r>
      <w:r w:rsidR="00E45DE7" w:rsidRPr="009C6CA4">
        <w:rPr>
          <w:noProof/>
        </w:rPr>
        <w:t>8 zdanie pierwsze konwencji bazylejskiej).</w:t>
      </w:r>
    </w:p>
    <w:p w14:paraId="735CBD83" w14:textId="6255B5E7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wywozu odpadów niebezpiecznych</w:t>
      </w:r>
      <w:r w:rsidR="009C6CA4" w:rsidRPr="009C6CA4">
        <w:rPr>
          <w:noProof/>
        </w:rPr>
        <w:t xml:space="preserve"> z pań</w:t>
      </w:r>
      <w:r w:rsidRPr="009C6CA4">
        <w:rPr>
          <w:noProof/>
        </w:rPr>
        <w:t>stw wymienionych</w:t>
      </w:r>
      <w:r w:rsidR="009C6CA4" w:rsidRPr="009C6CA4">
        <w:rPr>
          <w:noProof/>
        </w:rPr>
        <w:t xml:space="preserve"> w zał</w:t>
      </w:r>
      <w:r w:rsidRPr="009C6CA4">
        <w:rPr>
          <w:noProof/>
        </w:rPr>
        <w:t>ączniku VII do konwencji bazylejskiej do państw niewymienionych</w:t>
      </w:r>
      <w:r w:rsidR="009C6CA4" w:rsidRPr="009C6CA4">
        <w:rPr>
          <w:noProof/>
        </w:rPr>
        <w:t xml:space="preserve"> w zał</w:t>
      </w:r>
      <w:r w:rsidRPr="009C6CA4">
        <w:rPr>
          <w:noProof/>
        </w:rPr>
        <w:t>ączniku VII (art.</w:t>
      </w:r>
      <w:r w:rsidR="00077D55" w:rsidRPr="009C6CA4">
        <w:rPr>
          <w:noProof/>
        </w:rPr>
        <w:t> </w:t>
      </w:r>
      <w:r w:rsidRPr="009C6CA4">
        <w:rPr>
          <w:noProof/>
        </w:rPr>
        <w:t>4A konwencji bazylejskiej, art.</w:t>
      </w:r>
      <w:r w:rsidR="00077D55" w:rsidRPr="009C6CA4">
        <w:rPr>
          <w:noProof/>
        </w:rPr>
        <w:t> </w:t>
      </w:r>
      <w:r w:rsidRPr="009C6CA4">
        <w:rPr>
          <w:noProof/>
        </w:rPr>
        <w:t>36 rozporządzenia (WE) nr</w:t>
      </w:r>
      <w:r w:rsidR="00077D55" w:rsidRPr="009C6CA4">
        <w:rPr>
          <w:noProof/>
        </w:rPr>
        <w:t> </w:t>
      </w:r>
      <w:r w:rsidRPr="009C6CA4">
        <w:rPr>
          <w:noProof/>
        </w:rPr>
        <w:t>1013/2006).</w:t>
      </w:r>
    </w:p>
    <w:p w14:paraId="0B1CD8A8" w14:textId="29C9F600" w:rsidR="00E45DE7" w:rsidRPr="009C6CA4" w:rsidRDefault="00E45DE7" w:rsidP="00A43A0E">
      <w:pPr>
        <w:pStyle w:val="NumPar1"/>
        <w:numPr>
          <w:ilvl w:val="0"/>
          <w:numId w:val="9"/>
        </w:numPr>
        <w:rPr>
          <w:noProof/>
        </w:rPr>
      </w:pPr>
      <w:r w:rsidRPr="009C6CA4">
        <w:rPr>
          <w:noProof/>
        </w:rPr>
        <w:t>Naruszenie zakazu przywozu odpadów niebezpiecznych</w:t>
      </w:r>
      <w:r w:rsidR="009C6CA4" w:rsidRPr="009C6CA4">
        <w:rPr>
          <w:noProof/>
        </w:rPr>
        <w:t xml:space="preserve"> i inn</w:t>
      </w:r>
      <w:r w:rsidRPr="009C6CA4">
        <w:rPr>
          <w:noProof/>
        </w:rPr>
        <w:t>ych odpadów</w:t>
      </w:r>
      <w:r w:rsidR="009C6CA4" w:rsidRPr="009C6CA4">
        <w:rPr>
          <w:noProof/>
        </w:rPr>
        <w:t xml:space="preserve"> z pań</w:t>
      </w:r>
      <w:r w:rsidRPr="009C6CA4">
        <w:rPr>
          <w:noProof/>
        </w:rPr>
        <w:t>stwa niebędącego stroną konwencji bazylejskiej (art.</w:t>
      </w:r>
      <w:r w:rsidR="00077D55" w:rsidRPr="009C6CA4">
        <w:rPr>
          <w:noProof/>
        </w:rPr>
        <w:t> </w:t>
      </w:r>
      <w:r w:rsidRPr="009C6CA4">
        <w:rPr>
          <w:noProof/>
        </w:rPr>
        <w:t>4 ust.</w:t>
      </w:r>
      <w:r w:rsidR="00077D55" w:rsidRPr="009C6CA4">
        <w:rPr>
          <w:noProof/>
        </w:rPr>
        <w:t> </w:t>
      </w:r>
      <w:r w:rsidRPr="009C6CA4">
        <w:rPr>
          <w:noProof/>
        </w:rPr>
        <w:t>5 konwencji bazylejskiej).</w:t>
      </w:r>
    </w:p>
    <w:sectPr w:rsidR="00E45DE7" w:rsidRPr="009C6CA4" w:rsidSect="00397AA0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7C90" w14:textId="77777777" w:rsidR="00E51EB2" w:rsidRPr="009C6CA4" w:rsidRDefault="00E51EB2" w:rsidP="00E45DE7">
      <w:pPr>
        <w:spacing w:before="0" w:after="0"/>
      </w:pPr>
      <w:r w:rsidRPr="009C6CA4">
        <w:separator/>
      </w:r>
    </w:p>
  </w:endnote>
  <w:endnote w:type="continuationSeparator" w:id="0">
    <w:p w14:paraId="7C9AEF6C" w14:textId="77777777" w:rsidR="00E51EB2" w:rsidRPr="009C6CA4" w:rsidRDefault="00E51EB2" w:rsidP="00E45DE7">
      <w:pPr>
        <w:spacing w:before="0" w:after="0"/>
      </w:pPr>
      <w:r w:rsidRPr="009C6CA4">
        <w:continuationSeparator/>
      </w:r>
    </w:p>
  </w:endnote>
  <w:endnote w:type="continuationNotice" w:id="1">
    <w:p w14:paraId="50ED29E7" w14:textId="77777777" w:rsidR="00E51EB2" w:rsidRPr="009C6CA4" w:rsidRDefault="00E51E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9C93" w14:textId="77777777" w:rsidR="00397AA0" w:rsidRPr="00397AA0" w:rsidRDefault="00397AA0" w:rsidP="00397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6FCB" w14:textId="5549C563" w:rsidR="009C6CA4" w:rsidRPr="00397AA0" w:rsidRDefault="00397AA0" w:rsidP="00397AA0">
    <w:pPr>
      <w:pStyle w:val="Footer"/>
      <w:rPr>
        <w:rFonts w:ascii="Arial" w:hAnsi="Arial" w:cs="Arial"/>
        <w:b/>
        <w:sz w:val="48"/>
      </w:rPr>
    </w:pPr>
    <w:r w:rsidRPr="00397AA0">
      <w:rPr>
        <w:rFonts w:ascii="Arial" w:hAnsi="Arial" w:cs="Arial"/>
        <w:b/>
        <w:sz w:val="48"/>
      </w:rPr>
      <w:t>PL</w:t>
    </w:r>
    <w:r w:rsidRPr="00397AA0">
      <w:rPr>
        <w:rFonts w:ascii="Arial" w:hAnsi="Arial" w:cs="Arial"/>
        <w:b/>
        <w:sz w:val="48"/>
      </w:rPr>
      <w:tab/>
    </w:r>
    <w:r w:rsidRPr="00397AA0">
      <w:rPr>
        <w:rFonts w:ascii="Arial" w:hAnsi="Arial" w:cs="Arial"/>
        <w:b/>
        <w:sz w:val="48"/>
      </w:rPr>
      <w:tab/>
    </w:r>
    <w:r w:rsidRPr="00397AA0">
      <w:tab/>
    </w:r>
    <w:r w:rsidRPr="00397AA0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1897" w14:textId="77777777" w:rsidR="00397AA0" w:rsidRPr="00397AA0" w:rsidRDefault="00397AA0" w:rsidP="00397A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AB13" w14:textId="2AA8E0D0" w:rsidR="00397AA0" w:rsidRPr="00397AA0" w:rsidRDefault="00397AA0" w:rsidP="00397AA0">
    <w:pPr>
      <w:pStyle w:val="Footer"/>
      <w:rPr>
        <w:rFonts w:ascii="Arial" w:hAnsi="Arial" w:cs="Arial"/>
        <w:b/>
        <w:sz w:val="48"/>
      </w:rPr>
    </w:pPr>
    <w:r w:rsidRPr="00397AA0">
      <w:rPr>
        <w:rFonts w:ascii="Arial" w:hAnsi="Arial" w:cs="Arial"/>
        <w:b/>
        <w:sz w:val="48"/>
      </w:rPr>
      <w:t>PL</w:t>
    </w:r>
    <w:r w:rsidRPr="00397AA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397AA0">
      <w:tab/>
    </w:r>
    <w:r w:rsidRPr="00397AA0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F1F8" w14:textId="77777777" w:rsidR="00397AA0" w:rsidRPr="00397AA0" w:rsidRDefault="00397AA0" w:rsidP="0039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866A" w14:textId="77777777" w:rsidR="00E51EB2" w:rsidRPr="009C6CA4" w:rsidRDefault="00E51EB2" w:rsidP="00E45DE7">
      <w:pPr>
        <w:spacing w:before="0" w:after="0"/>
      </w:pPr>
      <w:r w:rsidRPr="009C6CA4">
        <w:separator/>
      </w:r>
    </w:p>
  </w:footnote>
  <w:footnote w:type="continuationSeparator" w:id="0">
    <w:p w14:paraId="0DF584B4" w14:textId="77777777" w:rsidR="00E51EB2" w:rsidRPr="009C6CA4" w:rsidRDefault="00E51EB2" w:rsidP="00E45DE7">
      <w:pPr>
        <w:spacing w:before="0" w:after="0"/>
      </w:pPr>
      <w:r w:rsidRPr="009C6CA4">
        <w:continuationSeparator/>
      </w:r>
    </w:p>
  </w:footnote>
  <w:footnote w:type="continuationNotice" w:id="1">
    <w:p w14:paraId="13B3AFA8" w14:textId="77777777" w:rsidR="00E51EB2" w:rsidRPr="009C6CA4" w:rsidRDefault="00E51E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8D75" w14:textId="77777777" w:rsidR="00397AA0" w:rsidRPr="00397AA0" w:rsidRDefault="00397AA0" w:rsidP="00397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E9FE" w14:textId="77777777" w:rsidR="00397AA0" w:rsidRPr="00397AA0" w:rsidRDefault="00397AA0" w:rsidP="00397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2BE3" w14:textId="77777777" w:rsidR="00397AA0" w:rsidRPr="00397AA0" w:rsidRDefault="00397AA0" w:rsidP="0039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778BB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4CC4C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84A057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3ACCD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204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48A2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E140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42FC077D"/>
    <w:multiLevelType w:val="singleLevel"/>
    <w:tmpl w:val="4128FD03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6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17"/>
  </w:num>
  <w:num w:numId="22">
    <w:abstractNumId w:val="9"/>
  </w:num>
  <w:num w:numId="23">
    <w:abstractNumId w:val="15"/>
  </w:num>
  <w:num w:numId="24">
    <w:abstractNumId w:val="21"/>
  </w:num>
  <w:num w:numId="25">
    <w:abstractNumId w:val="19"/>
  </w:num>
  <w:num w:numId="26">
    <w:abstractNumId w:val="13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3-28 16:28:53"/>
    <w:docVar w:name="DQCRepairStyles" w:val=";TOC 9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o wniosku dotycz\u261?cego"/>
    <w:docVar w:name="LW_ACCOMPAGNANT.CP" w:val="do wniosku dotyczącego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23E9938-4B18-4F3E-9C34-8139890776F4"/>
    <w:docVar w:name="LW_COVERPAGE_TYPE" w:val="1"/>
    <w:docVar w:name="LW_CROSSREFERENCE" w:val="{SEC(2022) 95 final} - {SWD(2022) 38 final} - {SWD(2022) 39 final} - {SWD(2022) 42 final} - {SWD(2022) 43 final}"/>
    <w:docVar w:name="LW_DocType" w:val="ANNEX"/>
    <w:docVar w:name="LW_EMISSION" w:val="23.2.2022"/>
    <w:docVar w:name="LW_EMISSION_ISODATE" w:val="2022-02-23"/>
    <w:docVar w:name="LW_EMISSION_LOCATION" w:val="BRX"/>
    <w:docVar w:name="LW_EMISSION_PREFIX" w:val="Bruksela, dnia "/>
    <w:docVar w:name="LW_EMISSION_SUFFIX" w:val=" r."/>
    <w:docVar w:name="LW_ID_DOCSTRUCTURE" w:val="COM/ANNEX"/>
    <w:docVar w:name="LW_ID_DOCTYPE" w:val="SG-01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" w:val="w sprawie nale\u380?ytej staranno\u347?ci przedsi\u281?biorstw w zakresie zrównowa\u380?onego rozwoju oraz zmieniaj\u261?cej dyrektyw\u281? (UE) 2019/1937_x000d__x000d__x000d__x000d__x000d__x000d__x000d__x000d__x000d__x000d__x000b_"/>
    <w:docVar w:name="LW_OBJETACTEPRINCIPAL.CP" w:val="w sprawie należytej staranności przedsiębiorstw w zakresie zrównoważonego rozwoju oraz zmieniającej dyrektywę (UE) 2019/1937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2) 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ZA\u321?\u260?CZNIK"/>
    <w:docVar w:name="LW_TYPE.DOC.CP" w:val="ZAŁĄCZNIK"/>
    <w:docVar w:name="LW_TYPEACTEPRINCIPAL" w:val="DYREKTYWY PARLAMENTU EUROPEJSKIEGO I RADY_x000b_"/>
    <w:docVar w:name="LW_TYPEACTEPRINCIPAL.CP" w:val="DYREKTYWY PARLAMENTU EUROPEJSKIEGO I RADY_x000b_"/>
    <w:docVar w:name="LwApiVersions" w:val="LW4CoDe 1.23.2.0; LW 8.0, Build 20211117"/>
  </w:docVars>
  <w:rsids>
    <w:rsidRoot w:val="00E45DE7"/>
    <w:rsid w:val="00004EAC"/>
    <w:rsid w:val="000251FE"/>
    <w:rsid w:val="00053E10"/>
    <w:rsid w:val="00054786"/>
    <w:rsid w:val="00057228"/>
    <w:rsid w:val="000627C2"/>
    <w:rsid w:val="00077D55"/>
    <w:rsid w:val="00094A12"/>
    <w:rsid w:val="00094F9D"/>
    <w:rsid w:val="00097C6E"/>
    <w:rsid w:val="000A3F96"/>
    <w:rsid w:val="000B3E25"/>
    <w:rsid w:val="000B5E50"/>
    <w:rsid w:val="000D644C"/>
    <w:rsid w:val="000D728E"/>
    <w:rsid w:val="000E198E"/>
    <w:rsid w:val="000E28EE"/>
    <w:rsid w:val="000E3D04"/>
    <w:rsid w:val="000E4F58"/>
    <w:rsid w:val="000F398A"/>
    <w:rsid w:val="00103226"/>
    <w:rsid w:val="0010577D"/>
    <w:rsid w:val="00131D78"/>
    <w:rsid w:val="0013707E"/>
    <w:rsid w:val="00141588"/>
    <w:rsid w:val="00145900"/>
    <w:rsid w:val="00155AFE"/>
    <w:rsid w:val="001752F4"/>
    <w:rsid w:val="00180524"/>
    <w:rsid w:val="001B2386"/>
    <w:rsid w:val="001B2A85"/>
    <w:rsid w:val="001C2816"/>
    <w:rsid w:val="001D6F25"/>
    <w:rsid w:val="001E1565"/>
    <w:rsid w:val="001E3087"/>
    <w:rsid w:val="00202F7E"/>
    <w:rsid w:val="002232C9"/>
    <w:rsid w:val="002247BD"/>
    <w:rsid w:val="00226544"/>
    <w:rsid w:val="0023147B"/>
    <w:rsid w:val="00251AFE"/>
    <w:rsid w:val="002614EE"/>
    <w:rsid w:val="002710F3"/>
    <w:rsid w:val="0027198C"/>
    <w:rsid w:val="00276F59"/>
    <w:rsid w:val="0027787A"/>
    <w:rsid w:val="00285D4F"/>
    <w:rsid w:val="002A369C"/>
    <w:rsid w:val="002B7610"/>
    <w:rsid w:val="002C18B2"/>
    <w:rsid w:val="002D16EE"/>
    <w:rsid w:val="002D79A1"/>
    <w:rsid w:val="002E402E"/>
    <w:rsid w:val="00303294"/>
    <w:rsid w:val="003128B2"/>
    <w:rsid w:val="003200D5"/>
    <w:rsid w:val="00324912"/>
    <w:rsid w:val="00327628"/>
    <w:rsid w:val="00330473"/>
    <w:rsid w:val="00331BF5"/>
    <w:rsid w:val="00332E66"/>
    <w:rsid w:val="003340AC"/>
    <w:rsid w:val="00351F0E"/>
    <w:rsid w:val="00373DB1"/>
    <w:rsid w:val="003771C0"/>
    <w:rsid w:val="00377B91"/>
    <w:rsid w:val="003953B9"/>
    <w:rsid w:val="00396B84"/>
    <w:rsid w:val="00397AA0"/>
    <w:rsid w:val="003B70AC"/>
    <w:rsid w:val="003D2AEA"/>
    <w:rsid w:val="003D6DB9"/>
    <w:rsid w:val="00403560"/>
    <w:rsid w:val="00424EF8"/>
    <w:rsid w:val="00431AD8"/>
    <w:rsid w:val="00432C86"/>
    <w:rsid w:val="004422A2"/>
    <w:rsid w:val="00463410"/>
    <w:rsid w:val="00466B79"/>
    <w:rsid w:val="00472548"/>
    <w:rsid w:val="004870F2"/>
    <w:rsid w:val="004C0B4C"/>
    <w:rsid w:val="004C3D5F"/>
    <w:rsid w:val="004E44D1"/>
    <w:rsid w:val="004F7A38"/>
    <w:rsid w:val="00500A63"/>
    <w:rsid w:val="005050D0"/>
    <w:rsid w:val="0054270B"/>
    <w:rsid w:val="00555B27"/>
    <w:rsid w:val="00563493"/>
    <w:rsid w:val="0056568C"/>
    <w:rsid w:val="005703DD"/>
    <w:rsid w:val="00575D36"/>
    <w:rsid w:val="0058087F"/>
    <w:rsid w:val="00587741"/>
    <w:rsid w:val="005957E5"/>
    <w:rsid w:val="00596BE3"/>
    <w:rsid w:val="005A2717"/>
    <w:rsid w:val="005A3539"/>
    <w:rsid w:val="005B441A"/>
    <w:rsid w:val="005B4943"/>
    <w:rsid w:val="005E32DB"/>
    <w:rsid w:val="005F743B"/>
    <w:rsid w:val="00611CB1"/>
    <w:rsid w:val="00616A4C"/>
    <w:rsid w:val="00627089"/>
    <w:rsid w:val="006468F1"/>
    <w:rsid w:val="00654FB1"/>
    <w:rsid w:val="00656F69"/>
    <w:rsid w:val="00685FA6"/>
    <w:rsid w:val="00687304"/>
    <w:rsid w:val="006B6705"/>
    <w:rsid w:val="006E2FE6"/>
    <w:rsid w:val="006E5D12"/>
    <w:rsid w:val="006F46EF"/>
    <w:rsid w:val="00706A55"/>
    <w:rsid w:val="0071054A"/>
    <w:rsid w:val="00720380"/>
    <w:rsid w:val="00730118"/>
    <w:rsid w:val="007304F8"/>
    <w:rsid w:val="00731592"/>
    <w:rsid w:val="00742E84"/>
    <w:rsid w:val="00761D40"/>
    <w:rsid w:val="00766D88"/>
    <w:rsid w:val="0077144C"/>
    <w:rsid w:val="00774AB8"/>
    <w:rsid w:val="007750B1"/>
    <w:rsid w:val="00794118"/>
    <w:rsid w:val="00796D4A"/>
    <w:rsid w:val="007C3811"/>
    <w:rsid w:val="007D1FE1"/>
    <w:rsid w:val="007F1DE4"/>
    <w:rsid w:val="007F6C4B"/>
    <w:rsid w:val="00803BB1"/>
    <w:rsid w:val="0082549F"/>
    <w:rsid w:val="00826F11"/>
    <w:rsid w:val="00827826"/>
    <w:rsid w:val="00844935"/>
    <w:rsid w:val="00857DAE"/>
    <w:rsid w:val="008677B1"/>
    <w:rsid w:val="00867AF0"/>
    <w:rsid w:val="0087287F"/>
    <w:rsid w:val="008B5FA5"/>
    <w:rsid w:val="008D5F51"/>
    <w:rsid w:val="008E0920"/>
    <w:rsid w:val="008F175B"/>
    <w:rsid w:val="008F2275"/>
    <w:rsid w:val="00920560"/>
    <w:rsid w:val="0092630E"/>
    <w:rsid w:val="0093306A"/>
    <w:rsid w:val="0094594B"/>
    <w:rsid w:val="00946F1E"/>
    <w:rsid w:val="00953A66"/>
    <w:rsid w:val="00977FED"/>
    <w:rsid w:val="00986B33"/>
    <w:rsid w:val="00987AD5"/>
    <w:rsid w:val="00991B2C"/>
    <w:rsid w:val="00995E93"/>
    <w:rsid w:val="009C6CA4"/>
    <w:rsid w:val="009D276F"/>
    <w:rsid w:val="009E4003"/>
    <w:rsid w:val="009F4D56"/>
    <w:rsid w:val="00A10082"/>
    <w:rsid w:val="00A145EF"/>
    <w:rsid w:val="00A276DB"/>
    <w:rsid w:val="00A35CA8"/>
    <w:rsid w:val="00A40370"/>
    <w:rsid w:val="00A40390"/>
    <w:rsid w:val="00A43A0E"/>
    <w:rsid w:val="00A46C67"/>
    <w:rsid w:val="00A66DBE"/>
    <w:rsid w:val="00A80E60"/>
    <w:rsid w:val="00A80FF5"/>
    <w:rsid w:val="00A9046E"/>
    <w:rsid w:val="00AB61A3"/>
    <w:rsid w:val="00AC25ED"/>
    <w:rsid w:val="00AC5BA9"/>
    <w:rsid w:val="00AE211B"/>
    <w:rsid w:val="00AF3218"/>
    <w:rsid w:val="00B212E0"/>
    <w:rsid w:val="00B24D57"/>
    <w:rsid w:val="00B36F9F"/>
    <w:rsid w:val="00B37A6B"/>
    <w:rsid w:val="00B37E8F"/>
    <w:rsid w:val="00B63D4E"/>
    <w:rsid w:val="00B711EC"/>
    <w:rsid w:val="00B81574"/>
    <w:rsid w:val="00B856AB"/>
    <w:rsid w:val="00BA31F8"/>
    <w:rsid w:val="00BA49BF"/>
    <w:rsid w:val="00BA6531"/>
    <w:rsid w:val="00BB0CF3"/>
    <w:rsid w:val="00BB599C"/>
    <w:rsid w:val="00BC1EF5"/>
    <w:rsid w:val="00BC3841"/>
    <w:rsid w:val="00BE195D"/>
    <w:rsid w:val="00BE5207"/>
    <w:rsid w:val="00BF17AA"/>
    <w:rsid w:val="00C123F9"/>
    <w:rsid w:val="00C24556"/>
    <w:rsid w:val="00C27021"/>
    <w:rsid w:val="00C437A0"/>
    <w:rsid w:val="00C72A62"/>
    <w:rsid w:val="00C97ED3"/>
    <w:rsid w:val="00CB12CB"/>
    <w:rsid w:val="00CB7A12"/>
    <w:rsid w:val="00CE0ECE"/>
    <w:rsid w:val="00CE50FE"/>
    <w:rsid w:val="00CF157F"/>
    <w:rsid w:val="00CF39FD"/>
    <w:rsid w:val="00D02FC5"/>
    <w:rsid w:val="00D10795"/>
    <w:rsid w:val="00D11877"/>
    <w:rsid w:val="00D12504"/>
    <w:rsid w:val="00D1501A"/>
    <w:rsid w:val="00D250BB"/>
    <w:rsid w:val="00D428F3"/>
    <w:rsid w:val="00D560BA"/>
    <w:rsid w:val="00D620B8"/>
    <w:rsid w:val="00D762AE"/>
    <w:rsid w:val="00D920A3"/>
    <w:rsid w:val="00D944CC"/>
    <w:rsid w:val="00D94731"/>
    <w:rsid w:val="00D970A3"/>
    <w:rsid w:val="00DA595A"/>
    <w:rsid w:val="00DB3D9A"/>
    <w:rsid w:val="00DD7CEE"/>
    <w:rsid w:val="00E07877"/>
    <w:rsid w:val="00E11B43"/>
    <w:rsid w:val="00E127A6"/>
    <w:rsid w:val="00E25AD5"/>
    <w:rsid w:val="00E2641D"/>
    <w:rsid w:val="00E3347E"/>
    <w:rsid w:val="00E45DE7"/>
    <w:rsid w:val="00E47BD7"/>
    <w:rsid w:val="00E51EB2"/>
    <w:rsid w:val="00E72D49"/>
    <w:rsid w:val="00E85A50"/>
    <w:rsid w:val="00E871BC"/>
    <w:rsid w:val="00E873A5"/>
    <w:rsid w:val="00E961C5"/>
    <w:rsid w:val="00EA0706"/>
    <w:rsid w:val="00EA2858"/>
    <w:rsid w:val="00EA463E"/>
    <w:rsid w:val="00EB33F8"/>
    <w:rsid w:val="00ED49A4"/>
    <w:rsid w:val="00EE060F"/>
    <w:rsid w:val="00EE30E2"/>
    <w:rsid w:val="00EF3FF8"/>
    <w:rsid w:val="00F0069A"/>
    <w:rsid w:val="00F1037E"/>
    <w:rsid w:val="00F151C5"/>
    <w:rsid w:val="00F34513"/>
    <w:rsid w:val="00F55818"/>
    <w:rsid w:val="00F611A2"/>
    <w:rsid w:val="00F70E43"/>
    <w:rsid w:val="00F87427"/>
    <w:rsid w:val="00FB09A5"/>
    <w:rsid w:val="00FC1037"/>
    <w:rsid w:val="00FC7E12"/>
    <w:rsid w:val="00FD7A4F"/>
    <w:rsid w:val="00FE2AC8"/>
    <w:rsid w:val="00FF30C7"/>
    <w:rsid w:val="575D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6D81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A43A0E"/>
    <w:pPr>
      <w:keepNext/>
      <w:numPr>
        <w:ilvl w:val="4"/>
        <w:numId w:val="25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A43A0E"/>
    <w:pPr>
      <w:keepNext/>
      <w:numPr>
        <w:ilvl w:val="5"/>
        <w:numId w:val="25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A43A0E"/>
    <w:pPr>
      <w:keepNext/>
      <w:numPr>
        <w:ilvl w:val="6"/>
        <w:numId w:val="25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DE7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45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45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DE7"/>
    <w:rPr>
      <w:rFonts w:ascii="Times New Roman" w:hAnsi="Times New Roman" w:cs="Times New Roman"/>
      <w:sz w:val="20"/>
      <w:szCs w:val="20"/>
      <w:lang w:val="pl-PL"/>
    </w:rPr>
  </w:style>
  <w:style w:type="paragraph" w:styleId="ListParagraph">
    <w:name w:val="List Paragraph"/>
    <w:aliases w:val="Paragraphe EI,Paragraphe de liste1,EC,Paragraphe de liste,Issue Action POC,List Paragraph1,3,POCG Table Text,Dot pt,F5 List Paragraph,List Paragraph Char Char Char,Indicator Text,Colorful List - Accent 11,Numbered Para 1,Bullet Points,L"/>
    <w:basedOn w:val="Normal"/>
    <w:link w:val="ListParagraphChar"/>
    <w:uiPriority w:val="34"/>
    <w:qFormat/>
    <w:rsid w:val="00E45DE7"/>
    <w:pPr>
      <w:ind w:left="720"/>
      <w:contextualSpacing/>
    </w:pPr>
  </w:style>
  <w:style w:type="character" w:customStyle="1" w:styleId="ListParagraphChar">
    <w:name w:val="List Paragraph Char"/>
    <w:aliases w:val="Paragraphe EI Char,Paragraphe de liste1 Char,EC Char,Paragraphe de liste Char,Issue Action POC Char,List Paragraph1 Char,3 Char,POCG Table Text Char,Dot pt Char,F5 List Paragraph Char,List Paragraph Char Char Char Char,L Char"/>
    <w:link w:val="ListParagraph"/>
    <w:uiPriority w:val="34"/>
    <w:qFormat/>
    <w:locked/>
    <w:rsid w:val="00E45DE7"/>
    <w:rPr>
      <w:rFonts w:ascii="Times New Roman" w:hAnsi="Times New Roman" w:cs="Times New Roman"/>
      <w:sz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E7"/>
    <w:rPr>
      <w:rFonts w:ascii="Segoe UI" w:hAnsi="Segoe UI" w:cs="Segoe UI"/>
      <w:sz w:val="18"/>
      <w:szCs w:val="18"/>
      <w:lang w:val="pl-PL"/>
    </w:rPr>
  </w:style>
  <w:style w:type="paragraph" w:styleId="ListBullet">
    <w:name w:val="List Bullet"/>
    <w:basedOn w:val="Normal"/>
    <w:uiPriority w:val="99"/>
    <w:semiHidden/>
    <w:unhideWhenUsed/>
    <w:rsid w:val="00285D4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5D4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5D4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5D4F"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73DB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73DB1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373DB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3DB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3DB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3DB1"/>
    <w:p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A38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rsid w:val="004F7A3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umpar10">
    <w:name w:val="Num par 1"/>
    <w:basedOn w:val="Point0number"/>
    <w:rsid w:val="009D276F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43A0E"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A0E"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A0E"/>
    <w:rPr>
      <w:rFonts w:ascii="Times New Roman" w:eastAsiaTheme="majorEastAsia" w:hAnsi="Times New Roman" w:cs="Times New Roman"/>
      <w:iCs/>
      <w:sz w:val="24"/>
      <w:lang w:val="pl-PL"/>
    </w:rPr>
  </w:style>
  <w:style w:type="paragraph" w:customStyle="1" w:styleId="Text5">
    <w:name w:val="Text 5"/>
    <w:basedOn w:val="Normal"/>
    <w:rsid w:val="00A43A0E"/>
    <w:pPr>
      <w:ind w:left="3118"/>
    </w:pPr>
  </w:style>
  <w:style w:type="paragraph" w:customStyle="1" w:styleId="Text6">
    <w:name w:val="Text 6"/>
    <w:basedOn w:val="Normal"/>
    <w:rsid w:val="00A43A0E"/>
    <w:pPr>
      <w:ind w:left="3685"/>
    </w:pPr>
  </w:style>
  <w:style w:type="paragraph" w:customStyle="1" w:styleId="Point5">
    <w:name w:val="Point 5"/>
    <w:basedOn w:val="Normal"/>
    <w:rsid w:val="00A43A0E"/>
    <w:pPr>
      <w:ind w:left="3685" w:hanging="567"/>
    </w:pPr>
  </w:style>
  <w:style w:type="paragraph" w:customStyle="1" w:styleId="Tiret5">
    <w:name w:val="Tiret 5"/>
    <w:basedOn w:val="Point5"/>
    <w:rsid w:val="00A43A0E"/>
    <w:pPr>
      <w:numPr>
        <w:numId w:val="26"/>
      </w:numPr>
    </w:pPr>
  </w:style>
  <w:style w:type="paragraph" w:customStyle="1" w:styleId="NumPar5">
    <w:name w:val="NumPar 5"/>
    <w:basedOn w:val="Normal"/>
    <w:next w:val="Text2"/>
    <w:rsid w:val="00A43A0E"/>
    <w:pPr>
      <w:numPr>
        <w:ilvl w:val="4"/>
        <w:numId w:val="27"/>
      </w:numPr>
    </w:pPr>
  </w:style>
  <w:style w:type="paragraph" w:customStyle="1" w:styleId="NumPar6">
    <w:name w:val="NumPar 6"/>
    <w:basedOn w:val="Normal"/>
    <w:next w:val="Text2"/>
    <w:rsid w:val="00A43A0E"/>
    <w:pPr>
      <w:numPr>
        <w:ilvl w:val="5"/>
        <w:numId w:val="27"/>
      </w:numPr>
    </w:pPr>
  </w:style>
  <w:style w:type="paragraph" w:customStyle="1" w:styleId="NumPar7">
    <w:name w:val="NumPar 7"/>
    <w:basedOn w:val="Normal"/>
    <w:next w:val="Text2"/>
    <w:rsid w:val="00A43A0E"/>
    <w:pPr>
      <w:numPr>
        <w:ilvl w:val="6"/>
        <w:numId w:val="27"/>
      </w:numPr>
    </w:pPr>
  </w:style>
  <w:style w:type="paragraph" w:customStyle="1" w:styleId="ManualNumPar5">
    <w:name w:val="Manual NumPar 5"/>
    <w:basedOn w:val="Normal"/>
    <w:next w:val="Text2"/>
    <w:rsid w:val="00A43A0E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A43A0E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A43A0E"/>
    <w:pPr>
      <w:ind w:left="1417" w:hanging="1417"/>
    </w:pPr>
  </w:style>
  <w:style w:type="paragraph" w:customStyle="1" w:styleId="ManualHeading5">
    <w:name w:val="Manual Heading 5"/>
    <w:basedOn w:val="Normal"/>
    <w:next w:val="Text2"/>
    <w:rsid w:val="00A43A0E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A43A0E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A43A0E"/>
    <w:pPr>
      <w:keepNext/>
      <w:tabs>
        <w:tab w:val="left" w:pos="1417"/>
      </w:tabs>
      <w:ind w:left="1417" w:hanging="1417"/>
      <w:outlineLvl w:val="6"/>
    </w:pPr>
  </w:style>
  <w:style w:type="paragraph" w:styleId="Header">
    <w:name w:val="header"/>
    <w:basedOn w:val="Normal"/>
    <w:link w:val="HeaderChar"/>
    <w:uiPriority w:val="99"/>
    <w:unhideWhenUsed/>
    <w:rsid w:val="00397AA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7AA0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97AA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97AA0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pl-PL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97AA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97AA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97A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97AA0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97A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13"/>
      </w:numPr>
    </w:pPr>
  </w:style>
  <w:style w:type="paragraph" w:customStyle="1" w:styleId="Tiret1">
    <w:name w:val="Tiret 1"/>
    <w:basedOn w:val="Point1"/>
    <w:rsid w:val="00BB0CF3"/>
    <w:pPr>
      <w:numPr>
        <w:numId w:val="14"/>
      </w:numPr>
    </w:pPr>
  </w:style>
  <w:style w:type="paragraph" w:customStyle="1" w:styleId="Tiret2">
    <w:name w:val="Tiret 2"/>
    <w:basedOn w:val="Point2"/>
    <w:rsid w:val="00BB0CF3"/>
    <w:pPr>
      <w:numPr>
        <w:numId w:val="15"/>
      </w:numPr>
    </w:pPr>
  </w:style>
  <w:style w:type="paragraph" w:customStyle="1" w:styleId="Tiret3">
    <w:name w:val="Tiret 3"/>
    <w:basedOn w:val="Point3"/>
    <w:rsid w:val="00BB0CF3"/>
    <w:pPr>
      <w:numPr>
        <w:numId w:val="16"/>
      </w:numPr>
    </w:pPr>
  </w:style>
  <w:style w:type="paragraph" w:customStyle="1" w:styleId="Tiret4">
    <w:name w:val="Tiret 4"/>
    <w:basedOn w:val="Point4"/>
    <w:rsid w:val="00BB0CF3"/>
    <w:pPr>
      <w:numPr>
        <w:numId w:val="17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27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27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27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27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18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BB0CF3"/>
    <w:pPr>
      <w:numPr>
        <w:numId w:val="19"/>
      </w:numPr>
    </w:pPr>
  </w:style>
  <w:style w:type="paragraph" w:customStyle="1" w:styleId="Bullet1">
    <w:name w:val="Bullet 1"/>
    <w:basedOn w:val="Normal"/>
    <w:rsid w:val="00BB0CF3"/>
    <w:pPr>
      <w:numPr>
        <w:numId w:val="20"/>
      </w:numPr>
    </w:pPr>
  </w:style>
  <w:style w:type="paragraph" w:customStyle="1" w:styleId="Bullet2">
    <w:name w:val="Bullet 2"/>
    <w:basedOn w:val="Normal"/>
    <w:rsid w:val="00BB0CF3"/>
    <w:pPr>
      <w:numPr>
        <w:numId w:val="21"/>
      </w:numPr>
    </w:pPr>
  </w:style>
  <w:style w:type="paragraph" w:customStyle="1" w:styleId="Bullet3">
    <w:name w:val="Bullet 3"/>
    <w:basedOn w:val="Normal"/>
    <w:rsid w:val="00BB0CF3"/>
    <w:pPr>
      <w:numPr>
        <w:numId w:val="22"/>
      </w:numPr>
    </w:pPr>
  </w:style>
  <w:style w:type="paragraph" w:customStyle="1" w:styleId="Bullet4">
    <w:name w:val="Bullet 4"/>
    <w:basedOn w:val="Normal"/>
    <w:rsid w:val="00BB0CF3"/>
    <w:pPr>
      <w:numPr>
        <w:numId w:val="23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E8D1-5656-4049-ADB4-E646B44A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2022-03-21T15:43:00Z</dcterms:created>
  <dcterms:modified xsi:type="dcterms:W3CDTF">2022-03-28T14:28:00Z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Category">
    <vt:lpwstr>COM/ANNEX</vt:lpwstr>
  </property>
  <property fmtid="{D5CDD505-2E9C-101B-9397-08002B2CF9AE}" pid="4" name="Last edited using">
    <vt:lpwstr>LW 7.0.1, Build 20200226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</Properties>
</file>