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55B45" w14:textId="5F81A3A5" w:rsidR="00B978EF" w:rsidRPr="000E4F58" w:rsidRDefault="00891131" w:rsidP="00891131">
      <w:pPr>
        <w:pStyle w:val="Pagedecouverture"/>
        <w:rPr>
          <w:noProof/>
        </w:rPr>
      </w:pPr>
      <w:r>
        <w:rPr>
          <w:noProof/>
        </w:rPr>
        <w:pict w14:anchorId="11EE8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338B491-176D-4481-B804-3DCBE63807C8" style="width:455.25pt;height:355.5pt">
            <v:imagedata r:id="rId11" o:title=""/>
          </v:shape>
        </w:pict>
      </w:r>
    </w:p>
    <w:p w14:paraId="373408C3" w14:textId="77777777" w:rsidR="00B978EF" w:rsidRPr="000E4F58" w:rsidRDefault="00B978EF" w:rsidP="00B978EF">
      <w:pPr>
        <w:rPr>
          <w:noProof/>
        </w:rPr>
        <w:sectPr w:rsidR="00B978EF" w:rsidRPr="000E4F58" w:rsidSect="00891131">
          <w:footerReference w:type="default" r:id="rId12"/>
          <w:pgSz w:w="11907" w:h="16839"/>
          <w:pgMar w:top="1134" w:right="1417" w:bottom="1134" w:left="1417" w:header="709" w:footer="709" w:gutter="0"/>
          <w:pgNumType w:start="0"/>
          <w:cols w:space="720"/>
          <w:docGrid w:linePitch="360"/>
        </w:sectPr>
      </w:pPr>
    </w:p>
    <w:p w14:paraId="6240EBFE" w14:textId="77777777" w:rsidR="00B978EF" w:rsidRPr="000E4F58" w:rsidRDefault="00B978EF" w:rsidP="00EC66B3">
      <w:pPr>
        <w:pStyle w:val="Exposdesmotifstitre"/>
        <w:rPr>
          <w:noProof/>
        </w:rPr>
      </w:pPr>
      <w:bookmarkStart w:id="0" w:name="_GoBack"/>
      <w:bookmarkEnd w:id="0"/>
      <w:r w:rsidRPr="000E4F58">
        <w:rPr>
          <w:noProof/>
        </w:rPr>
        <w:lastRenderedPageBreak/>
        <w:t>UZASADNIENIE</w:t>
      </w:r>
    </w:p>
    <w:p w14:paraId="6FAA503A" w14:textId="77777777" w:rsidR="00B978EF" w:rsidRPr="000E4F58" w:rsidRDefault="00B978EF" w:rsidP="00EC66B3">
      <w:pPr>
        <w:pStyle w:val="ManualHeading1"/>
        <w:rPr>
          <w:noProof/>
        </w:rPr>
      </w:pPr>
      <w:r w:rsidRPr="000E4F58">
        <w:rPr>
          <w:noProof/>
        </w:rPr>
        <w:t>1.</w:t>
      </w:r>
      <w:r w:rsidRPr="000E4F58">
        <w:rPr>
          <w:noProof/>
        </w:rPr>
        <w:tab/>
        <w:t>KONTEKST WNIOSKU</w:t>
      </w:r>
    </w:p>
    <w:p w14:paraId="73D4C2EB" w14:textId="4C7A2A78" w:rsidR="00B978EF" w:rsidRPr="000E4F58" w:rsidRDefault="00B978EF" w:rsidP="00EC66B3">
      <w:pPr>
        <w:pStyle w:val="ManualHeading2"/>
        <w:rPr>
          <w:rFonts w:eastAsia="Arial Unicode MS"/>
          <w:noProof/>
        </w:rPr>
      </w:pPr>
      <w:r w:rsidRPr="000E4F58">
        <w:rPr>
          <w:noProof/>
          <w:color w:val="000000"/>
          <w:u w:color="000000"/>
          <w:bdr w:val="nil"/>
        </w:rPr>
        <w:t>•</w:t>
      </w:r>
      <w:r w:rsidRPr="000E4F58">
        <w:rPr>
          <w:noProof/>
        </w:rPr>
        <w:tab/>
        <w:t>Przyczyny</w:t>
      </w:r>
      <w:r w:rsidR="00F96240" w:rsidRPr="000E4F58">
        <w:rPr>
          <w:noProof/>
        </w:rPr>
        <w:t xml:space="preserve"> i</w:t>
      </w:r>
      <w:r w:rsidR="00F96240">
        <w:rPr>
          <w:noProof/>
        </w:rPr>
        <w:t> </w:t>
      </w:r>
      <w:r w:rsidR="00F96240" w:rsidRPr="000E4F58">
        <w:rPr>
          <w:noProof/>
        </w:rPr>
        <w:t>cel</w:t>
      </w:r>
      <w:r w:rsidRPr="000E4F58">
        <w:rPr>
          <w:noProof/>
        </w:rPr>
        <w:t>e wniosku</w:t>
      </w:r>
    </w:p>
    <w:p w14:paraId="4446A955" w14:textId="0A487E56" w:rsidR="00D90C58" w:rsidRPr="000E4F58" w:rsidRDefault="00FA23E7" w:rsidP="00D90C58">
      <w:pPr>
        <w:pBdr>
          <w:top w:val="nil"/>
          <w:left w:val="nil"/>
          <w:bottom w:val="nil"/>
          <w:right w:val="nil"/>
          <w:between w:val="nil"/>
          <w:bar w:val="nil"/>
        </w:pBdr>
        <w:spacing w:before="0" w:after="240"/>
        <w:rPr>
          <w:noProof/>
        </w:rPr>
      </w:pPr>
      <w:r w:rsidRPr="000E4F58">
        <w:rPr>
          <w:noProof/>
        </w:rPr>
        <w:t>Według opracowanej przez Europol oceny zagrożenia wykorzystaniem internetu przez zorganizowane grupy przestępcze</w:t>
      </w:r>
      <w:r w:rsidRPr="000E4F58">
        <w:rPr>
          <w:rStyle w:val="FootnoteReference"/>
          <w:rFonts w:eastAsia="Arial Unicode MS"/>
          <w:noProof/>
        </w:rPr>
        <w:footnoteReference w:id="2"/>
      </w:r>
      <w:r w:rsidRPr="000E4F58">
        <w:rPr>
          <w:noProof/>
        </w:rPr>
        <w:t xml:space="preserve"> cyberprzestępczość nadal stanowi rosnące zagrożenie dla bezpieczeństwa obywateli</w:t>
      </w:r>
      <w:r w:rsidR="00F96240" w:rsidRPr="000E4F58">
        <w:rPr>
          <w:noProof/>
        </w:rPr>
        <w:t xml:space="preserve"> i</w:t>
      </w:r>
      <w:r w:rsidR="00F96240">
        <w:rPr>
          <w:noProof/>
        </w:rPr>
        <w:t> </w:t>
      </w:r>
      <w:r w:rsidR="00F96240" w:rsidRPr="000E4F58">
        <w:rPr>
          <w:noProof/>
        </w:rPr>
        <w:t>prz</w:t>
      </w:r>
      <w:r w:rsidRPr="000E4F58">
        <w:rPr>
          <w:noProof/>
        </w:rPr>
        <w:t>edsiębiorstw</w:t>
      </w:r>
      <w:r w:rsidR="00F96240" w:rsidRPr="000E4F58">
        <w:rPr>
          <w:noProof/>
        </w:rPr>
        <w:t xml:space="preserve"> w</w:t>
      </w:r>
      <w:r w:rsidR="00F96240">
        <w:rPr>
          <w:noProof/>
        </w:rPr>
        <w:t> </w:t>
      </w:r>
      <w:r w:rsidR="00F96240" w:rsidRPr="000E4F58">
        <w:rPr>
          <w:noProof/>
        </w:rPr>
        <w:t>Uni</w:t>
      </w:r>
      <w:r w:rsidRPr="000E4F58">
        <w:rPr>
          <w:noProof/>
        </w:rPr>
        <w:t>i Europejskiej (UE). Cyberprzestępczość jest zjawiskiem globalnym</w:t>
      </w:r>
      <w:r w:rsidR="00F96240" w:rsidRPr="000E4F58">
        <w:rPr>
          <w:noProof/>
        </w:rPr>
        <w:t xml:space="preserve"> i</w:t>
      </w:r>
      <w:r w:rsidR="00F96240">
        <w:rPr>
          <w:noProof/>
        </w:rPr>
        <w:t> </w:t>
      </w:r>
      <w:r w:rsidR="00F96240" w:rsidRPr="000E4F58">
        <w:rPr>
          <w:noProof/>
        </w:rPr>
        <w:t>poz</w:t>
      </w:r>
      <w:r w:rsidRPr="000E4F58">
        <w:rPr>
          <w:noProof/>
        </w:rPr>
        <w:t>bawionym granic,</w:t>
      </w:r>
      <w:r w:rsidR="00F96240" w:rsidRPr="000E4F58">
        <w:rPr>
          <w:noProof/>
        </w:rPr>
        <w:t xml:space="preserve"> a</w:t>
      </w:r>
      <w:r w:rsidR="00F96240">
        <w:rPr>
          <w:noProof/>
        </w:rPr>
        <w:t> </w:t>
      </w:r>
      <w:r w:rsidR="00F96240" w:rsidRPr="000E4F58">
        <w:rPr>
          <w:noProof/>
        </w:rPr>
        <w:t>zac</w:t>
      </w:r>
      <w:r w:rsidRPr="000E4F58">
        <w:rPr>
          <w:noProof/>
        </w:rPr>
        <w:t>ieśnienie współpracy międzynarodowej</w:t>
      </w:r>
      <w:r w:rsidR="00F96240" w:rsidRPr="000E4F58">
        <w:rPr>
          <w:noProof/>
        </w:rPr>
        <w:t xml:space="preserve"> w</w:t>
      </w:r>
      <w:r w:rsidR="00F96240">
        <w:rPr>
          <w:noProof/>
        </w:rPr>
        <w:t> </w:t>
      </w:r>
      <w:r w:rsidR="00F96240" w:rsidRPr="000E4F58">
        <w:rPr>
          <w:noProof/>
        </w:rPr>
        <w:t>zak</w:t>
      </w:r>
      <w:r w:rsidRPr="000E4F58">
        <w:rPr>
          <w:noProof/>
        </w:rPr>
        <w:t xml:space="preserve">resie jej zwalczania od wielu lat stanowi priorytet dla państw na całym świecie. </w:t>
      </w:r>
    </w:p>
    <w:p w14:paraId="29EE7F0F" w14:textId="04C60F24" w:rsidR="00D90C58" w:rsidRPr="00F96240" w:rsidRDefault="00D90C58" w:rsidP="00D90C58">
      <w:pPr>
        <w:pBdr>
          <w:top w:val="nil"/>
          <w:left w:val="nil"/>
          <w:bottom w:val="nil"/>
          <w:right w:val="nil"/>
          <w:between w:val="nil"/>
          <w:bar w:val="nil"/>
        </w:pBdr>
        <w:spacing w:before="0" w:after="240"/>
        <w:rPr>
          <w:noProof/>
        </w:rPr>
      </w:pPr>
      <w:r w:rsidRPr="000E4F58">
        <w:rPr>
          <w:noProof/>
        </w:rPr>
        <w:t>Konwencja Rady Europy</w:t>
      </w:r>
      <w:r w:rsidR="00F96240" w:rsidRPr="000E4F58">
        <w:rPr>
          <w:noProof/>
        </w:rPr>
        <w:t xml:space="preserve"> o</w:t>
      </w:r>
      <w:r w:rsidR="00F96240">
        <w:rPr>
          <w:noProof/>
        </w:rPr>
        <w:t> </w:t>
      </w:r>
      <w:r w:rsidR="00F96240" w:rsidRPr="000E4F58">
        <w:rPr>
          <w:noProof/>
        </w:rPr>
        <w:t>cyb</w:t>
      </w:r>
      <w:r w:rsidRPr="000E4F58">
        <w:rPr>
          <w:noProof/>
        </w:rPr>
        <w:t>erprzestępczości</w:t>
      </w:r>
      <w:r w:rsidR="00F96240" w:rsidRPr="000E4F58">
        <w:rPr>
          <w:noProof/>
        </w:rPr>
        <w:t xml:space="preserve"> z</w:t>
      </w:r>
      <w:r w:rsidR="00F96240">
        <w:rPr>
          <w:noProof/>
        </w:rPr>
        <w:t> </w:t>
      </w:r>
      <w:r w:rsidR="00F96240" w:rsidRPr="000E4F58">
        <w:rPr>
          <w:noProof/>
        </w:rPr>
        <w:t>2</w:t>
      </w:r>
      <w:r w:rsidRPr="000E4F58">
        <w:rPr>
          <w:noProof/>
        </w:rPr>
        <w:t>0</w:t>
      </w:r>
      <w:r w:rsidRPr="00F96240">
        <w:rPr>
          <w:noProof/>
        </w:rPr>
        <w:t>01</w:t>
      </w:r>
      <w:r w:rsidR="00F96240" w:rsidRPr="00F96240">
        <w:rPr>
          <w:noProof/>
        </w:rPr>
        <w:t> </w:t>
      </w:r>
      <w:r w:rsidRPr="00F96240">
        <w:rPr>
          <w:noProof/>
        </w:rPr>
        <w:t>r.</w:t>
      </w:r>
      <w:r w:rsidRPr="000E4F58">
        <w:rPr>
          <w:noProof/>
        </w:rPr>
        <w:t xml:space="preserve"> („Konwencja</w:t>
      </w:r>
      <w:r w:rsidR="00F96240" w:rsidRPr="000E4F58">
        <w:rPr>
          <w:noProof/>
        </w:rPr>
        <w:t xml:space="preserve"> o</w:t>
      </w:r>
      <w:r w:rsidR="00F96240">
        <w:rPr>
          <w:noProof/>
        </w:rPr>
        <w:t> </w:t>
      </w:r>
      <w:r w:rsidR="00F96240" w:rsidRPr="000E4F58">
        <w:rPr>
          <w:noProof/>
        </w:rPr>
        <w:t>cyb</w:t>
      </w:r>
      <w:r w:rsidRPr="000E4F58">
        <w:rPr>
          <w:noProof/>
        </w:rPr>
        <w:t>erprzestępczości”) jest pierwszym międzynarodowym traktatem dotyczącym cyberprzestępczości,</w:t>
      </w:r>
      <w:r w:rsidR="00F96240" w:rsidRPr="000E4F58">
        <w:rPr>
          <w:noProof/>
        </w:rPr>
        <w:t xml:space="preserve"> w</w:t>
      </w:r>
      <w:r w:rsidR="00F96240">
        <w:rPr>
          <w:noProof/>
        </w:rPr>
        <w:t> </w:t>
      </w:r>
      <w:r w:rsidR="00F96240" w:rsidRPr="000E4F58">
        <w:rPr>
          <w:noProof/>
        </w:rPr>
        <w:t>któ</w:t>
      </w:r>
      <w:r w:rsidRPr="000E4F58">
        <w:rPr>
          <w:noProof/>
        </w:rPr>
        <w:t>rym zdefiniowano przestępstwa wchodzące</w:t>
      </w:r>
      <w:r w:rsidR="00F96240" w:rsidRPr="000E4F58">
        <w:rPr>
          <w:noProof/>
        </w:rPr>
        <w:t xml:space="preserve"> w</w:t>
      </w:r>
      <w:r w:rsidR="00F96240">
        <w:rPr>
          <w:noProof/>
        </w:rPr>
        <w:t> </w:t>
      </w:r>
      <w:r w:rsidR="00F96240" w:rsidRPr="000E4F58">
        <w:rPr>
          <w:noProof/>
        </w:rPr>
        <w:t>zak</w:t>
      </w:r>
      <w:r w:rsidRPr="000E4F58">
        <w:rPr>
          <w:noProof/>
        </w:rPr>
        <w:t>res cyberprzestępczości, przewidziano szereg uprawnień</w:t>
      </w:r>
      <w:r w:rsidR="00F96240" w:rsidRPr="000E4F58">
        <w:rPr>
          <w:noProof/>
        </w:rPr>
        <w:t xml:space="preserve"> i</w:t>
      </w:r>
      <w:r w:rsidR="00F96240">
        <w:rPr>
          <w:noProof/>
        </w:rPr>
        <w:t> </w:t>
      </w:r>
      <w:r w:rsidR="00F96240" w:rsidRPr="000E4F58">
        <w:rPr>
          <w:noProof/>
        </w:rPr>
        <w:t>pro</w:t>
      </w:r>
      <w:r w:rsidRPr="000E4F58">
        <w:rPr>
          <w:noProof/>
        </w:rPr>
        <w:t>cedur umożliwiających prowadzenie dochodzeń</w:t>
      </w:r>
      <w:r w:rsidR="00F96240" w:rsidRPr="000E4F58">
        <w:rPr>
          <w:noProof/>
        </w:rPr>
        <w:t xml:space="preserve"> w</w:t>
      </w:r>
      <w:r w:rsidR="00F96240">
        <w:rPr>
          <w:noProof/>
        </w:rPr>
        <w:t> </w:t>
      </w:r>
      <w:r w:rsidR="00F96240" w:rsidRPr="000E4F58">
        <w:rPr>
          <w:noProof/>
        </w:rPr>
        <w:t>spr</w:t>
      </w:r>
      <w:r w:rsidRPr="000E4F58">
        <w:rPr>
          <w:noProof/>
        </w:rPr>
        <w:t>awie cyberprzestępczości, takich jak przeszukiwanie sieci komputerowych</w:t>
      </w:r>
      <w:r w:rsidR="00F96240" w:rsidRPr="000E4F58">
        <w:rPr>
          <w:noProof/>
        </w:rPr>
        <w:t xml:space="preserve"> i</w:t>
      </w:r>
      <w:r w:rsidR="00F96240">
        <w:rPr>
          <w:noProof/>
        </w:rPr>
        <w:t> </w:t>
      </w:r>
      <w:r w:rsidR="00F96240" w:rsidRPr="000E4F58">
        <w:rPr>
          <w:noProof/>
        </w:rPr>
        <w:t>prz</w:t>
      </w:r>
      <w:r w:rsidRPr="000E4F58">
        <w:rPr>
          <w:noProof/>
        </w:rPr>
        <w:t>echwytywanie danych, oraz zabezpieczanie elektronicznego materiału dowodowego odnoszącego się do przestępstw,</w:t>
      </w:r>
      <w:r w:rsidR="00F96240" w:rsidRPr="000E4F58">
        <w:rPr>
          <w:noProof/>
        </w:rPr>
        <w:t xml:space="preserve"> a</w:t>
      </w:r>
      <w:r w:rsidR="00F96240">
        <w:rPr>
          <w:noProof/>
        </w:rPr>
        <w:t> </w:t>
      </w:r>
      <w:r w:rsidR="00F96240" w:rsidRPr="000E4F58">
        <w:rPr>
          <w:noProof/>
        </w:rPr>
        <w:t>tak</w:t>
      </w:r>
      <w:r w:rsidRPr="000E4F58">
        <w:rPr>
          <w:noProof/>
        </w:rPr>
        <w:t>że ustanowiono ramy współpracy międzynarodowej</w:t>
      </w:r>
      <w:r w:rsidRPr="000E4F58">
        <w:rPr>
          <w:rStyle w:val="FootnoteReference"/>
          <w:rFonts w:eastAsia="Arial Unicode MS"/>
          <w:noProof/>
        </w:rPr>
        <w:footnoteReference w:id="3"/>
      </w:r>
      <w:r w:rsidRPr="000E4F58">
        <w:rPr>
          <w:noProof/>
        </w:rPr>
        <w:t>. Do Konwencji</w:t>
      </w:r>
      <w:r w:rsidR="00F96240" w:rsidRPr="000E4F58">
        <w:rPr>
          <w:noProof/>
        </w:rPr>
        <w:t xml:space="preserve"> o</w:t>
      </w:r>
      <w:r w:rsidR="00F96240">
        <w:rPr>
          <w:noProof/>
        </w:rPr>
        <w:t> </w:t>
      </w:r>
      <w:r w:rsidR="00F96240" w:rsidRPr="000E4F58">
        <w:rPr>
          <w:noProof/>
        </w:rPr>
        <w:t>cyb</w:t>
      </w:r>
      <w:r w:rsidRPr="000E4F58">
        <w:rPr>
          <w:noProof/>
        </w:rPr>
        <w:t>erprzestępczości mogą przystąpić państwa niebędące członkami Rady Europy</w:t>
      </w:r>
      <w:r w:rsidR="00F96240" w:rsidRPr="000E4F58">
        <w:rPr>
          <w:noProof/>
        </w:rPr>
        <w:t xml:space="preserve"> i</w:t>
      </w:r>
      <w:r w:rsidR="00F96240">
        <w:rPr>
          <w:noProof/>
        </w:rPr>
        <w:t> </w:t>
      </w:r>
      <w:r w:rsidR="00F96240" w:rsidRPr="000E4F58">
        <w:rPr>
          <w:noProof/>
        </w:rPr>
        <w:t>z</w:t>
      </w:r>
      <w:r w:rsidR="00F96240">
        <w:rPr>
          <w:noProof/>
        </w:rPr>
        <w:t> </w:t>
      </w:r>
      <w:r w:rsidR="00F96240" w:rsidRPr="000E4F58">
        <w:rPr>
          <w:noProof/>
        </w:rPr>
        <w:t>moż</w:t>
      </w:r>
      <w:r w:rsidRPr="000E4F58">
        <w:rPr>
          <w:noProof/>
        </w:rPr>
        <w:t>liwości tej skorzystały kraje ze wszystkich regionów geograficznych. Obecnie sygnatariuszami konwencji jest 66 państw, a do przystąpienia do niej zaproszono czternaście kolejnych. Konwencja stanowi podstawę przepisów dotyczących walki</w:t>
      </w:r>
      <w:r w:rsidR="00F96240" w:rsidRPr="000E4F58">
        <w:rPr>
          <w:noProof/>
        </w:rPr>
        <w:t xml:space="preserve"> z</w:t>
      </w:r>
      <w:r w:rsidR="00F96240">
        <w:rPr>
          <w:noProof/>
        </w:rPr>
        <w:t> </w:t>
      </w:r>
      <w:r w:rsidR="00F96240" w:rsidRPr="000E4F58">
        <w:rPr>
          <w:noProof/>
        </w:rPr>
        <w:t>cyb</w:t>
      </w:r>
      <w:r w:rsidRPr="000E4F58">
        <w:rPr>
          <w:noProof/>
        </w:rPr>
        <w:t>erprzestępczością</w:t>
      </w:r>
      <w:r w:rsidR="00F96240" w:rsidRPr="000E4F58">
        <w:rPr>
          <w:noProof/>
        </w:rPr>
        <w:t xml:space="preserve"> w</w:t>
      </w:r>
      <w:r w:rsidR="00F96240">
        <w:rPr>
          <w:noProof/>
        </w:rPr>
        <w:t> </w:t>
      </w:r>
      <w:r w:rsidR="00F96240" w:rsidRPr="000E4F58">
        <w:rPr>
          <w:noProof/>
        </w:rPr>
        <w:t>8</w:t>
      </w:r>
      <w:r w:rsidRPr="00F96240">
        <w:rPr>
          <w:noProof/>
        </w:rPr>
        <w:t>0</w:t>
      </w:r>
      <w:r w:rsidR="00F96240" w:rsidRPr="00F96240">
        <w:rPr>
          <w:noProof/>
        </w:rPr>
        <w:t> </w:t>
      </w:r>
      <w:r w:rsidRPr="00F96240">
        <w:rPr>
          <w:noProof/>
        </w:rPr>
        <w:t>%</w:t>
      </w:r>
      <w:r w:rsidRPr="000E4F58">
        <w:rPr>
          <w:noProof/>
        </w:rPr>
        <w:t xml:space="preserve"> krajów na świecie. Przyjęcie drugiego protokołu dodatkowego do Konwencji</w:t>
      </w:r>
      <w:r w:rsidR="00F96240" w:rsidRPr="000E4F58">
        <w:rPr>
          <w:noProof/>
        </w:rPr>
        <w:t xml:space="preserve"> o</w:t>
      </w:r>
      <w:r w:rsidR="00F96240">
        <w:rPr>
          <w:noProof/>
        </w:rPr>
        <w:t> </w:t>
      </w:r>
      <w:r w:rsidR="00F96240" w:rsidRPr="000E4F58">
        <w:rPr>
          <w:noProof/>
        </w:rPr>
        <w:t>cyb</w:t>
      </w:r>
      <w:r w:rsidRPr="000E4F58">
        <w:rPr>
          <w:noProof/>
        </w:rPr>
        <w:t>erprzestępczości przez Komitet Ministrów Rady Europy 17 listopada 20</w:t>
      </w:r>
      <w:r w:rsidRPr="00F96240">
        <w:rPr>
          <w:noProof/>
        </w:rPr>
        <w:t>21</w:t>
      </w:r>
      <w:r w:rsidR="00F96240" w:rsidRPr="00F96240">
        <w:rPr>
          <w:noProof/>
        </w:rPr>
        <w:t> </w:t>
      </w:r>
      <w:r w:rsidRPr="00F96240">
        <w:rPr>
          <w:noProof/>
        </w:rPr>
        <w:t>r.</w:t>
      </w:r>
      <w:r w:rsidRPr="000E4F58">
        <w:rPr>
          <w:noProof/>
        </w:rPr>
        <w:t xml:space="preserve"> świadczy</w:t>
      </w:r>
      <w:r w:rsidR="00F96240" w:rsidRPr="000E4F58">
        <w:rPr>
          <w:noProof/>
        </w:rPr>
        <w:t xml:space="preserve"> o</w:t>
      </w:r>
      <w:r w:rsidR="00F96240">
        <w:rPr>
          <w:noProof/>
        </w:rPr>
        <w:t> </w:t>
      </w:r>
      <w:r w:rsidR="00F96240" w:rsidRPr="000E4F58">
        <w:rPr>
          <w:noProof/>
        </w:rPr>
        <w:t>tym</w:t>
      </w:r>
      <w:r w:rsidRPr="000E4F58">
        <w:rPr>
          <w:noProof/>
        </w:rPr>
        <w:t>, że konwencja nadal stanowi istotne ramy współpracy międzynarodowej</w:t>
      </w:r>
      <w:r w:rsidR="00F96240" w:rsidRPr="000E4F58">
        <w:rPr>
          <w:noProof/>
        </w:rPr>
        <w:t xml:space="preserve"> w</w:t>
      </w:r>
      <w:r w:rsidR="00F96240">
        <w:rPr>
          <w:noProof/>
        </w:rPr>
        <w:t> </w:t>
      </w:r>
      <w:r w:rsidR="00F96240" w:rsidRPr="000E4F58">
        <w:rPr>
          <w:noProof/>
        </w:rPr>
        <w:t>zak</w:t>
      </w:r>
      <w:r w:rsidRPr="000E4F58">
        <w:rPr>
          <w:noProof/>
        </w:rPr>
        <w:t>resie cyberprzestępczości</w:t>
      </w:r>
      <w:r w:rsidRPr="000E4F58">
        <w:rPr>
          <w:rStyle w:val="FootnoteReference"/>
          <w:noProof/>
        </w:rPr>
        <w:footnoteReference w:id="4"/>
      </w:r>
      <w:r w:rsidRPr="000E4F58">
        <w:rPr>
          <w:noProof/>
        </w:rPr>
        <w:t>.</w:t>
      </w:r>
    </w:p>
    <w:p w14:paraId="11DC8185" w14:textId="1FD042B7" w:rsidR="00D90C58" w:rsidRPr="000E4F58" w:rsidRDefault="00D90C58" w:rsidP="00D90C58">
      <w:pPr>
        <w:pBdr>
          <w:top w:val="nil"/>
          <w:left w:val="nil"/>
          <w:bottom w:val="nil"/>
          <w:right w:val="nil"/>
          <w:between w:val="nil"/>
          <w:bar w:val="nil"/>
        </w:pBdr>
        <w:spacing w:before="0" w:after="240"/>
        <w:rPr>
          <w:noProof/>
        </w:rPr>
      </w:pPr>
      <w:r w:rsidRPr="00F96240">
        <w:rPr>
          <w:noProof/>
        </w:rPr>
        <w:t>K</w:t>
      </w:r>
      <w:r w:rsidRPr="000E4F58">
        <w:rPr>
          <w:noProof/>
        </w:rPr>
        <w:t>westie postępu technologii informacyjnych oraz szybkiego rozwoju nowych systemów telekomunikacyjnych</w:t>
      </w:r>
      <w:r w:rsidR="00F96240" w:rsidRPr="000E4F58">
        <w:rPr>
          <w:noProof/>
        </w:rPr>
        <w:t xml:space="preserve"> i</w:t>
      </w:r>
      <w:r w:rsidR="00F96240">
        <w:rPr>
          <w:noProof/>
        </w:rPr>
        <w:t> </w:t>
      </w:r>
      <w:r w:rsidR="00F96240" w:rsidRPr="000E4F58">
        <w:rPr>
          <w:noProof/>
        </w:rPr>
        <w:t>sie</w:t>
      </w:r>
      <w:r w:rsidRPr="000E4F58">
        <w:rPr>
          <w:noProof/>
        </w:rPr>
        <w:t>ci komputerowych,</w:t>
      </w:r>
      <w:r w:rsidR="00F96240" w:rsidRPr="000E4F58">
        <w:rPr>
          <w:noProof/>
        </w:rPr>
        <w:t xml:space="preserve"> a</w:t>
      </w:r>
      <w:r w:rsidR="00F96240">
        <w:rPr>
          <w:noProof/>
        </w:rPr>
        <w:t> </w:t>
      </w:r>
      <w:r w:rsidR="00F96240" w:rsidRPr="000E4F58">
        <w:rPr>
          <w:noProof/>
        </w:rPr>
        <w:t>tak</w:t>
      </w:r>
      <w:r w:rsidRPr="000E4F58">
        <w:rPr>
          <w:noProof/>
        </w:rPr>
        <w:t>że wykorzystywania</w:t>
      </w:r>
      <w:r w:rsidR="00F96240" w:rsidRPr="000E4F58">
        <w:rPr>
          <w:noProof/>
        </w:rPr>
        <w:t xml:space="preserve"> i</w:t>
      </w:r>
      <w:r w:rsidR="00F96240">
        <w:rPr>
          <w:noProof/>
        </w:rPr>
        <w:t> </w:t>
      </w:r>
      <w:r w:rsidR="00F96240" w:rsidRPr="000E4F58">
        <w:rPr>
          <w:noProof/>
        </w:rPr>
        <w:t>nad</w:t>
      </w:r>
      <w:r w:rsidRPr="000E4F58">
        <w:rPr>
          <w:noProof/>
        </w:rPr>
        <w:t>używania tych technologii</w:t>
      </w:r>
      <w:r w:rsidR="00F96240" w:rsidRPr="000E4F58">
        <w:rPr>
          <w:noProof/>
        </w:rPr>
        <w:t xml:space="preserve"> w</w:t>
      </w:r>
      <w:r w:rsidR="00F96240">
        <w:rPr>
          <w:noProof/>
        </w:rPr>
        <w:t> </w:t>
      </w:r>
      <w:r w:rsidR="00F96240" w:rsidRPr="000E4F58">
        <w:rPr>
          <w:noProof/>
        </w:rPr>
        <w:t>cel</w:t>
      </w:r>
      <w:r w:rsidRPr="000E4F58">
        <w:rPr>
          <w:noProof/>
        </w:rPr>
        <w:t>ach przestępczych znalazły się również</w:t>
      </w:r>
      <w:r w:rsidR="00F96240" w:rsidRPr="000E4F58">
        <w:rPr>
          <w:noProof/>
        </w:rPr>
        <w:t xml:space="preserve"> w</w:t>
      </w:r>
      <w:r w:rsidR="00F96240">
        <w:rPr>
          <w:noProof/>
        </w:rPr>
        <w:t> </w:t>
      </w:r>
      <w:r w:rsidR="00F96240" w:rsidRPr="000E4F58">
        <w:rPr>
          <w:noProof/>
        </w:rPr>
        <w:t>pro</w:t>
      </w:r>
      <w:r w:rsidRPr="000E4F58">
        <w:rPr>
          <w:noProof/>
        </w:rPr>
        <w:t>gramie działań Organizacji Narodów Zjednoczonych (ONZ). 21 grudnia 20</w:t>
      </w:r>
      <w:r w:rsidRPr="00F96240">
        <w:rPr>
          <w:noProof/>
        </w:rPr>
        <w:t>10</w:t>
      </w:r>
      <w:r w:rsidR="00F96240" w:rsidRPr="00F96240">
        <w:rPr>
          <w:noProof/>
        </w:rPr>
        <w:t> </w:t>
      </w:r>
      <w:r w:rsidRPr="00F96240">
        <w:rPr>
          <w:noProof/>
        </w:rPr>
        <w:t>r.</w:t>
      </w:r>
      <w:r w:rsidRPr="000E4F58">
        <w:rPr>
          <w:noProof/>
        </w:rPr>
        <w:t xml:space="preserve"> Zgromadzenie Ogólne ONZ przyjęło rezolucję </w:t>
      </w:r>
      <w:r w:rsidRPr="00F96240">
        <w:rPr>
          <w:noProof/>
        </w:rPr>
        <w:t>nr</w:t>
      </w:r>
      <w:r w:rsidR="00F96240" w:rsidRPr="00F96240">
        <w:rPr>
          <w:noProof/>
        </w:rPr>
        <w:t> </w:t>
      </w:r>
      <w:r w:rsidRPr="00F96240">
        <w:rPr>
          <w:noProof/>
        </w:rPr>
        <w:t>6</w:t>
      </w:r>
      <w:r w:rsidRPr="000E4F58">
        <w:rPr>
          <w:noProof/>
        </w:rPr>
        <w:t>5/230,</w:t>
      </w:r>
      <w:r w:rsidR="00F96240" w:rsidRPr="000E4F58">
        <w:rPr>
          <w:noProof/>
        </w:rPr>
        <w:t xml:space="preserve"> w</w:t>
      </w:r>
      <w:r w:rsidR="00F96240">
        <w:rPr>
          <w:noProof/>
        </w:rPr>
        <w:t> </w:t>
      </w:r>
      <w:r w:rsidR="00F96240" w:rsidRPr="000E4F58">
        <w:rPr>
          <w:noProof/>
        </w:rPr>
        <w:t>któ</w:t>
      </w:r>
      <w:r w:rsidRPr="000E4F58">
        <w:rPr>
          <w:noProof/>
        </w:rPr>
        <w:t>rej zwróciło się do Komisji ds. Zapobiegania Przestępczości</w:t>
      </w:r>
      <w:r w:rsidR="00F96240" w:rsidRPr="000E4F58">
        <w:rPr>
          <w:noProof/>
        </w:rPr>
        <w:t xml:space="preserve"> i</w:t>
      </w:r>
      <w:r w:rsidR="00F96240">
        <w:rPr>
          <w:noProof/>
        </w:rPr>
        <w:t> </w:t>
      </w:r>
      <w:r w:rsidR="00F96240" w:rsidRPr="000E4F58">
        <w:rPr>
          <w:noProof/>
        </w:rPr>
        <w:t>Wym</w:t>
      </w:r>
      <w:r w:rsidRPr="000E4F58">
        <w:rPr>
          <w:noProof/>
        </w:rPr>
        <w:t>iaru Sprawiedliwości Sądownictwa Karnego</w:t>
      </w:r>
      <w:r w:rsidR="00F96240" w:rsidRPr="000E4F58">
        <w:rPr>
          <w:noProof/>
        </w:rPr>
        <w:t xml:space="preserve"> o</w:t>
      </w:r>
      <w:r w:rsidR="00F96240">
        <w:rPr>
          <w:noProof/>
        </w:rPr>
        <w:t> </w:t>
      </w:r>
      <w:r w:rsidR="00F96240" w:rsidRPr="000E4F58">
        <w:rPr>
          <w:noProof/>
        </w:rPr>
        <w:t>pow</w:t>
      </w:r>
      <w:r w:rsidRPr="000E4F58">
        <w:rPr>
          <w:noProof/>
        </w:rPr>
        <w:t>ołanie otwartej międzyrządowej grupy ekspertów</w:t>
      </w:r>
      <w:r w:rsidR="00F96240" w:rsidRPr="000E4F58">
        <w:rPr>
          <w:noProof/>
        </w:rPr>
        <w:t xml:space="preserve"> w</w:t>
      </w:r>
      <w:r w:rsidR="00F96240">
        <w:rPr>
          <w:noProof/>
        </w:rPr>
        <w:t> </w:t>
      </w:r>
      <w:r w:rsidR="00F96240" w:rsidRPr="000E4F58">
        <w:rPr>
          <w:noProof/>
        </w:rPr>
        <w:t>cel</w:t>
      </w:r>
      <w:r w:rsidRPr="000E4F58">
        <w:rPr>
          <w:noProof/>
        </w:rPr>
        <w:t>u przeprowadzenia kompleksowego badania problemu cyberprzestępczości</w:t>
      </w:r>
      <w:r w:rsidRPr="000E4F58">
        <w:rPr>
          <w:rStyle w:val="FootnoteReference"/>
          <w:rFonts w:eastAsia="Arial Unicode MS"/>
          <w:noProof/>
        </w:rPr>
        <w:footnoteReference w:id="5"/>
      </w:r>
      <w:r w:rsidRPr="000E4F58">
        <w:rPr>
          <w:noProof/>
        </w:rPr>
        <w:t>. Na swoim siódmym (i ostatnim) posiedzeniu</w:t>
      </w:r>
      <w:r w:rsidR="00F96240" w:rsidRPr="000E4F58">
        <w:rPr>
          <w:noProof/>
        </w:rPr>
        <w:t xml:space="preserve"> w</w:t>
      </w:r>
      <w:r w:rsidR="00F96240">
        <w:rPr>
          <w:noProof/>
        </w:rPr>
        <w:t> </w:t>
      </w:r>
      <w:r w:rsidR="00F96240" w:rsidRPr="000E4F58">
        <w:rPr>
          <w:noProof/>
        </w:rPr>
        <w:t>dni</w:t>
      </w:r>
      <w:r w:rsidRPr="000E4F58">
        <w:rPr>
          <w:noProof/>
        </w:rPr>
        <w:t xml:space="preserve">ach </w:t>
      </w:r>
      <w:r w:rsidRPr="00F96240">
        <w:rPr>
          <w:noProof/>
        </w:rPr>
        <w:t>od</w:t>
      </w:r>
      <w:r w:rsidR="00F96240" w:rsidRPr="00F96240">
        <w:rPr>
          <w:noProof/>
        </w:rPr>
        <w:t> </w:t>
      </w:r>
      <w:r w:rsidRPr="00F96240">
        <w:rPr>
          <w:noProof/>
        </w:rPr>
        <w:t>6</w:t>
      </w:r>
      <w:r w:rsidRPr="000E4F58">
        <w:rPr>
          <w:noProof/>
        </w:rPr>
        <w:t xml:space="preserve"> </w:t>
      </w:r>
      <w:r w:rsidRPr="00F96240">
        <w:rPr>
          <w:noProof/>
        </w:rPr>
        <w:t>do</w:t>
      </w:r>
      <w:r w:rsidR="00F96240" w:rsidRPr="00F96240">
        <w:rPr>
          <w:noProof/>
        </w:rPr>
        <w:t> </w:t>
      </w:r>
      <w:r w:rsidRPr="00F96240">
        <w:rPr>
          <w:noProof/>
        </w:rPr>
        <w:t>8</w:t>
      </w:r>
      <w:r w:rsidRPr="000E4F58">
        <w:rPr>
          <w:noProof/>
        </w:rPr>
        <w:t xml:space="preserve"> kwietnia 20</w:t>
      </w:r>
      <w:r w:rsidRPr="00F96240">
        <w:rPr>
          <w:noProof/>
        </w:rPr>
        <w:t>21</w:t>
      </w:r>
      <w:r w:rsidR="00F96240" w:rsidRPr="00F96240">
        <w:rPr>
          <w:noProof/>
        </w:rPr>
        <w:t> </w:t>
      </w:r>
      <w:r w:rsidRPr="00F96240">
        <w:rPr>
          <w:noProof/>
        </w:rPr>
        <w:t>r.</w:t>
      </w:r>
      <w:r w:rsidRPr="000E4F58">
        <w:rPr>
          <w:noProof/>
        </w:rPr>
        <w:t xml:space="preserve"> otwarta międzyrządowa grupa ekspertów podsumowała wszystkie wstępne wnioski</w:t>
      </w:r>
      <w:r w:rsidR="00F96240" w:rsidRPr="000E4F58">
        <w:rPr>
          <w:noProof/>
        </w:rPr>
        <w:t xml:space="preserve"> i</w:t>
      </w:r>
      <w:r w:rsidR="00F96240">
        <w:rPr>
          <w:noProof/>
        </w:rPr>
        <w:t> </w:t>
      </w:r>
      <w:r w:rsidR="00F96240" w:rsidRPr="000E4F58">
        <w:rPr>
          <w:noProof/>
        </w:rPr>
        <w:t>zal</w:t>
      </w:r>
      <w:r w:rsidRPr="000E4F58">
        <w:rPr>
          <w:noProof/>
        </w:rPr>
        <w:t>ecenia zaproponowane przez państwa członkowskie ONZ</w:t>
      </w:r>
      <w:r w:rsidRPr="000E4F58">
        <w:rPr>
          <w:rStyle w:val="FootnoteReference"/>
          <w:noProof/>
        </w:rPr>
        <w:footnoteReference w:id="6"/>
      </w:r>
      <w:r w:rsidR="00F96240" w:rsidRPr="000E4F58">
        <w:rPr>
          <w:noProof/>
        </w:rPr>
        <w:t xml:space="preserve"> i</w:t>
      </w:r>
      <w:r w:rsidR="00F96240">
        <w:rPr>
          <w:noProof/>
        </w:rPr>
        <w:t> </w:t>
      </w:r>
      <w:r w:rsidR="00F96240" w:rsidRPr="000E4F58">
        <w:rPr>
          <w:noProof/>
        </w:rPr>
        <w:t>zgo</w:t>
      </w:r>
      <w:r w:rsidRPr="000E4F58">
        <w:rPr>
          <w:noProof/>
        </w:rPr>
        <w:t>dziła się przekazać Komisji ds. Zapobiegania Przestępczości</w:t>
      </w:r>
      <w:r w:rsidR="00F96240" w:rsidRPr="000E4F58">
        <w:rPr>
          <w:noProof/>
        </w:rPr>
        <w:t xml:space="preserve"> i</w:t>
      </w:r>
      <w:r w:rsidR="00F96240">
        <w:rPr>
          <w:noProof/>
        </w:rPr>
        <w:t> </w:t>
      </w:r>
      <w:r w:rsidR="00F96240" w:rsidRPr="000E4F58">
        <w:rPr>
          <w:noProof/>
        </w:rPr>
        <w:t>Wym</w:t>
      </w:r>
      <w:r w:rsidRPr="000E4F58">
        <w:rPr>
          <w:noProof/>
        </w:rPr>
        <w:t>iaru Sprawiedliwości Sądownictwa Karnego 63 uzgodnione wnioski</w:t>
      </w:r>
      <w:r w:rsidR="00F96240" w:rsidRPr="000E4F58">
        <w:rPr>
          <w:noProof/>
        </w:rPr>
        <w:t xml:space="preserve"> i</w:t>
      </w:r>
      <w:r w:rsidR="00F96240">
        <w:rPr>
          <w:noProof/>
        </w:rPr>
        <w:t> </w:t>
      </w:r>
      <w:r w:rsidR="00F96240" w:rsidRPr="000E4F58">
        <w:rPr>
          <w:noProof/>
        </w:rPr>
        <w:t>zal</w:t>
      </w:r>
      <w:r w:rsidRPr="000E4F58">
        <w:rPr>
          <w:noProof/>
        </w:rPr>
        <w:t>ecenia</w:t>
      </w:r>
      <w:r w:rsidRPr="000E4F58">
        <w:rPr>
          <w:rStyle w:val="FootnoteReference"/>
          <w:rFonts w:eastAsia="Arial Unicode MS"/>
          <w:noProof/>
        </w:rPr>
        <w:footnoteReference w:id="7"/>
      </w:r>
      <w:r w:rsidR="00F96240" w:rsidRPr="000E4F58">
        <w:rPr>
          <w:noProof/>
        </w:rPr>
        <w:t>. W</w:t>
      </w:r>
      <w:r w:rsidR="00F96240">
        <w:rPr>
          <w:noProof/>
        </w:rPr>
        <w:t> </w:t>
      </w:r>
      <w:r w:rsidR="00F96240" w:rsidRPr="000E4F58">
        <w:rPr>
          <w:noProof/>
        </w:rPr>
        <w:t>swo</w:t>
      </w:r>
      <w:r w:rsidRPr="000E4F58">
        <w:rPr>
          <w:noProof/>
        </w:rPr>
        <w:t>im badaniu grupa nie osiągnęła konsensusu co do potrzeby przyjęcia nowego międzynarodowego traktatu</w:t>
      </w:r>
      <w:r w:rsidR="00F96240" w:rsidRPr="000E4F58">
        <w:rPr>
          <w:noProof/>
        </w:rPr>
        <w:t xml:space="preserve"> o</w:t>
      </w:r>
      <w:r w:rsidR="00F96240">
        <w:rPr>
          <w:noProof/>
        </w:rPr>
        <w:t> </w:t>
      </w:r>
      <w:r w:rsidR="00F96240" w:rsidRPr="000E4F58">
        <w:rPr>
          <w:noProof/>
        </w:rPr>
        <w:t>cyb</w:t>
      </w:r>
      <w:r w:rsidRPr="000E4F58">
        <w:rPr>
          <w:noProof/>
        </w:rPr>
        <w:t>erprzestępczości.</w:t>
      </w:r>
    </w:p>
    <w:p w14:paraId="484436EE" w14:textId="7A6E2CCA" w:rsidR="00D90C58" w:rsidRPr="000E4F58" w:rsidRDefault="00D90C58" w:rsidP="000B7799">
      <w:pPr>
        <w:pBdr>
          <w:top w:val="nil"/>
          <w:left w:val="nil"/>
          <w:bottom w:val="nil"/>
          <w:right w:val="nil"/>
          <w:between w:val="nil"/>
          <w:bar w:val="nil"/>
        </w:pBdr>
        <w:spacing w:before="0" w:after="240"/>
        <w:rPr>
          <w:noProof/>
        </w:rPr>
      </w:pPr>
      <w:r w:rsidRPr="000E4F58">
        <w:rPr>
          <w:noProof/>
        </w:rPr>
        <w:t>Jednocześnie niektóre państwa członkowskie ONZ zintensyfikowały swoje wysiłki na rzecz opracowania takiego traktatu</w:t>
      </w:r>
      <w:r w:rsidR="00F96240" w:rsidRPr="000E4F58">
        <w:rPr>
          <w:noProof/>
        </w:rPr>
        <w:t xml:space="preserve"> w</w:t>
      </w:r>
      <w:r w:rsidR="00F96240">
        <w:rPr>
          <w:noProof/>
        </w:rPr>
        <w:t> </w:t>
      </w:r>
      <w:r w:rsidR="00F96240" w:rsidRPr="000E4F58">
        <w:rPr>
          <w:noProof/>
        </w:rPr>
        <w:t>ram</w:t>
      </w:r>
      <w:r w:rsidRPr="000E4F58">
        <w:rPr>
          <w:noProof/>
        </w:rPr>
        <w:t>ach obrad Trzeciego Komitetu Zgromadzenia Ogólnego ONZ</w:t>
      </w:r>
      <w:r w:rsidR="00F96240" w:rsidRPr="000E4F58">
        <w:rPr>
          <w:noProof/>
        </w:rPr>
        <w:t>. W</w:t>
      </w:r>
      <w:r w:rsidR="00F96240">
        <w:rPr>
          <w:noProof/>
        </w:rPr>
        <w:t> </w:t>
      </w:r>
      <w:r w:rsidR="00F96240" w:rsidRPr="000E4F58">
        <w:rPr>
          <w:noProof/>
        </w:rPr>
        <w:t>kon</w:t>
      </w:r>
      <w:r w:rsidRPr="000E4F58">
        <w:rPr>
          <w:noProof/>
        </w:rPr>
        <w:t xml:space="preserve">sekwencji Zgromadzenie Ogólne ONZ przyjęło rezolucję </w:t>
      </w:r>
      <w:r w:rsidRPr="00F96240">
        <w:rPr>
          <w:noProof/>
        </w:rPr>
        <w:t>nr</w:t>
      </w:r>
      <w:r w:rsidR="00F96240" w:rsidRPr="00F96240">
        <w:rPr>
          <w:noProof/>
        </w:rPr>
        <w:t> </w:t>
      </w:r>
      <w:r w:rsidRPr="00F96240">
        <w:rPr>
          <w:noProof/>
        </w:rPr>
        <w:t>7</w:t>
      </w:r>
      <w:r w:rsidRPr="000E4F58">
        <w:rPr>
          <w:noProof/>
        </w:rPr>
        <w:t>3/187</w:t>
      </w:r>
      <w:r w:rsidR="00F96240" w:rsidRPr="000E4F58">
        <w:rPr>
          <w:noProof/>
        </w:rPr>
        <w:t xml:space="preserve"> z</w:t>
      </w:r>
      <w:r w:rsidR="00F96240">
        <w:rPr>
          <w:noProof/>
        </w:rPr>
        <w:t> </w:t>
      </w:r>
      <w:r w:rsidR="00F96240" w:rsidRPr="000E4F58">
        <w:rPr>
          <w:noProof/>
        </w:rPr>
        <w:t>1</w:t>
      </w:r>
      <w:r w:rsidRPr="000E4F58">
        <w:rPr>
          <w:noProof/>
        </w:rPr>
        <w:t>7 grudnia 20</w:t>
      </w:r>
      <w:r w:rsidRPr="00F96240">
        <w:rPr>
          <w:noProof/>
        </w:rPr>
        <w:t>18</w:t>
      </w:r>
      <w:r w:rsidR="00F96240" w:rsidRPr="00F96240">
        <w:rPr>
          <w:noProof/>
        </w:rPr>
        <w:t> </w:t>
      </w:r>
      <w:r w:rsidRPr="00F96240">
        <w:rPr>
          <w:noProof/>
        </w:rPr>
        <w:t>r.</w:t>
      </w:r>
      <w:r w:rsidRPr="000E4F58">
        <w:rPr>
          <w:noProof/>
        </w:rPr>
        <w:t xml:space="preserve"> „Przeciwdziałanie wykorzystywaniu technologii informacyjno-komunikacyjnych</w:t>
      </w:r>
      <w:r w:rsidR="00F96240" w:rsidRPr="000E4F58">
        <w:rPr>
          <w:noProof/>
        </w:rPr>
        <w:t xml:space="preserve"> w</w:t>
      </w:r>
      <w:r w:rsidR="00F96240">
        <w:rPr>
          <w:noProof/>
        </w:rPr>
        <w:t> </w:t>
      </w:r>
      <w:r w:rsidR="00F96240" w:rsidRPr="000E4F58">
        <w:rPr>
          <w:noProof/>
        </w:rPr>
        <w:t>cel</w:t>
      </w:r>
      <w:r w:rsidRPr="000E4F58">
        <w:rPr>
          <w:noProof/>
        </w:rPr>
        <w:t>ach przestępczych”</w:t>
      </w:r>
      <w:r w:rsidRPr="000E4F58">
        <w:rPr>
          <w:rStyle w:val="FootnoteReference"/>
          <w:rFonts w:eastAsia="Arial Unicode MS"/>
          <w:noProof/>
        </w:rPr>
        <w:footnoteReference w:id="8"/>
      </w:r>
      <w:r w:rsidRPr="000E4F58">
        <w:rPr>
          <w:noProof/>
        </w:rPr>
        <w:t>. Następnie, 27 grudnia 20</w:t>
      </w:r>
      <w:r w:rsidRPr="00F96240">
        <w:rPr>
          <w:noProof/>
        </w:rPr>
        <w:t>19</w:t>
      </w:r>
      <w:r w:rsidR="00F96240" w:rsidRPr="00F96240">
        <w:rPr>
          <w:noProof/>
        </w:rPr>
        <w:t> </w:t>
      </w:r>
      <w:r w:rsidRPr="00F96240">
        <w:rPr>
          <w:noProof/>
        </w:rPr>
        <w:t>r.</w:t>
      </w:r>
      <w:r w:rsidRPr="000E4F58">
        <w:rPr>
          <w:noProof/>
        </w:rPr>
        <w:t xml:space="preserve">, Zgromadzenie Ogólne ONZ przyjęło drugą rezolucję, </w:t>
      </w:r>
      <w:r w:rsidRPr="00F96240">
        <w:rPr>
          <w:noProof/>
        </w:rPr>
        <w:t>nr</w:t>
      </w:r>
      <w:r w:rsidR="00F96240" w:rsidRPr="00F96240">
        <w:rPr>
          <w:noProof/>
        </w:rPr>
        <w:t> </w:t>
      </w:r>
      <w:r w:rsidRPr="00F96240">
        <w:rPr>
          <w:noProof/>
        </w:rPr>
        <w:t>7</w:t>
      </w:r>
      <w:r w:rsidRPr="000E4F58">
        <w:rPr>
          <w:noProof/>
        </w:rPr>
        <w:t xml:space="preserve">4/247, na ten sam temat, ustanawiającą otwarty międzyrządowy komitet ekspertów </w:t>
      </w:r>
      <w:r w:rsidRPr="000E4F58">
        <w:rPr>
          <w:i/>
          <w:iCs/>
          <w:noProof/>
        </w:rPr>
        <w:t>ad hoc</w:t>
      </w:r>
      <w:r w:rsidRPr="000E4F58">
        <w:rPr>
          <w:noProof/>
        </w:rPr>
        <w:t xml:space="preserve"> („komitet </w:t>
      </w:r>
      <w:r w:rsidRPr="000E4F58">
        <w:rPr>
          <w:i/>
          <w:iCs/>
          <w:noProof/>
        </w:rPr>
        <w:t>ad hoc</w:t>
      </w:r>
      <w:r w:rsidRPr="000E4F58">
        <w:rPr>
          <w:noProof/>
        </w:rPr>
        <w:t>”)</w:t>
      </w:r>
      <w:r w:rsidR="00F96240" w:rsidRPr="000E4F58">
        <w:rPr>
          <w:noProof/>
        </w:rPr>
        <w:t xml:space="preserve"> w</w:t>
      </w:r>
      <w:r w:rsidR="00F96240">
        <w:rPr>
          <w:noProof/>
        </w:rPr>
        <w:t> </w:t>
      </w:r>
      <w:r w:rsidR="00F96240" w:rsidRPr="000E4F58">
        <w:rPr>
          <w:noProof/>
        </w:rPr>
        <w:t>cel</w:t>
      </w:r>
      <w:r w:rsidRPr="000E4F58">
        <w:rPr>
          <w:noProof/>
        </w:rPr>
        <w:t>u opracowania kompleksowej konwencji międzynarodowej</w:t>
      </w:r>
      <w:r w:rsidR="00F96240" w:rsidRPr="000E4F58">
        <w:rPr>
          <w:noProof/>
        </w:rPr>
        <w:t xml:space="preserve"> w</w:t>
      </w:r>
      <w:r w:rsidR="00F96240">
        <w:rPr>
          <w:noProof/>
        </w:rPr>
        <w:t> </w:t>
      </w:r>
      <w:r w:rsidR="00F96240" w:rsidRPr="000E4F58">
        <w:rPr>
          <w:noProof/>
        </w:rPr>
        <w:t>spr</w:t>
      </w:r>
      <w:r w:rsidRPr="000E4F58">
        <w:rPr>
          <w:noProof/>
        </w:rPr>
        <w:t>awie przeciwdziałania wykorzystywaniu technologii informacyjno-komunikacyjnych</w:t>
      </w:r>
      <w:r w:rsidR="00F96240" w:rsidRPr="000E4F58">
        <w:rPr>
          <w:noProof/>
        </w:rPr>
        <w:t xml:space="preserve"> w</w:t>
      </w:r>
      <w:r w:rsidR="00F96240">
        <w:rPr>
          <w:noProof/>
        </w:rPr>
        <w:t> </w:t>
      </w:r>
      <w:r w:rsidR="00F96240" w:rsidRPr="000E4F58">
        <w:rPr>
          <w:noProof/>
        </w:rPr>
        <w:t>cel</w:t>
      </w:r>
      <w:r w:rsidRPr="000E4F58">
        <w:rPr>
          <w:noProof/>
        </w:rPr>
        <w:t>ach przestępczych</w:t>
      </w:r>
      <w:r w:rsidR="00F96240" w:rsidRPr="000E4F58">
        <w:rPr>
          <w:noProof/>
        </w:rPr>
        <w:t>. W</w:t>
      </w:r>
      <w:r w:rsidR="00F96240">
        <w:rPr>
          <w:noProof/>
        </w:rPr>
        <w:t> </w:t>
      </w:r>
      <w:r w:rsidR="00F96240" w:rsidRPr="000E4F58">
        <w:rPr>
          <w:noProof/>
        </w:rPr>
        <w:t>rez</w:t>
      </w:r>
      <w:r w:rsidRPr="000E4F58">
        <w:rPr>
          <w:noProof/>
        </w:rPr>
        <w:t xml:space="preserve">olucji określono, że komitet </w:t>
      </w:r>
      <w:r w:rsidRPr="000E4F58">
        <w:rPr>
          <w:i/>
          <w:iCs/>
          <w:noProof/>
        </w:rPr>
        <w:t>ad hoc</w:t>
      </w:r>
      <w:r w:rsidRPr="000E4F58">
        <w:rPr>
          <w:noProof/>
        </w:rPr>
        <w:t xml:space="preserve"> ma</w:t>
      </w:r>
      <w:r w:rsidR="00F96240" w:rsidRPr="000E4F58">
        <w:rPr>
          <w:noProof/>
        </w:rPr>
        <w:t xml:space="preserve"> w</w:t>
      </w:r>
      <w:r w:rsidR="00F96240">
        <w:rPr>
          <w:noProof/>
        </w:rPr>
        <w:t> </w:t>
      </w:r>
      <w:r w:rsidR="00F96240" w:rsidRPr="000E4F58">
        <w:rPr>
          <w:noProof/>
        </w:rPr>
        <w:t>peł</w:t>
      </w:r>
      <w:r w:rsidRPr="000E4F58">
        <w:rPr>
          <w:noProof/>
        </w:rPr>
        <w:t>ni uwzględnić istniejące instrumenty międzynarodowe oraz działania podejmowane na szczeblu krajowym, regionalnym</w:t>
      </w:r>
      <w:r w:rsidR="00F96240" w:rsidRPr="000E4F58">
        <w:rPr>
          <w:noProof/>
        </w:rPr>
        <w:t xml:space="preserve"> i</w:t>
      </w:r>
      <w:r w:rsidR="00F96240">
        <w:rPr>
          <w:noProof/>
        </w:rPr>
        <w:t> </w:t>
      </w:r>
      <w:r w:rsidR="00F96240" w:rsidRPr="000E4F58">
        <w:rPr>
          <w:noProof/>
        </w:rPr>
        <w:t>mię</w:t>
      </w:r>
      <w:r w:rsidRPr="000E4F58">
        <w:rPr>
          <w:noProof/>
        </w:rPr>
        <w:t>dzynarodowym</w:t>
      </w:r>
      <w:r w:rsidR="00F96240" w:rsidRPr="000E4F58">
        <w:rPr>
          <w:noProof/>
        </w:rPr>
        <w:t xml:space="preserve"> w</w:t>
      </w:r>
      <w:r w:rsidR="00F96240">
        <w:rPr>
          <w:noProof/>
        </w:rPr>
        <w:t> </w:t>
      </w:r>
      <w:r w:rsidR="00F96240" w:rsidRPr="000E4F58">
        <w:rPr>
          <w:noProof/>
        </w:rPr>
        <w:t>zak</w:t>
      </w:r>
      <w:r w:rsidRPr="000E4F58">
        <w:rPr>
          <w:noProof/>
        </w:rPr>
        <w:t>resie zwalczania wykorzystywania technologii informacyjno-komunikacyjnych</w:t>
      </w:r>
      <w:r w:rsidR="00F96240" w:rsidRPr="000E4F58">
        <w:rPr>
          <w:noProof/>
        </w:rPr>
        <w:t xml:space="preserve"> w</w:t>
      </w:r>
      <w:r w:rsidR="00F96240">
        <w:rPr>
          <w:noProof/>
        </w:rPr>
        <w:t> </w:t>
      </w:r>
      <w:r w:rsidR="00F96240" w:rsidRPr="000E4F58">
        <w:rPr>
          <w:noProof/>
        </w:rPr>
        <w:t>cel</w:t>
      </w:r>
      <w:r w:rsidRPr="000E4F58">
        <w:rPr>
          <w:noProof/>
        </w:rPr>
        <w:t>ach przestępczych,</w:t>
      </w:r>
      <w:r w:rsidR="00F96240" w:rsidRPr="000E4F58">
        <w:rPr>
          <w:noProof/>
        </w:rPr>
        <w:t xml:space="preserve"> w</w:t>
      </w:r>
      <w:r w:rsidR="00F96240">
        <w:rPr>
          <w:noProof/>
        </w:rPr>
        <w:t> </w:t>
      </w:r>
      <w:r w:rsidR="00F96240" w:rsidRPr="000E4F58">
        <w:rPr>
          <w:noProof/>
        </w:rPr>
        <w:t>szc</w:t>
      </w:r>
      <w:r w:rsidRPr="000E4F58">
        <w:rPr>
          <w:noProof/>
        </w:rPr>
        <w:t>zególności prace</w:t>
      </w:r>
      <w:r w:rsidR="00F96240" w:rsidRPr="000E4F58">
        <w:rPr>
          <w:noProof/>
        </w:rPr>
        <w:t xml:space="preserve"> i</w:t>
      </w:r>
      <w:r w:rsidR="00F96240">
        <w:rPr>
          <w:noProof/>
        </w:rPr>
        <w:t> </w:t>
      </w:r>
      <w:r w:rsidR="00F96240" w:rsidRPr="000E4F58">
        <w:rPr>
          <w:noProof/>
        </w:rPr>
        <w:t>wyn</w:t>
      </w:r>
      <w:r w:rsidRPr="000E4F58">
        <w:rPr>
          <w:noProof/>
        </w:rPr>
        <w:t>iki prac otwartej międzyrządowej grupy ekspertów</w:t>
      </w:r>
      <w:r w:rsidRPr="000E4F58">
        <w:rPr>
          <w:rStyle w:val="FootnoteReference"/>
          <w:rFonts w:eastAsia="Arial Unicode MS"/>
          <w:noProof/>
        </w:rPr>
        <w:footnoteReference w:id="9"/>
      </w:r>
      <w:r w:rsidRPr="000E4F58">
        <w:rPr>
          <w:noProof/>
        </w:rPr>
        <w:t>. 26 maja 20</w:t>
      </w:r>
      <w:r w:rsidRPr="00F96240">
        <w:rPr>
          <w:noProof/>
        </w:rPr>
        <w:t>21</w:t>
      </w:r>
      <w:r w:rsidR="00F96240" w:rsidRPr="00F96240">
        <w:rPr>
          <w:noProof/>
        </w:rPr>
        <w:t> </w:t>
      </w:r>
      <w:r w:rsidRPr="00F96240">
        <w:rPr>
          <w:noProof/>
        </w:rPr>
        <w:t>r.</w:t>
      </w:r>
      <w:r w:rsidRPr="000E4F58">
        <w:rPr>
          <w:noProof/>
        </w:rPr>
        <w:t xml:space="preserve"> Zgromadzenie Ogólne ONZ przyjęło rezolucję </w:t>
      </w:r>
      <w:r w:rsidRPr="00F96240">
        <w:rPr>
          <w:noProof/>
        </w:rPr>
        <w:t>nr</w:t>
      </w:r>
      <w:r w:rsidR="00F96240" w:rsidRPr="00F96240">
        <w:rPr>
          <w:noProof/>
        </w:rPr>
        <w:t> </w:t>
      </w:r>
      <w:r w:rsidRPr="00F96240">
        <w:rPr>
          <w:noProof/>
        </w:rPr>
        <w:t>7</w:t>
      </w:r>
      <w:r w:rsidRPr="000E4F58">
        <w:rPr>
          <w:noProof/>
        </w:rPr>
        <w:t>5/282,</w:t>
      </w:r>
      <w:r w:rsidR="00F96240" w:rsidRPr="000E4F58">
        <w:rPr>
          <w:noProof/>
        </w:rPr>
        <w:t xml:space="preserve"> w</w:t>
      </w:r>
      <w:r w:rsidR="00F96240">
        <w:rPr>
          <w:noProof/>
        </w:rPr>
        <w:t> </w:t>
      </w:r>
      <w:r w:rsidR="00F96240" w:rsidRPr="000E4F58">
        <w:rPr>
          <w:noProof/>
        </w:rPr>
        <w:t>któ</w:t>
      </w:r>
      <w:r w:rsidRPr="000E4F58">
        <w:rPr>
          <w:noProof/>
        </w:rPr>
        <w:t>rej określono zasady prowadzenia negocjacji</w:t>
      </w:r>
      <w:r w:rsidRPr="000E4F58">
        <w:rPr>
          <w:rStyle w:val="FootnoteReference"/>
          <w:rFonts w:eastAsia="Arial Unicode MS"/>
          <w:noProof/>
        </w:rPr>
        <w:footnoteReference w:id="10"/>
      </w:r>
      <w:r w:rsidRPr="000E4F58">
        <w:rPr>
          <w:noProof/>
        </w:rPr>
        <w:t xml:space="preserve">. Zgromadzenie Ogólne ONZ postanowiło między innymi, że komitet </w:t>
      </w:r>
      <w:r w:rsidRPr="000E4F58">
        <w:rPr>
          <w:i/>
          <w:iCs/>
          <w:noProof/>
        </w:rPr>
        <w:t>ad hoc</w:t>
      </w:r>
      <w:r w:rsidRPr="000E4F58">
        <w:rPr>
          <w:noProof/>
        </w:rPr>
        <w:t xml:space="preserve"> powinien zwołać co najmniej sześć sesji trwających </w:t>
      </w:r>
      <w:r w:rsidRPr="00F96240">
        <w:rPr>
          <w:noProof/>
        </w:rPr>
        <w:t>po</w:t>
      </w:r>
      <w:r w:rsidR="00F96240" w:rsidRPr="00F96240">
        <w:rPr>
          <w:noProof/>
        </w:rPr>
        <w:t> </w:t>
      </w:r>
      <w:r w:rsidRPr="00F96240">
        <w:rPr>
          <w:noProof/>
        </w:rPr>
        <w:t>1</w:t>
      </w:r>
      <w:r w:rsidRPr="000E4F58">
        <w:rPr>
          <w:noProof/>
        </w:rPr>
        <w:t>0 dni każda, które rozpoczną się</w:t>
      </w:r>
      <w:r w:rsidR="00F96240" w:rsidRPr="000E4F58">
        <w:rPr>
          <w:noProof/>
        </w:rPr>
        <w:t xml:space="preserve"> w</w:t>
      </w:r>
      <w:r w:rsidR="00F96240">
        <w:rPr>
          <w:noProof/>
        </w:rPr>
        <w:t> </w:t>
      </w:r>
      <w:r w:rsidR="00F96240" w:rsidRPr="000E4F58">
        <w:rPr>
          <w:noProof/>
        </w:rPr>
        <w:t>sty</w:t>
      </w:r>
      <w:r w:rsidRPr="000E4F58">
        <w:rPr>
          <w:noProof/>
        </w:rPr>
        <w:t>czniu 20</w:t>
      </w:r>
      <w:r w:rsidRPr="00F96240">
        <w:rPr>
          <w:noProof/>
        </w:rPr>
        <w:t>22</w:t>
      </w:r>
      <w:r w:rsidR="00F96240" w:rsidRPr="00F96240">
        <w:rPr>
          <w:noProof/>
        </w:rPr>
        <w:t> </w:t>
      </w:r>
      <w:r w:rsidRPr="00F96240">
        <w:rPr>
          <w:noProof/>
        </w:rPr>
        <w:t>r.</w:t>
      </w:r>
      <w:r w:rsidRPr="000E4F58">
        <w:rPr>
          <w:noProof/>
        </w:rPr>
        <w:t>, oraz sesję podsumowującą, podczas której przedstawi projekt konwencji Zgromadzeniu Ogólnemu ONZ na jego siedemdziesiątej ósmej sesji</w:t>
      </w:r>
      <w:r w:rsidR="00F96240" w:rsidRPr="000E4F58">
        <w:rPr>
          <w:noProof/>
        </w:rPr>
        <w:t xml:space="preserve"> w</w:t>
      </w:r>
      <w:r w:rsidR="00F96240">
        <w:rPr>
          <w:noProof/>
        </w:rPr>
        <w:t> </w:t>
      </w:r>
      <w:r w:rsidR="00F96240" w:rsidRPr="000E4F58">
        <w:rPr>
          <w:noProof/>
        </w:rPr>
        <w:t>2</w:t>
      </w:r>
      <w:r w:rsidRPr="000E4F58">
        <w:rPr>
          <w:noProof/>
        </w:rPr>
        <w:t>0</w:t>
      </w:r>
      <w:r w:rsidRPr="00F96240">
        <w:rPr>
          <w:noProof/>
        </w:rPr>
        <w:t>24</w:t>
      </w:r>
      <w:r w:rsidR="00F96240" w:rsidRPr="00F96240">
        <w:rPr>
          <w:noProof/>
        </w:rPr>
        <w:t> </w:t>
      </w:r>
      <w:r w:rsidRPr="00F96240">
        <w:rPr>
          <w:noProof/>
        </w:rPr>
        <w:t>r.</w:t>
      </w:r>
      <w:r w:rsidRPr="000E4F58">
        <w:rPr>
          <w:noProof/>
        </w:rPr>
        <w:t xml:space="preserve"> Postanowiono też, że komitet </w:t>
      </w:r>
      <w:r w:rsidRPr="000E4F58">
        <w:rPr>
          <w:i/>
          <w:iCs/>
          <w:noProof/>
        </w:rPr>
        <w:t>ad hoc</w:t>
      </w:r>
      <w:r w:rsidRPr="000E4F58">
        <w:rPr>
          <w:noProof/>
        </w:rPr>
        <w:t xml:space="preserve"> zorganizuje pierwszą, trzecią</w:t>
      </w:r>
      <w:r w:rsidR="00F96240" w:rsidRPr="000E4F58">
        <w:rPr>
          <w:noProof/>
        </w:rPr>
        <w:t xml:space="preserve"> i</w:t>
      </w:r>
      <w:r w:rsidR="00F96240">
        <w:rPr>
          <w:noProof/>
        </w:rPr>
        <w:t> </w:t>
      </w:r>
      <w:r w:rsidR="00F96240" w:rsidRPr="000E4F58">
        <w:rPr>
          <w:noProof/>
        </w:rPr>
        <w:t>szó</w:t>
      </w:r>
      <w:r w:rsidRPr="000E4F58">
        <w:rPr>
          <w:noProof/>
        </w:rPr>
        <w:t>stą sesję negocjacji</w:t>
      </w:r>
      <w:r w:rsidR="00F96240" w:rsidRPr="000E4F58">
        <w:rPr>
          <w:noProof/>
        </w:rPr>
        <w:t xml:space="preserve"> w</w:t>
      </w:r>
      <w:r w:rsidR="00F96240">
        <w:rPr>
          <w:noProof/>
        </w:rPr>
        <w:t> </w:t>
      </w:r>
      <w:r w:rsidR="00F96240" w:rsidRPr="000E4F58">
        <w:rPr>
          <w:noProof/>
        </w:rPr>
        <w:t>Now</w:t>
      </w:r>
      <w:r w:rsidRPr="000E4F58">
        <w:rPr>
          <w:noProof/>
        </w:rPr>
        <w:t>ym Jorku, zaś drugą, czwartą</w:t>
      </w:r>
      <w:r w:rsidR="00F96240" w:rsidRPr="000E4F58">
        <w:rPr>
          <w:noProof/>
        </w:rPr>
        <w:t xml:space="preserve"> i</w:t>
      </w:r>
      <w:r w:rsidR="00F96240">
        <w:rPr>
          <w:noProof/>
        </w:rPr>
        <w:t> </w:t>
      </w:r>
      <w:r w:rsidR="00F96240" w:rsidRPr="000E4F58">
        <w:rPr>
          <w:noProof/>
        </w:rPr>
        <w:t>pią</w:t>
      </w:r>
      <w:r w:rsidRPr="000E4F58">
        <w:rPr>
          <w:noProof/>
        </w:rPr>
        <w:t>tą –</w:t>
      </w:r>
      <w:r w:rsidR="00F96240" w:rsidRPr="000E4F58">
        <w:rPr>
          <w:noProof/>
        </w:rPr>
        <w:t xml:space="preserve"> w</w:t>
      </w:r>
      <w:r w:rsidR="00F96240">
        <w:rPr>
          <w:noProof/>
        </w:rPr>
        <w:t> </w:t>
      </w:r>
      <w:r w:rsidR="00F96240" w:rsidRPr="000E4F58">
        <w:rPr>
          <w:noProof/>
        </w:rPr>
        <w:t>Wie</w:t>
      </w:r>
      <w:r w:rsidRPr="000E4F58">
        <w:rPr>
          <w:noProof/>
        </w:rPr>
        <w:t>dniu. 20 stycznia 20</w:t>
      </w:r>
      <w:r w:rsidRPr="00F96240">
        <w:rPr>
          <w:noProof/>
        </w:rPr>
        <w:t>22</w:t>
      </w:r>
      <w:r w:rsidR="00F96240" w:rsidRPr="00F96240">
        <w:rPr>
          <w:noProof/>
        </w:rPr>
        <w:t> </w:t>
      </w:r>
      <w:r w:rsidRPr="00F96240">
        <w:rPr>
          <w:noProof/>
        </w:rPr>
        <w:t>r.</w:t>
      </w:r>
      <w:r w:rsidRPr="000E4F58">
        <w:rPr>
          <w:noProof/>
        </w:rPr>
        <w:t xml:space="preserve"> Zgromadzenie Ogólne ONZ podjęło decyzję</w:t>
      </w:r>
      <w:r w:rsidR="00F96240" w:rsidRPr="000E4F58">
        <w:rPr>
          <w:noProof/>
        </w:rPr>
        <w:t xml:space="preserve"> o</w:t>
      </w:r>
      <w:r w:rsidR="00F96240">
        <w:rPr>
          <w:noProof/>
        </w:rPr>
        <w:t> </w:t>
      </w:r>
      <w:r w:rsidR="00F96240" w:rsidRPr="000E4F58">
        <w:rPr>
          <w:noProof/>
        </w:rPr>
        <w:t>prz</w:t>
      </w:r>
      <w:r w:rsidRPr="000E4F58">
        <w:rPr>
          <w:noProof/>
        </w:rPr>
        <w:t>ełożeniu pierwszej sesji na późniejszy termin ze względu na sytuację związaną</w:t>
      </w:r>
      <w:r w:rsidR="00F96240" w:rsidRPr="000E4F58">
        <w:rPr>
          <w:noProof/>
        </w:rPr>
        <w:t xml:space="preserve"> z</w:t>
      </w:r>
      <w:r w:rsidR="00F96240">
        <w:rPr>
          <w:noProof/>
        </w:rPr>
        <w:t> </w:t>
      </w:r>
      <w:r w:rsidR="00F96240" w:rsidRPr="000E4F58">
        <w:rPr>
          <w:noProof/>
        </w:rPr>
        <w:t>pan</w:t>
      </w:r>
      <w:r w:rsidRPr="000E4F58">
        <w:rPr>
          <w:noProof/>
        </w:rPr>
        <w:t>demią COVID-19</w:t>
      </w:r>
      <w:r w:rsidR="00F96240" w:rsidRPr="000E4F58">
        <w:rPr>
          <w:noProof/>
        </w:rPr>
        <w:t xml:space="preserve"> w</w:t>
      </w:r>
      <w:r w:rsidR="00F96240">
        <w:rPr>
          <w:noProof/>
        </w:rPr>
        <w:t> </w:t>
      </w:r>
      <w:r w:rsidR="00F96240" w:rsidRPr="000E4F58">
        <w:rPr>
          <w:noProof/>
        </w:rPr>
        <w:t>Now</w:t>
      </w:r>
      <w:r w:rsidRPr="000E4F58">
        <w:rPr>
          <w:noProof/>
        </w:rPr>
        <w:t xml:space="preserve">ym Jorku. </w:t>
      </w:r>
    </w:p>
    <w:p w14:paraId="522DC0D7" w14:textId="381FF49D" w:rsidR="004C5131" w:rsidRPr="000E4F58" w:rsidRDefault="00D90C58" w:rsidP="004C5131">
      <w:pPr>
        <w:pBdr>
          <w:top w:val="nil"/>
          <w:left w:val="nil"/>
          <w:bottom w:val="nil"/>
          <w:right w:val="nil"/>
          <w:between w:val="nil"/>
          <w:bar w:val="nil"/>
        </w:pBdr>
        <w:spacing w:before="0" w:after="240"/>
        <w:rPr>
          <w:noProof/>
        </w:rPr>
      </w:pPr>
      <w:r w:rsidRPr="000E4F58">
        <w:rPr>
          <w:noProof/>
        </w:rPr>
        <w:t>Niniejszy wniosek ma na celu zapewnienie odpowiedniego udziału Unii Europejskiej</w:t>
      </w:r>
      <w:r w:rsidR="00F96240" w:rsidRPr="000E4F58">
        <w:rPr>
          <w:noProof/>
        </w:rPr>
        <w:t xml:space="preserve"> w</w:t>
      </w:r>
      <w:r w:rsidR="00F96240">
        <w:rPr>
          <w:noProof/>
        </w:rPr>
        <w:t> </w:t>
      </w:r>
      <w:r w:rsidR="00F96240" w:rsidRPr="000E4F58">
        <w:rPr>
          <w:noProof/>
        </w:rPr>
        <w:t>tyc</w:t>
      </w:r>
      <w:r w:rsidRPr="000E4F58">
        <w:rPr>
          <w:noProof/>
        </w:rPr>
        <w:t>h negocjacjach, ponieważ oczekuje się, że będą one dotyczyć elementów związanych</w:t>
      </w:r>
      <w:r w:rsidR="00F96240" w:rsidRPr="000E4F58">
        <w:rPr>
          <w:noProof/>
        </w:rPr>
        <w:t xml:space="preserve"> z</w:t>
      </w:r>
      <w:r w:rsidR="00F96240">
        <w:rPr>
          <w:noProof/>
        </w:rPr>
        <w:t> </w:t>
      </w:r>
      <w:r w:rsidR="00F96240" w:rsidRPr="000E4F58">
        <w:rPr>
          <w:noProof/>
        </w:rPr>
        <w:t>prz</w:t>
      </w:r>
      <w:r w:rsidRPr="000E4F58">
        <w:rPr>
          <w:noProof/>
        </w:rPr>
        <w:t>episami</w:t>
      </w:r>
      <w:r w:rsidR="00F96240" w:rsidRPr="000E4F58">
        <w:rPr>
          <w:noProof/>
        </w:rPr>
        <w:t xml:space="preserve"> i</w:t>
      </w:r>
      <w:r w:rsidR="00F96240">
        <w:rPr>
          <w:noProof/>
        </w:rPr>
        <w:t> </w:t>
      </w:r>
      <w:r w:rsidR="00F96240" w:rsidRPr="000E4F58">
        <w:rPr>
          <w:noProof/>
        </w:rPr>
        <w:t>kom</w:t>
      </w:r>
      <w:r w:rsidRPr="000E4F58">
        <w:rPr>
          <w:noProof/>
        </w:rPr>
        <w:t>petencjami UE, zwłaszcza</w:t>
      </w:r>
      <w:r w:rsidR="00F96240" w:rsidRPr="000E4F58">
        <w:rPr>
          <w:noProof/>
        </w:rPr>
        <w:t xml:space="preserve"> w</w:t>
      </w:r>
      <w:r w:rsidR="00F96240">
        <w:rPr>
          <w:noProof/>
        </w:rPr>
        <w:t> </w:t>
      </w:r>
      <w:r w:rsidR="00F96240" w:rsidRPr="000E4F58">
        <w:rPr>
          <w:noProof/>
        </w:rPr>
        <w:t>dzi</w:t>
      </w:r>
      <w:r w:rsidRPr="000E4F58">
        <w:rPr>
          <w:noProof/>
        </w:rPr>
        <w:t xml:space="preserve">edzinie cyberprzestępczości. Art. 3 </w:t>
      </w:r>
      <w:r w:rsidRPr="00F96240">
        <w:rPr>
          <w:noProof/>
        </w:rPr>
        <w:t>ust.</w:t>
      </w:r>
      <w:r w:rsidR="00F96240" w:rsidRPr="00F96240">
        <w:rPr>
          <w:noProof/>
        </w:rPr>
        <w:t> </w:t>
      </w:r>
      <w:r w:rsidRPr="00F96240">
        <w:rPr>
          <w:noProof/>
        </w:rPr>
        <w:t>2</w:t>
      </w:r>
      <w:r w:rsidRPr="000E4F58">
        <w:rPr>
          <w:noProof/>
        </w:rPr>
        <w:t xml:space="preserve"> Traktatu</w:t>
      </w:r>
      <w:r w:rsidR="00F96240" w:rsidRPr="000E4F58">
        <w:rPr>
          <w:noProof/>
        </w:rPr>
        <w:t xml:space="preserve"> o</w:t>
      </w:r>
      <w:r w:rsidR="00F96240">
        <w:rPr>
          <w:noProof/>
        </w:rPr>
        <w:t> </w:t>
      </w:r>
      <w:r w:rsidR="00F96240" w:rsidRPr="000E4F58">
        <w:rPr>
          <w:noProof/>
        </w:rPr>
        <w:t>fun</w:t>
      </w:r>
      <w:r w:rsidRPr="000E4F58">
        <w:rPr>
          <w:noProof/>
        </w:rPr>
        <w:t>kcjonowaniu Unii Europejskiej (TFUE) stanowi, że „Unia ma [...] wyłączną kompetencję do zawierania umów międzynarodowych [...]</w:t>
      </w:r>
      <w:r w:rsidR="00F96240" w:rsidRPr="000E4F58">
        <w:rPr>
          <w:noProof/>
        </w:rPr>
        <w:t xml:space="preserve"> w</w:t>
      </w:r>
      <w:r w:rsidR="00F96240">
        <w:rPr>
          <w:noProof/>
        </w:rPr>
        <w:t> </w:t>
      </w:r>
      <w:r w:rsidR="00F96240" w:rsidRPr="000E4F58">
        <w:rPr>
          <w:noProof/>
        </w:rPr>
        <w:t>zak</w:t>
      </w:r>
      <w:r w:rsidRPr="000E4F58">
        <w:rPr>
          <w:noProof/>
        </w:rPr>
        <w:t>resie,</w:t>
      </w:r>
      <w:r w:rsidR="00F96240" w:rsidRPr="000E4F58">
        <w:rPr>
          <w:noProof/>
        </w:rPr>
        <w:t xml:space="preserve"> w</w:t>
      </w:r>
      <w:r w:rsidR="00F96240">
        <w:rPr>
          <w:noProof/>
        </w:rPr>
        <w:t> </w:t>
      </w:r>
      <w:r w:rsidR="00F96240" w:rsidRPr="000E4F58">
        <w:rPr>
          <w:noProof/>
        </w:rPr>
        <w:t>jak</w:t>
      </w:r>
      <w:r w:rsidRPr="000E4F58">
        <w:rPr>
          <w:noProof/>
        </w:rPr>
        <w:t>im ich zawarcie może wpływać na wspólne zasady lub zmieniać ich zakres”. Umowa międzynarodowa może wpływać na wspólne zasady lub zmieniać ich zakres, jeżeli obszar objęty umową pokrywa się</w:t>
      </w:r>
      <w:r w:rsidR="00F96240" w:rsidRPr="000E4F58">
        <w:rPr>
          <w:noProof/>
        </w:rPr>
        <w:t xml:space="preserve"> z</w:t>
      </w:r>
      <w:r w:rsidR="00F96240">
        <w:rPr>
          <w:noProof/>
        </w:rPr>
        <w:t> </w:t>
      </w:r>
      <w:r w:rsidR="00F96240" w:rsidRPr="000E4F58">
        <w:rPr>
          <w:noProof/>
        </w:rPr>
        <w:t>prz</w:t>
      </w:r>
      <w:r w:rsidRPr="000E4F58">
        <w:rPr>
          <w:noProof/>
        </w:rPr>
        <w:t>episami Unii lub jest</w:t>
      </w:r>
      <w:r w:rsidR="00F96240" w:rsidRPr="000E4F58">
        <w:rPr>
          <w:noProof/>
        </w:rPr>
        <w:t xml:space="preserve"> w</w:t>
      </w:r>
      <w:r w:rsidR="00F96240">
        <w:rPr>
          <w:noProof/>
        </w:rPr>
        <w:t> </w:t>
      </w:r>
      <w:r w:rsidR="00F96240" w:rsidRPr="000E4F58">
        <w:rPr>
          <w:noProof/>
        </w:rPr>
        <w:t>zna</w:t>
      </w:r>
      <w:r w:rsidRPr="000E4F58">
        <w:rPr>
          <w:noProof/>
        </w:rPr>
        <w:t>cznym stopniu uwzględniony</w:t>
      </w:r>
      <w:r w:rsidR="00F96240" w:rsidRPr="000E4F58">
        <w:rPr>
          <w:noProof/>
        </w:rPr>
        <w:t xml:space="preserve"> w</w:t>
      </w:r>
      <w:r w:rsidR="00F96240">
        <w:rPr>
          <w:noProof/>
        </w:rPr>
        <w:t> </w:t>
      </w:r>
      <w:r w:rsidR="00F96240" w:rsidRPr="000E4F58">
        <w:rPr>
          <w:noProof/>
        </w:rPr>
        <w:t>pra</w:t>
      </w:r>
      <w:r w:rsidRPr="000E4F58">
        <w:rPr>
          <w:noProof/>
        </w:rPr>
        <w:t xml:space="preserve">wie Unii. </w:t>
      </w:r>
    </w:p>
    <w:p w14:paraId="45FAEF85" w14:textId="632FDFCD" w:rsidR="004C5131" w:rsidRPr="000E4F58" w:rsidRDefault="004C5131" w:rsidP="004C5131">
      <w:pPr>
        <w:pBdr>
          <w:top w:val="nil"/>
          <w:left w:val="nil"/>
          <w:bottom w:val="nil"/>
          <w:right w:val="nil"/>
          <w:between w:val="nil"/>
          <w:bar w:val="nil"/>
        </w:pBdr>
        <w:spacing w:before="0" w:after="240"/>
        <w:rPr>
          <w:rFonts w:eastAsia="Arial Unicode MS"/>
          <w:noProof/>
        </w:rPr>
      </w:pPr>
      <w:r w:rsidRPr="000E4F58">
        <w:rPr>
          <w:noProof/>
        </w:rPr>
        <w:t>Biorąc pod uwagę, że negocjacje dotyczą kwestii wchodzących</w:t>
      </w:r>
      <w:r w:rsidR="00F96240" w:rsidRPr="000E4F58">
        <w:rPr>
          <w:noProof/>
        </w:rPr>
        <w:t xml:space="preserve"> w</w:t>
      </w:r>
      <w:r w:rsidR="00F96240">
        <w:rPr>
          <w:noProof/>
        </w:rPr>
        <w:t> </w:t>
      </w:r>
      <w:r w:rsidR="00F96240" w:rsidRPr="000E4F58">
        <w:rPr>
          <w:noProof/>
        </w:rPr>
        <w:t>zak</w:t>
      </w:r>
      <w:r w:rsidRPr="000E4F58">
        <w:rPr>
          <w:noProof/>
        </w:rPr>
        <w:t>res kompetencji Unii innych niż WPZiB, które mają być głównymi elementami przewidywanej umowy, Komisja powinna zostać wyznaczona na przewodniczącego zespołu negocjacyjnego</w:t>
      </w:r>
      <w:r w:rsidR="00F96240" w:rsidRPr="000E4F58">
        <w:rPr>
          <w:noProof/>
        </w:rPr>
        <w:t>. W</w:t>
      </w:r>
      <w:r w:rsidR="00F96240">
        <w:rPr>
          <w:noProof/>
        </w:rPr>
        <w:t> </w:t>
      </w:r>
      <w:r w:rsidR="00F96240" w:rsidRPr="000E4F58">
        <w:rPr>
          <w:noProof/>
        </w:rPr>
        <w:t>spr</w:t>
      </w:r>
      <w:r w:rsidRPr="000E4F58">
        <w:rPr>
          <w:noProof/>
        </w:rPr>
        <w:t>awach dotyczących wspólnej polityki zagranicznej</w:t>
      </w:r>
      <w:r w:rsidR="00F96240" w:rsidRPr="000E4F58">
        <w:rPr>
          <w:noProof/>
        </w:rPr>
        <w:t xml:space="preserve"> i</w:t>
      </w:r>
      <w:r w:rsidR="00F96240">
        <w:rPr>
          <w:noProof/>
        </w:rPr>
        <w:t> </w:t>
      </w:r>
      <w:r w:rsidR="00F96240" w:rsidRPr="000E4F58">
        <w:rPr>
          <w:noProof/>
        </w:rPr>
        <w:t>bez</w:t>
      </w:r>
      <w:r w:rsidRPr="000E4F58">
        <w:rPr>
          <w:noProof/>
        </w:rPr>
        <w:t>pieczeństwa negocjacje prowadzi Wysoki Przedstawiciel Unii do Spraw Zagranicznych</w:t>
      </w:r>
      <w:r w:rsidR="00F96240" w:rsidRPr="000E4F58">
        <w:rPr>
          <w:noProof/>
        </w:rPr>
        <w:t xml:space="preserve"> i</w:t>
      </w:r>
      <w:r w:rsidR="00F96240">
        <w:rPr>
          <w:noProof/>
        </w:rPr>
        <w:t> </w:t>
      </w:r>
      <w:r w:rsidR="00F96240" w:rsidRPr="000E4F58">
        <w:rPr>
          <w:noProof/>
        </w:rPr>
        <w:t>Pol</w:t>
      </w:r>
      <w:r w:rsidRPr="000E4F58">
        <w:rPr>
          <w:noProof/>
        </w:rPr>
        <w:t>ityki Bezpieczeństwa jako członek zespołu. Główny negocjator</w:t>
      </w:r>
      <w:r w:rsidR="00F96240" w:rsidRPr="000E4F58">
        <w:rPr>
          <w:noProof/>
        </w:rPr>
        <w:t xml:space="preserve"> z</w:t>
      </w:r>
      <w:r w:rsidR="00F96240">
        <w:rPr>
          <w:noProof/>
        </w:rPr>
        <w:t> </w:t>
      </w:r>
      <w:r w:rsidR="00F96240" w:rsidRPr="000E4F58">
        <w:rPr>
          <w:noProof/>
        </w:rPr>
        <w:t>ram</w:t>
      </w:r>
      <w:r w:rsidRPr="000E4F58">
        <w:rPr>
          <w:noProof/>
        </w:rPr>
        <w:t>ienia Komisji zapewni ogólną spójność umowy. Pod zwierzchnictwem głównego negocjatora służby Komisji będą odgrywać wiodącą rolę</w:t>
      </w:r>
      <w:r w:rsidR="00F96240" w:rsidRPr="000E4F58">
        <w:rPr>
          <w:noProof/>
        </w:rPr>
        <w:t xml:space="preserve"> w</w:t>
      </w:r>
      <w:r w:rsidR="00F96240">
        <w:rPr>
          <w:noProof/>
        </w:rPr>
        <w:t> </w:t>
      </w:r>
      <w:r w:rsidR="00F96240" w:rsidRPr="000E4F58">
        <w:rPr>
          <w:noProof/>
        </w:rPr>
        <w:t>odn</w:t>
      </w:r>
      <w:r w:rsidRPr="000E4F58">
        <w:rPr>
          <w:noProof/>
        </w:rPr>
        <w:t>iesieniu do części przewidywanej umowy nieobjętych WPZiB, natomiast</w:t>
      </w:r>
      <w:r w:rsidR="00F96240" w:rsidRPr="000E4F58">
        <w:rPr>
          <w:noProof/>
        </w:rPr>
        <w:t xml:space="preserve"> w</w:t>
      </w:r>
      <w:r w:rsidR="00F96240">
        <w:rPr>
          <w:noProof/>
        </w:rPr>
        <w:t> </w:t>
      </w:r>
      <w:r w:rsidR="00F96240" w:rsidRPr="000E4F58">
        <w:rPr>
          <w:noProof/>
        </w:rPr>
        <w:t>odn</w:t>
      </w:r>
      <w:r w:rsidRPr="000E4F58">
        <w:rPr>
          <w:noProof/>
        </w:rPr>
        <w:t>iesieniu do części przewidywanej umowy, które wchodzą</w:t>
      </w:r>
      <w:r w:rsidR="00F96240" w:rsidRPr="000E4F58">
        <w:rPr>
          <w:noProof/>
        </w:rPr>
        <w:t xml:space="preserve"> w</w:t>
      </w:r>
      <w:r w:rsidR="00F96240">
        <w:rPr>
          <w:noProof/>
        </w:rPr>
        <w:t> </w:t>
      </w:r>
      <w:r w:rsidR="00F96240" w:rsidRPr="000E4F58">
        <w:rPr>
          <w:noProof/>
        </w:rPr>
        <w:t>zak</w:t>
      </w:r>
      <w:r w:rsidRPr="000E4F58">
        <w:rPr>
          <w:noProof/>
        </w:rPr>
        <w:t xml:space="preserve">res WPZiB, wiodącą rolę odgrywać będzie ESDZ. </w:t>
      </w:r>
    </w:p>
    <w:p w14:paraId="79DA91EA" w14:textId="4D55A5A2" w:rsidR="004C5131" w:rsidRPr="000E4F58" w:rsidRDefault="00D90C58" w:rsidP="004C5131">
      <w:pPr>
        <w:pBdr>
          <w:top w:val="nil"/>
          <w:left w:val="nil"/>
          <w:bottom w:val="nil"/>
          <w:right w:val="nil"/>
          <w:between w:val="nil"/>
          <w:bar w:val="nil"/>
        </w:pBdr>
        <w:spacing w:before="0" w:after="240"/>
        <w:rPr>
          <w:rFonts w:eastAsia="Arial Unicode MS"/>
          <w:noProof/>
        </w:rPr>
      </w:pPr>
      <w:r w:rsidRPr="000E4F58">
        <w:rPr>
          <w:noProof/>
        </w:rPr>
        <w:t xml:space="preserve">Niniejsze zalecenie przedkłada się Radzie na podstawie </w:t>
      </w:r>
      <w:r w:rsidRPr="00F96240">
        <w:rPr>
          <w:noProof/>
        </w:rPr>
        <w:t>art.</w:t>
      </w:r>
      <w:r w:rsidR="00F96240" w:rsidRPr="00F96240">
        <w:rPr>
          <w:noProof/>
        </w:rPr>
        <w:t> </w:t>
      </w:r>
      <w:r w:rsidRPr="00F96240">
        <w:rPr>
          <w:noProof/>
        </w:rPr>
        <w:t>2</w:t>
      </w:r>
      <w:r w:rsidRPr="000E4F58">
        <w:rPr>
          <w:noProof/>
        </w:rPr>
        <w:t>18 TFUE</w:t>
      </w:r>
      <w:r w:rsidR="00F96240" w:rsidRPr="000E4F58">
        <w:rPr>
          <w:noProof/>
        </w:rPr>
        <w:t xml:space="preserve"> w</w:t>
      </w:r>
      <w:r w:rsidR="00F96240">
        <w:rPr>
          <w:noProof/>
        </w:rPr>
        <w:t> </w:t>
      </w:r>
      <w:r w:rsidR="00F96240" w:rsidRPr="000E4F58">
        <w:rPr>
          <w:noProof/>
        </w:rPr>
        <w:t>cel</w:t>
      </w:r>
      <w:r w:rsidRPr="000E4F58">
        <w:rPr>
          <w:noProof/>
        </w:rPr>
        <w:t>u uzyskania upoważnienia do negocjowania przyszłej konwencji ONZ</w:t>
      </w:r>
      <w:r w:rsidR="00F96240" w:rsidRPr="000E4F58">
        <w:rPr>
          <w:noProof/>
        </w:rPr>
        <w:t xml:space="preserve"> w</w:t>
      </w:r>
      <w:r w:rsidR="00F96240">
        <w:rPr>
          <w:noProof/>
        </w:rPr>
        <w:t> </w:t>
      </w:r>
      <w:r w:rsidR="00F96240" w:rsidRPr="000E4F58">
        <w:rPr>
          <w:noProof/>
        </w:rPr>
        <w:t>imi</w:t>
      </w:r>
      <w:r w:rsidRPr="000E4F58">
        <w:rPr>
          <w:noProof/>
        </w:rPr>
        <w:t>eniu Unii Europejskiej, do wydania wytycznych negocjacyjnych oraz do wyznaczenia Komisji jako negocjatora.</w:t>
      </w:r>
    </w:p>
    <w:p w14:paraId="6C0BF5C8" w14:textId="77777777" w:rsidR="004C5131" w:rsidRPr="000E4F58" w:rsidRDefault="004C5131" w:rsidP="00D90C58">
      <w:pPr>
        <w:pBdr>
          <w:top w:val="nil"/>
          <w:left w:val="nil"/>
          <w:bottom w:val="nil"/>
          <w:right w:val="nil"/>
          <w:between w:val="nil"/>
          <w:bar w:val="nil"/>
        </w:pBdr>
        <w:spacing w:before="0" w:after="240"/>
        <w:rPr>
          <w:rFonts w:eastAsia="Arial Unicode MS"/>
          <w:noProof/>
        </w:rPr>
      </w:pPr>
    </w:p>
    <w:p w14:paraId="117DBCA2" w14:textId="5A89D6A2" w:rsidR="00B978EF" w:rsidRPr="000E4F58" w:rsidRDefault="00B978EF" w:rsidP="00EC66B3">
      <w:pPr>
        <w:pStyle w:val="ManualHeading2"/>
        <w:rPr>
          <w:rFonts w:eastAsia="Arial Unicode MS"/>
          <w:noProof/>
          <w:color w:val="000000"/>
          <w:u w:color="000000"/>
          <w:bdr w:val="nil"/>
        </w:rPr>
      </w:pPr>
      <w:r w:rsidRPr="000E4F58">
        <w:rPr>
          <w:noProof/>
          <w:color w:val="000000"/>
          <w:u w:color="000000"/>
          <w:bdr w:val="nil"/>
        </w:rPr>
        <w:t>•</w:t>
      </w:r>
      <w:r w:rsidRPr="000E4F58">
        <w:rPr>
          <w:noProof/>
        </w:rPr>
        <w:tab/>
        <w:t>Spójność</w:t>
      </w:r>
      <w:r w:rsidR="00F96240" w:rsidRPr="000E4F58">
        <w:rPr>
          <w:noProof/>
        </w:rPr>
        <w:t xml:space="preserve"> z</w:t>
      </w:r>
      <w:r w:rsidR="00F96240">
        <w:rPr>
          <w:noProof/>
        </w:rPr>
        <w:t> </w:t>
      </w:r>
      <w:r w:rsidR="00F96240" w:rsidRPr="000E4F58">
        <w:rPr>
          <w:noProof/>
        </w:rPr>
        <w:t>prz</w:t>
      </w:r>
      <w:r w:rsidRPr="000E4F58">
        <w:rPr>
          <w:noProof/>
        </w:rPr>
        <w:t>episami obowiązującymi</w:t>
      </w:r>
      <w:r w:rsidR="00F96240" w:rsidRPr="000E4F58">
        <w:rPr>
          <w:noProof/>
        </w:rPr>
        <w:t xml:space="preserve"> w</w:t>
      </w:r>
      <w:r w:rsidR="00F96240">
        <w:rPr>
          <w:noProof/>
        </w:rPr>
        <w:t> </w:t>
      </w:r>
      <w:r w:rsidR="00F96240" w:rsidRPr="000E4F58">
        <w:rPr>
          <w:noProof/>
        </w:rPr>
        <w:t>tej</w:t>
      </w:r>
      <w:r w:rsidRPr="000E4F58">
        <w:rPr>
          <w:noProof/>
        </w:rPr>
        <w:t xml:space="preserve"> dziedzinie polityki</w:t>
      </w:r>
    </w:p>
    <w:p w14:paraId="1FBA5731" w14:textId="58BBB19A" w:rsidR="00D90C58" w:rsidRPr="000E4F58" w:rsidRDefault="00D90C58" w:rsidP="00D90C58">
      <w:pPr>
        <w:pBdr>
          <w:top w:val="nil"/>
          <w:left w:val="nil"/>
          <w:bottom w:val="nil"/>
          <w:right w:val="nil"/>
          <w:between w:val="nil"/>
          <w:bar w:val="nil"/>
        </w:pBdr>
        <w:spacing w:before="0" w:after="240"/>
        <w:rPr>
          <w:noProof/>
        </w:rPr>
      </w:pPr>
      <w:r w:rsidRPr="000E4F58">
        <w:rPr>
          <w:noProof/>
        </w:rPr>
        <w:t>Walka</w:t>
      </w:r>
      <w:r w:rsidR="00F96240" w:rsidRPr="000E4F58">
        <w:rPr>
          <w:noProof/>
        </w:rPr>
        <w:t xml:space="preserve"> z</w:t>
      </w:r>
      <w:r w:rsidR="00F96240">
        <w:rPr>
          <w:noProof/>
        </w:rPr>
        <w:t> </w:t>
      </w:r>
      <w:r w:rsidR="00F96240" w:rsidRPr="000E4F58">
        <w:rPr>
          <w:noProof/>
        </w:rPr>
        <w:t>cyb</w:t>
      </w:r>
      <w:r w:rsidRPr="000E4F58">
        <w:rPr>
          <w:noProof/>
        </w:rPr>
        <w:t>erprzestępczością ma priorytetowe znaczenie dla Unii Europejskiej, czego dowodem są: strategia</w:t>
      </w:r>
      <w:r w:rsidR="00F96240" w:rsidRPr="000E4F58">
        <w:rPr>
          <w:noProof/>
        </w:rPr>
        <w:t xml:space="preserve"> w</w:t>
      </w:r>
      <w:r w:rsidR="00F96240">
        <w:rPr>
          <w:noProof/>
        </w:rPr>
        <w:t> </w:t>
      </w:r>
      <w:r w:rsidR="00F96240" w:rsidRPr="000E4F58">
        <w:rPr>
          <w:noProof/>
        </w:rPr>
        <w:t>zak</w:t>
      </w:r>
      <w:r w:rsidRPr="000E4F58">
        <w:rPr>
          <w:noProof/>
        </w:rPr>
        <w:t>resie unii bezpieczeństwa</w:t>
      </w:r>
      <w:r w:rsidR="00F96240" w:rsidRPr="000E4F58">
        <w:rPr>
          <w:noProof/>
        </w:rPr>
        <w:t xml:space="preserve"> z</w:t>
      </w:r>
      <w:r w:rsidR="00F96240">
        <w:rPr>
          <w:noProof/>
        </w:rPr>
        <w:t> </w:t>
      </w:r>
      <w:r w:rsidR="00F96240" w:rsidRPr="000E4F58">
        <w:rPr>
          <w:noProof/>
        </w:rPr>
        <w:t>2</w:t>
      </w:r>
      <w:r w:rsidRPr="000E4F58">
        <w:rPr>
          <w:noProof/>
        </w:rPr>
        <w:t>0</w:t>
      </w:r>
      <w:r w:rsidRPr="00F96240">
        <w:rPr>
          <w:noProof/>
        </w:rPr>
        <w:t>20</w:t>
      </w:r>
      <w:r w:rsidR="00F96240" w:rsidRPr="00F96240">
        <w:rPr>
          <w:noProof/>
        </w:rPr>
        <w:t> </w:t>
      </w:r>
      <w:r w:rsidRPr="00F96240">
        <w:rPr>
          <w:noProof/>
        </w:rPr>
        <w:t>r.</w:t>
      </w:r>
      <w:r w:rsidRPr="000E4F58">
        <w:rPr>
          <w:rStyle w:val="FootnoteReference"/>
          <w:rFonts w:eastAsia="Arial Unicode MS"/>
          <w:noProof/>
        </w:rPr>
        <w:footnoteReference w:id="11"/>
      </w:r>
      <w:r w:rsidRPr="000E4F58">
        <w:rPr>
          <w:noProof/>
        </w:rPr>
        <w:t xml:space="preserve"> oraz strategia zwalczania przestępczości zorganizowanej</w:t>
      </w:r>
      <w:r w:rsidR="00F96240" w:rsidRPr="000E4F58">
        <w:rPr>
          <w:noProof/>
        </w:rPr>
        <w:t xml:space="preserve"> z</w:t>
      </w:r>
      <w:r w:rsidR="00F96240">
        <w:rPr>
          <w:noProof/>
        </w:rPr>
        <w:t> </w:t>
      </w:r>
      <w:r w:rsidR="00F96240" w:rsidRPr="000E4F58">
        <w:rPr>
          <w:noProof/>
        </w:rPr>
        <w:t>2</w:t>
      </w:r>
      <w:r w:rsidRPr="000E4F58">
        <w:rPr>
          <w:noProof/>
        </w:rPr>
        <w:t>0</w:t>
      </w:r>
      <w:r w:rsidRPr="00F96240">
        <w:rPr>
          <w:noProof/>
        </w:rPr>
        <w:t>21</w:t>
      </w:r>
      <w:r w:rsidR="00F96240" w:rsidRPr="00F96240">
        <w:rPr>
          <w:noProof/>
        </w:rPr>
        <w:t> </w:t>
      </w:r>
      <w:r w:rsidRPr="00F96240">
        <w:rPr>
          <w:noProof/>
        </w:rPr>
        <w:t>r.</w:t>
      </w:r>
      <w:r w:rsidRPr="000E4F58">
        <w:rPr>
          <w:rStyle w:val="FootnoteReference"/>
          <w:rFonts w:eastAsia="Arial Unicode MS"/>
          <w:noProof/>
        </w:rPr>
        <w:footnoteReference w:id="12"/>
      </w:r>
      <w:r w:rsidRPr="000E4F58">
        <w:rPr>
          <w:noProof/>
        </w:rPr>
        <w:t xml:space="preserve"> W trzecim sprawozdaniu</w:t>
      </w:r>
      <w:r w:rsidR="00F96240" w:rsidRPr="000E4F58">
        <w:rPr>
          <w:noProof/>
        </w:rPr>
        <w:t xml:space="preserve"> z</w:t>
      </w:r>
      <w:r w:rsidR="00F96240">
        <w:rPr>
          <w:noProof/>
        </w:rPr>
        <w:t> </w:t>
      </w:r>
      <w:r w:rsidR="00F96240" w:rsidRPr="000E4F58">
        <w:rPr>
          <w:noProof/>
        </w:rPr>
        <w:t>pos</w:t>
      </w:r>
      <w:r w:rsidRPr="000E4F58">
        <w:rPr>
          <w:noProof/>
        </w:rPr>
        <w:t>tępu prac</w:t>
      </w:r>
      <w:r w:rsidR="00F96240" w:rsidRPr="000E4F58">
        <w:rPr>
          <w:noProof/>
        </w:rPr>
        <w:t xml:space="preserve"> w</w:t>
      </w:r>
      <w:r w:rsidR="00F96240">
        <w:rPr>
          <w:noProof/>
        </w:rPr>
        <w:t> </w:t>
      </w:r>
      <w:r w:rsidR="00F96240" w:rsidRPr="000E4F58">
        <w:rPr>
          <w:noProof/>
        </w:rPr>
        <w:t>rea</w:t>
      </w:r>
      <w:r w:rsidRPr="000E4F58">
        <w:rPr>
          <w:noProof/>
        </w:rPr>
        <w:t>lizacji strategii UE</w:t>
      </w:r>
      <w:r w:rsidR="00F96240" w:rsidRPr="000E4F58">
        <w:rPr>
          <w:noProof/>
        </w:rPr>
        <w:t xml:space="preserve"> w</w:t>
      </w:r>
      <w:r w:rsidR="00F96240">
        <w:rPr>
          <w:noProof/>
        </w:rPr>
        <w:t> </w:t>
      </w:r>
      <w:r w:rsidR="00F96240" w:rsidRPr="000E4F58">
        <w:rPr>
          <w:noProof/>
        </w:rPr>
        <w:t>zak</w:t>
      </w:r>
      <w:r w:rsidRPr="000E4F58">
        <w:rPr>
          <w:noProof/>
        </w:rPr>
        <w:t>resie unii bezpieczeństwa</w:t>
      </w:r>
      <w:r w:rsidR="00F96240" w:rsidRPr="000E4F58">
        <w:rPr>
          <w:noProof/>
        </w:rPr>
        <w:t xml:space="preserve"> z</w:t>
      </w:r>
      <w:r w:rsidR="00F96240">
        <w:rPr>
          <w:noProof/>
        </w:rPr>
        <w:t> </w:t>
      </w:r>
      <w:r w:rsidR="00F96240" w:rsidRPr="000E4F58">
        <w:rPr>
          <w:noProof/>
        </w:rPr>
        <w:t>2</w:t>
      </w:r>
      <w:r w:rsidRPr="000E4F58">
        <w:rPr>
          <w:noProof/>
        </w:rPr>
        <w:t>0</w:t>
      </w:r>
      <w:r w:rsidRPr="00F96240">
        <w:rPr>
          <w:noProof/>
        </w:rPr>
        <w:t>21</w:t>
      </w:r>
      <w:r w:rsidR="00F96240" w:rsidRPr="00F96240">
        <w:rPr>
          <w:noProof/>
        </w:rPr>
        <w:t> </w:t>
      </w:r>
      <w:r w:rsidRPr="00F96240">
        <w:rPr>
          <w:noProof/>
        </w:rPr>
        <w:t>r.</w:t>
      </w:r>
      <w:r w:rsidRPr="000E4F58">
        <w:rPr>
          <w:noProof/>
        </w:rPr>
        <w:t xml:space="preserve"> Komisja zobowiązała się do zapewnienia skutecznego udziału Unii</w:t>
      </w:r>
      <w:r w:rsidR="00F96240" w:rsidRPr="000E4F58">
        <w:rPr>
          <w:noProof/>
        </w:rPr>
        <w:t xml:space="preserve"> w</w:t>
      </w:r>
      <w:r w:rsidR="00F96240">
        <w:rPr>
          <w:noProof/>
        </w:rPr>
        <w:t> </w:t>
      </w:r>
      <w:r w:rsidR="00F96240" w:rsidRPr="000E4F58">
        <w:rPr>
          <w:noProof/>
        </w:rPr>
        <w:t>neg</w:t>
      </w:r>
      <w:r w:rsidRPr="000E4F58">
        <w:rPr>
          <w:noProof/>
        </w:rPr>
        <w:t>ocjacjach – na szczeblu Organizacji Narodów Zjednoczonych – dotyczących kompleksowej konwencji międzynarodowej</w:t>
      </w:r>
      <w:r w:rsidR="00F96240" w:rsidRPr="000E4F58">
        <w:rPr>
          <w:noProof/>
        </w:rPr>
        <w:t xml:space="preserve"> w</w:t>
      </w:r>
      <w:r w:rsidR="00F96240">
        <w:rPr>
          <w:noProof/>
        </w:rPr>
        <w:t> </w:t>
      </w:r>
      <w:r w:rsidR="00F96240" w:rsidRPr="000E4F58">
        <w:rPr>
          <w:noProof/>
        </w:rPr>
        <w:t>spr</w:t>
      </w:r>
      <w:r w:rsidRPr="000E4F58">
        <w:rPr>
          <w:noProof/>
        </w:rPr>
        <w:t>awie przeciwdziałania wykorzystywaniu technologii informacyjno-komunikacyjnych</w:t>
      </w:r>
      <w:r w:rsidR="00F96240" w:rsidRPr="000E4F58">
        <w:rPr>
          <w:noProof/>
        </w:rPr>
        <w:t xml:space="preserve"> w</w:t>
      </w:r>
      <w:r w:rsidR="00F96240">
        <w:rPr>
          <w:noProof/>
        </w:rPr>
        <w:t> </w:t>
      </w:r>
      <w:r w:rsidR="00F96240" w:rsidRPr="000E4F58">
        <w:rPr>
          <w:noProof/>
        </w:rPr>
        <w:t>cel</w:t>
      </w:r>
      <w:r w:rsidRPr="000E4F58">
        <w:rPr>
          <w:noProof/>
        </w:rPr>
        <w:t>ach przestępczych</w:t>
      </w:r>
      <w:r w:rsidRPr="000E4F58">
        <w:rPr>
          <w:rStyle w:val="FootnoteReference"/>
          <w:rFonts w:eastAsia="Arial Unicode MS"/>
          <w:noProof/>
        </w:rPr>
        <w:footnoteReference w:id="13"/>
      </w:r>
      <w:r w:rsidRPr="000E4F58">
        <w:rPr>
          <w:noProof/>
        </w:rPr>
        <w:t xml:space="preserve">. </w:t>
      </w:r>
    </w:p>
    <w:p w14:paraId="7F134DC7" w14:textId="44A6D75F" w:rsidR="00D90C58" w:rsidRPr="000E4F58" w:rsidRDefault="00D90C58" w:rsidP="00D90C58">
      <w:pPr>
        <w:pBdr>
          <w:top w:val="nil"/>
          <w:left w:val="nil"/>
          <w:bottom w:val="nil"/>
          <w:right w:val="nil"/>
          <w:between w:val="nil"/>
          <w:bar w:val="nil"/>
        </w:pBdr>
        <w:spacing w:before="0" w:after="240"/>
        <w:rPr>
          <w:noProof/>
        </w:rPr>
      </w:pPr>
      <w:r w:rsidRPr="000E4F58">
        <w:rPr>
          <w:noProof/>
        </w:rPr>
        <w:t>Komisja uznaje potrzebę dalszego rozwoju</w:t>
      </w:r>
      <w:r w:rsidR="00F96240" w:rsidRPr="000E4F58">
        <w:rPr>
          <w:noProof/>
        </w:rPr>
        <w:t xml:space="preserve"> i</w:t>
      </w:r>
      <w:r w:rsidR="00F96240">
        <w:rPr>
          <w:noProof/>
        </w:rPr>
        <w:t> </w:t>
      </w:r>
      <w:r w:rsidR="00F96240" w:rsidRPr="000E4F58">
        <w:rPr>
          <w:noProof/>
        </w:rPr>
        <w:t>wzm</w:t>
      </w:r>
      <w:r w:rsidRPr="000E4F58">
        <w:rPr>
          <w:noProof/>
        </w:rPr>
        <w:t>acniania zdolności organów ścigania</w:t>
      </w:r>
      <w:r w:rsidR="00F96240" w:rsidRPr="000E4F58">
        <w:rPr>
          <w:noProof/>
        </w:rPr>
        <w:t xml:space="preserve"> i</w:t>
      </w:r>
      <w:r w:rsidR="00F96240">
        <w:rPr>
          <w:noProof/>
        </w:rPr>
        <w:t> </w:t>
      </w:r>
      <w:r w:rsidR="00F96240" w:rsidRPr="000E4F58">
        <w:rPr>
          <w:noProof/>
        </w:rPr>
        <w:t>org</w:t>
      </w:r>
      <w:r w:rsidRPr="000E4F58">
        <w:rPr>
          <w:noProof/>
        </w:rPr>
        <w:t>anów wymiaru sprawiedliwości</w:t>
      </w:r>
      <w:r w:rsidR="00F96240" w:rsidRPr="000E4F58">
        <w:rPr>
          <w:noProof/>
        </w:rPr>
        <w:t xml:space="preserve"> w</w:t>
      </w:r>
      <w:r w:rsidR="00F96240">
        <w:rPr>
          <w:noProof/>
        </w:rPr>
        <w:t> </w:t>
      </w:r>
      <w:r w:rsidR="00F96240" w:rsidRPr="000E4F58">
        <w:rPr>
          <w:noProof/>
        </w:rPr>
        <w:t>tej</w:t>
      </w:r>
      <w:r w:rsidRPr="000E4F58">
        <w:rPr>
          <w:noProof/>
        </w:rPr>
        <w:t xml:space="preserve"> dziedzinie oraz opracowania krajowych przepisów dotyczących cyberprzestępczości, jeżeli obowiązujące przepisy nie są wystarczające. Uznaje ona również potrzebę propagowania współpracy międzynarodowej</w:t>
      </w:r>
      <w:r w:rsidR="00F96240" w:rsidRPr="000E4F58">
        <w:rPr>
          <w:noProof/>
        </w:rPr>
        <w:t xml:space="preserve"> w</w:t>
      </w:r>
      <w:r w:rsidR="00F96240">
        <w:rPr>
          <w:noProof/>
        </w:rPr>
        <w:t> </w:t>
      </w:r>
      <w:r w:rsidR="00F96240" w:rsidRPr="000E4F58">
        <w:rPr>
          <w:noProof/>
        </w:rPr>
        <w:t>wal</w:t>
      </w:r>
      <w:r w:rsidRPr="000E4F58">
        <w:rPr>
          <w:noProof/>
        </w:rPr>
        <w:t>ce</w:t>
      </w:r>
      <w:r w:rsidR="00F96240" w:rsidRPr="000E4F58">
        <w:rPr>
          <w:noProof/>
        </w:rPr>
        <w:t xml:space="preserve"> z</w:t>
      </w:r>
      <w:r w:rsidR="00F96240">
        <w:rPr>
          <w:noProof/>
        </w:rPr>
        <w:t> </w:t>
      </w:r>
      <w:r w:rsidR="00F96240" w:rsidRPr="000E4F58">
        <w:rPr>
          <w:noProof/>
        </w:rPr>
        <w:t>cyb</w:t>
      </w:r>
      <w:r w:rsidRPr="000E4F58">
        <w:rPr>
          <w:noProof/>
        </w:rPr>
        <w:t>erprzestępczością</w:t>
      </w:r>
      <w:r w:rsidR="00F96240" w:rsidRPr="000E4F58">
        <w:rPr>
          <w:noProof/>
        </w:rPr>
        <w:t xml:space="preserve"> i</w:t>
      </w:r>
      <w:r w:rsidR="00F96240">
        <w:rPr>
          <w:noProof/>
        </w:rPr>
        <w:t> </w:t>
      </w:r>
      <w:r w:rsidR="00F96240" w:rsidRPr="000E4F58">
        <w:rPr>
          <w:noProof/>
        </w:rPr>
        <w:t>wsp</w:t>
      </w:r>
      <w:r w:rsidRPr="000E4F58">
        <w:rPr>
          <w:noProof/>
        </w:rPr>
        <w:t>iera szereg programów budowania zdolności</w:t>
      </w:r>
      <w:r w:rsidR="00F96240" w:rsidRPr="000E4F58">
        <w:rPr>
          <w:noProof/>
        </w:rPr>
        <w:t xml:space="preserve"> w</w:t>
      </w:r>
      <w:r w:rsidR="00F96240">
        <w:rPr>
          <w:noProof/>
        </w:rPr>
        <w:t> </w:t>
      </w:r>
      <w:r w:rsidR="00F96240" w:rsidRPr="000E4F58">
        <w:rPr>
          <w:noProof/>
        </w:rPr>
        <w:t>wie</w:t>
      </w:r>
      <w:r w:rsidRPr="000E4F58">
        <w:rPr>
          <w:noProof/>
        </w:rPr>
        <w:t>lu krajach na całym świecie,</w:t>
      </w:r>
      <w:r w:rsidR="00F96240" w:rsidRPr="000E4F58">
        <w:rPr>
          <w:noProof/>
        </w:rPr>
        <w:t xml:space="preserve"> w</w:t>
      </w:r>
      <w:r w:rsidR="00F96240">
        <w:rPr>
          <w:noProof/>
        </w:rPr>
        <w:t> </w:t>
      </w:r>
      <w:r w:rsidR="00F96240" w:rsidRPr="000E4F58">
        <w:rPr>
          <w:noProof/>
        </w:rPr>
        <w:t>tym w</w:t>
      </w:r>
      <w:r w:rsidR="00F96240">
        <w:rPr>
          <w:noProof/>
        </w:rPr>
        <w:t> </w:t>
      </w:r>
      <w:r w:rsidR="00F96240" w:rsidRPr="000E4F58">
        <w:rPr>
          <w:noProof/>
        </w:rPr>
        <w:t>kra</w:t>
      </w:r>
      <w:r w:rsidRPr="000E4F58">
        <w:rPr>
          <w:noProof/>
        </w:rPr>
        <w:t>jach rozwijających się</w:t>
      </w:r>
      <w:r w:rsidRPr="000E4F58">
        <w:rPr>
          <w:rStyle w:val="FootnoteReference"/>
          <w:rFonts w:eastAsia="Arial Unicode MS"/>
          <w:noProof/>
        </w:rPr>
        <w:footnoteReference w:id="14"/>
      </w:r>
      <w:r w:rsidRPr="000E4F58">
        <w:rPr>
          <w:noProof/>
        </w:rPr>
        <w:t>. Komisja wspiera prace międzyrządowej grupy ekspertów ONZ ds. zwalczania cyberprzestępczości, Komisji ONZ ds. Zapobiegania Przestępczości</w:t>
      </w:r>
      <w:r w:rsidR="00F96240" w:rsidRPr="000E4F58">
        <w:rPr>
          <w:noProof/>
        </w:rPr>
        <w:t xml:space="preserve"> i</w:t>
      </w:r>
      <w:r w:rsidR="00F96240">
        <w:rPr>
          <w:noProof/>
        </w:rPr>
        <w:t> </w:t>
      </w:r>
      <w:r w:rsidR="00F96240" w:rsidRPr="000E4F58">
        <w:rPr>
          <w:noProof/>
        </w:rPr>
        <w:t>Wym</w:t>
      </w:r>
      <w:r w:rsidRPr="000E4F58">
        <w:rPr>
          <w:noProof/>
        </w:rPr>
        <w:t>iaru Sprawiedliwości Sądownictwa Karnego, Biura Narodów Zjednoczonych ds. Narkotyków</w:t>
      </w:r>
      <w:r w:rsidR="00F96240" w:rsidRPr="000E4F58">
        <w:rPr>
          <w:noProof/>
        </w:rPr>
        <w:t xml:space="preserve"> i</w:t>
      </w:r>
      <w:r w:rsidR="00F96240">
        <w:rPr>
          <w:noProof/>
        </w:rPr>
        <w:t> </w:t>
      </w:r>
      <w:r w:rsidR="00F96240" w:rsidRPr="000E4F58">
        <w:rPr>
          <w:noProof/>
        </w:rPr>
        <w:t>Prz</w:t>
      </w:r>
      <w:r w:rsidRPr="000E4F58">
        <w:rPr>
          <w:noProof/>
        </w:rPr>
        <w:t>estępczości (UNODC), komitetu Konwencji</w:t>
      </w:r>
      <w:r w:rsidR="00F96240" w:rsidRPr="000E4F58">
        <w:rPr>
          <w:noProof/>
        </w:rPr>
        <w:t xml:space="preserve"> o</w:t>
      </w:r>
      <w:r w:rsidR="00F96240">
        <w:rPr>
          <w:noProof/>
        </w:rPr>
        <w:t> </w:t>
      </w:r>
      <w:r w:rsidR="00F96240" w:rsidRPr="000E4F58">
        <w:rPr>
          <w:noProof/>
        </w:rPr>
        <w:t>cyb</w:t>
      </w:r>
      <w:r w:rsidRPr="000E4F58">
        <w:rPr>
          <w:noProof/>
        </w:rPr>
        <w:t>erprzestępczości</w:t>
      </w:r>
      <w:r w:rsidR="00F96240" w:rsidRPr="000E4F58">
        <w:rPr>
          <w:noProof/>
        </w:rPr>
        <w:t xml:space="preserve"> i</w:t>
      </w:r>
      <w:r w:rsidR="00F96240">
        <w:rPr>
          <w:noProof/>
        </w:rPr>
        <w:t> </w:t>
      </w:r>
      <w:r w:rsidR="00F96240" w:rsidRPr="000E4F58">
        <w:rPr>
          <w:noProof/>
        </w:rPr>
        <w:t>inn</w:t>
      </w:r>
      <w:r w:rsidRPr="000E4F58">
        <w:rPr>
          <w:noProof/>
        </w:rPr>
        <w:t xml:space="preserve">ych organów. </w:t>
      </w:r>
    </w:p>
    <w:p w14:paraId="4E2DF50F" w14:textId="26F8E0DA" w:rsidR="00D90C58" w:rsidRPr="000E4F58" w:rsidRDefault="00D90C58" w:rsidP="00D90C58">
      <w:pPr>
        <w:pBdr>
          <w:top w:val="nil"/>
          <w:left w:val="nil"/>
          <w:bottom w:val="nil"/>
          <w:right w:val="nil"/>
          <w:between w:val="nil"/>
          <w:bar w:val="nil"/>
        </w:pBdr>
        <w:spacing w:before="0" w:after="240"/>
        <w:rPr>
          <w:noProof/>
        </w:rPr>
      </w:pPr>
      <w:r w:rsidRPr="000E4F58">
        <w:rPr>
          <w:noProof/>
        </w:rPr>
        <w:t>Oczekuje się, że negocjacje</w:t>
      </w:r>
      <w:r w:rsidR="00F96240" w:rsidRPr="000E4F58">
        <w:rPr>
          <w:noProof/>
        </w:rPr>
        <w:t xml:space="preserve"> w</w:t>
      </w:r>
      <w:r w:rsidR="00F96240">
        <w:rPr>
          <w:noProof/>
        </w:rPr>
        <w:t> </w:t>
      </w:r>
      <w:r w:rsidR="00F96240" w:rsidRPr="000E4F58">
        <w:rPr>
          <w:noProof/>
        </w:rPr>
        <w:t>spr</w:t>
      </w:r>
      <w:r w:rsidRPr="000E4F58">
        <w:rPr>
          <w:noProof/>
        </w:rPr>
        <w:t>awie konwencji międzynarodowej będą dotyczyły wspólnych unijnych zasad walki</w:t>
      </w:r>
      <w:r w:rsidR="00F96240" w:rsidRPr="000E4F58">
        <w:rPr>
          <w:noProof/>
        </w:rPr>
        <w:t xml:space="preserve"> z</w:t>
      </w:r>
      <w:r w:rsidR="00F96240">
        <w:rPr>
          <w:noProof/>
        </w:rPr>
        <w:t> </w:t>
      </w:r>
      <w:r w:rsidR="00F96240" w:rsidRPr="000E4F58">
        <w:rPr>
          <w:noProof/>
        </w:rPr>
        <w:t>cyb</w:t>
      </w:r>
      <w:r w:rsidRPr="000E4F58">
        <w:rPr>
          <w:noProof/>
        </w:rPr>
        <w:t>erprzestępczością. Mogą one obejmować</w:t>
      </w:r>
      <w:r w:rsidR="00F96240" w:rsidRPr="000E4F58">
        <w:rPr>
          <w:noProof/>
        </w:rPr>
        <w:t xml:space="preserve"> w</w:t>
      </w:r>
      <w:r w:rsidR="00F96240">
        <w:rPr>
          <w:noProof/>
        </w:rPr>
        <w:t> </w:t>
      </w:r>
      <w:r w:rsidR="00F96240" w:rsidRPr="000E4F58">
        <w:rPr>
          <w:noProof/>
        </w:rPr>
        <w:t>szc</w:t>
      </w:r>
      <w:r w:rsidRPr="000E4F58">
        <w:rPr>
          <w:noProof/>
        </w:rPr>
        <w:t>zególności dyrektywę 2011/93/UE</w:t>
      </w:r>
      <w:r w:rsidR="00F96240" w:rsidRPr="000E4F58">
        <w:rPr>
          <w:noProof/>
        </w:rPr>
        <w:t xml:space="preserve"> w</w:t>
      </w:r>
      <w:r w:rsidR="00F96240">
        <w:rPr>
          <w:noProof/>
        </w:rPr>
        <w:t> </w:t>
      </w:r>
      <w:r w:rsidR="00F96240" w:rsidRPr="000E4F58">
        <w:rPr>
          <w:noProof/>
        </w:rPr>
        <w:t>spr</w:t>
      </w:r>
      <w:r w:rsidRPr="000E4F58">
        <w:rPr>
          <w:noProof/>
        </w:rPr>
        <w:t>awie zwalczania wykorzystywania seksualnego dzieci</w:t>
      </w:r>
      <w:r w:rsidR="00F96240" w:rsidRPr="000E4F58">
        <w:rPr>
          <w:noProof/>
        </w:rPr>
        <w:t xml:space="preserve"> w</w:t>
      </w:r>
      <w:r w:rsidR="00F96240">
        <w:rPr>
          <w:noProof/>
        </w:rPr>
        <w:t> </w:t>
      </w:r>
      <w:r w:rsidR="00F96240" w:rsidRPr="000E4F58">
        <w:rPr>
          <w:noProof/>
        </w:rPr>
        <w:t>int</w:t>
      </w:r>
      <w:r w:rsidRPr="000E4F58">
        <w:rPr>
          <w:noProof/>
        </w:rPr>
        <w:t>ernecie oraz pornografii dziecięcej</w:t>
      </w:r>
      <w:r w:rsidRPr="000E4F58">
        <w:rPr>
          <w:rStyle w:val="FootnoteReference"/>
          <w:noProof/>
        </w:rPr>
        <w:footnoteReference w:id="15"/>
      </w:r>
      <w:r w:rsidRPr="000E4F58">
        <w:rPr>
          <w:noProof/>
        </w:rPr>
        <w:t>, która to dyrektywa dotyczy nowych zjawisk</w:t>
      </w:r>
      <w:r w:rsidR="00F96240" w:rsidRPr="000E4F58">
        <w:rPr>
          <w:noProof/>
        </w:rPr>
        <w:t xml:space="preserve"> w</w:t>
      </w:r>
      <w:r w:rsidR="00F96240">
        <w:rPr>
          <w:noProof/>
        </w:rPr>
        <w:t> </w:t>
      </w:r>
      <w:r w:rsidR="00F96240" w:rsidRPr="000E4F58">
        <w:rPr>
          <w:noProof/>
        </w:rPr>
        <w:t>śro</w:t>
      </w:r>
      <w:r w:rsidRPr="000E4F58">
        <w:rPr>
          <w:noProof/>
        </w:rPr>
        <w:t>dowisku online, takich jak nagabywanie dzieci dla celów seksualnych (przestępcy podający się za dzieci, aby zwabić nieletnich</w:t>
      </w:r>
      <w:r w:rsidR="00F96240" w:rsidRPr="000E4F58">
        <w:rPr>
          <w:noProof/>
        </w:rPr>
        <w:t xml:space="preserve"> w</w:t>
      </w:r>
      <w:r w:rsidR="00F96240">
        <w:rPr>
          <w:noProof/>
        </w:rPr>
        <w:t> </w:t>
      </w:r>
      <w:r w:rsidR="00F96240" w:rsidRPr="000E4F58">
        <w:rPr>
          <w:noProof/>
        </w:rPr>
        <w:t>cel</w:t>
      </w:r>
      <w:r w:rsidRPr="000E4F58">
        <w:rPr>
          <w:noProof/>
        </w:rPr>
        <w:t>u wykorzystania seksualnego); dyrektywę 2013/40/UE dotyczącą ataków na systemy informatyczne</w:t>
      </w:r>
      <w:r w:rsidRPr="000E4F58">
        <w:rPr>
          <w:rStyle w:val="FootnoteReference"/>
          <w:noProof/>
        </w:rPr>
        <w:footnoteReference w:id="16"/>
      </w:r>
      <w:r w:rsidRPr="000E4F58">
        <w:rPr>
          <w:noProof/>
        </w:rPr>
        <w:t>, której celem jest zwalczanie cyberataków na dużą skalę poprzez zobowiązanie państw członkowskich do wzmocnienia krajowych przepisów dotyczących cyberprzestępczości</w:t>
      </w:r>
      <w:r w:rsidR="00F96240" w:rsidRPr="000E4F58">
        <w:rPr>
          <w:noProof/>
        </w:rPr>
        <w:t xml:space="preserve"> i</w:t>
      </w:r>
      <w:r w:rsidR="00F96240">
        <w:rPr>
          <w:noProof/>
        </w:rPr>
        <w:t> </w:t>
      </w:r>
      <w:r w:rsidR="00F96240" w:rsidRPr="000E4F58">
        <w:rPr>
          <w:noProof/>
        </w:rPr>
        <w:t>wpr</w:t>
      </w:r>
      <w:r w:rsidRPr="000E4F58">
        <w:rPr>
          <w:noProof/>
        </w:rPr>
        <w:t>owadzenia wysokiego poziomu sankcji karnych; oraz dyrektywę (UE) 2019/713</w:t>
      </w:r>
      <w:r w:rsidR="00F96240" w:rsidRPr="000E4F58">
        <w:rPr>
          <w:noProof/>
        </w:rPr>
        <w:t xml:space="preserve"> w</w:t>
      </w:r>
      <w:r w:rsidR="00F96240">
        <w:rPr>
          <w:noProof/>
        </w:rPr>
        <w:t> </w:t>
      </w:r>
      <w:r w:rsidR="00F96240" w:rsidRPr="000E4F58">
        <w:rPr>
          <w:noProof/>
        </w:rPr>
        <w:t>spr</w:t>
      </w:r>
      <w:r w:rsidRPr="000E4F58">
        <w:rPr>
          <w:noProof/>
        </w:rPr>
        <w:t>awie zwalczania fałszowania</w:t>
      </w:r>
      <w:r w:rsidR="00F96240" w:rsidRPr="000E4F58">
        <w:rPr>
          <w:noProof/>
        </w:rPr>
        <w:t xml:space="preserve"> i</w:t>
      </w:r>
      <w:r w:rsidR="00F96240">
        <w:rPr>
          <w:noProof/>
        </w:rPr>
        <w:t> </w:t>
      </w:r>
      <w:r w:rsidR="00F96240" w:rsidRPr="000E4F58">
        <w:rPr>
          <w:noProof/>
        </w:rPr>
        <w:t>osz</w:t>
      </w:r>
      <w:r w:rsidRPr="000E4F58">
        <w:rPr>
          <w:noProof/>
        </w:rPr>
        <w:t>ustw związanych</w:t>
      </w:r>
      <w:r w:rsidR="00F96240" w:rsidRPr="000E4F58">
        <w:rPr>
          <w:noProof/>
        </w:rPr>
        <w:t xml:space="preserve"> z</w:t>
      </w:r>
      <w:r w:rsidR="00F96240">
        <w:rPr>
          <w:noProof/>
        </w:rPr>
        <w:t> </w:t>
      </w:r>
      <w:r w:rsidR="00F96240" w:rsidRPr="000E4F58">
        <w:rPr>
          <w:noProof/>
        </w:rPr>
        <w:t>bez</w:t>
      </w:r>
      <w:r w:rsidRPr="000E4F58">
        <w:rPr>
          <w:noProof/>
        </w:rPr>
        <w:t>gotówkowymi środkami płatniczymi</w:t>
      </w:r>
      <w:r w:rsidRPr="000E4F58">
        <w:rPr>
          <w:rStyle w:val="FootnoteReference"/>
          <w:noProof/>
        </w:rPr>
        <w:footnoteReference w:id="17"/>
      </w:r>
      <w:r w:rsidRPr="000E4F58">
        <w:rPr>
          <w:noProof/>
        </w:rPr>
        <w:t>, która ujednolica czyny zabronione osób fizycznych lub prawnych</w:t>
      </w:r>
      <w:r w:rsidR="00F96240" w:rsidRPr="000E4F58">
        <w:rPr>
          <w:noProof/>
        </w:rPr>
        <w:t xml:space="preserve"> w</w:t>
      </w:r>
      <w:r w:rsidR="00F96240">
        <w:rPr>
          <w:noProof/>
        </w:rPr>
        <w:t> </w:t>
      </w:r>
      <w:r w:rsidR="00F96240" w:rsidRPr="000E4F58">
        <w:rPr>
          <w:noProof/>
        </w:rPr>
        <w:t>odn</w:t>
      </w:r>
      <w:r w:rsidRPr="000E4F58">
        <w:rPr>
          <w:noProof/>
        </w:rPr>
        <w:t>iesieniu do bezgotówkowych środków płatniczych</w:t>
      </w:r>
      <w:r w:rsidR="00F96240" w:rsidRPr="000E4F58">
        <w:rPr>
          <w:noProof/>
        </w:rPr>
        <w:t xml:space="preserve"> i</w:t>
      </w:r>
      <w:r w:rsidR="00F96240">
        <w:rPr>
          <w:noProof/>
        </w:rPr>
        <w:t> </w:t>
      </w:r>
      <w:r w:rsidR="00F96240" w:rsidRPr="000E4F58">
        <w:rPr>
          <w:noProof/>
        </w:rPr>
        <w:t>roz</w:t>
      </w:r>
      <w:r w:rsidRPr="000E4F58">
        <w:rPr>
          <w:noProof/>
        </w:rPr>
        <w:t>szerza odpowiedzialność karną na waluty wirtualne</w:t>
      </w:r>
      <w:r w:rsidR="00F96240" w:rsidRPr="000E4F58">
        <w:rPr>
          <w:noProof/>
        </w:rPr>
        <w:t xml:space="preserve"> i</w:t>
      </w:r>
      <w:r w:rsidR="00F96240">
        <w:rPr>
          <w:noProof/>
        </w:rPr>
        <w:t> </w:t>
      </w:r>
      <w:r w:rsidR="00F96240" w:rsidRPr="000E4F58">
        <w:rPr>
          <w:noProof/>
        </w:rPr>
        <w:t>por</w:t>
      </w:r>
      <w:r w:rsidRPr="000E4F58">
        <w:rPr>
          <w:noProof/>
        </w:rPr>
        <w:t>tfele cyfrowe. Inne instrumenty UE zapewniają wspólne zasady zwalczania przestępstw, których popełnienie może być możliwe dzięki wykorzystaniu systemów informatycznych; do przestępstw tych należy np. terroryzm, handel ludźmi, nielegalny obrót środkami odurzającymi, nielegalny handel bronią, pranie pieniędzy, korupcja</w:t>
      </w:r>
      <w:r w:rsidR="00F96240" w:rsidRPr="000E4F58">
        <w:rPr>
          <w:noProof/>
        </w:rPr>
        <w:t xml:space="preserve"> i</w:t>
      </w:r>
      <w:r w:rsidR="00F96240">
        <w:rPr>
          <w:noProof/>
        </w:rPr>
        <w:t> </w:t>
      </w:r>
      <w:r w:rsidR="00F96240" w:rsidRPr="000E4F58">
        <w:rPr>
          <w:noProof/>
        </w:rPr>
        <w:t>prz</w:t>
      </w:r>
      <w:r w:rsidRPr="000E4F58">
        <w:rPr>
          <w:noProof/>
        </w:rPr>
        <w:t>estępczość zorganizowana.</w:t>
      </w:r>
    </w:p>
    <w:p w14:paraId="13F031DE" w14:textId="6FD1CA94" w:rsidR="00D90C58" w:rsidRPr="000E4F58" w:rsidRDefault="00D90C58" w:rsidP="00D90C58">
      <w:pPr>
        <w:pBdr>
          <w:top w:val="nil"/>
          <w:left w:val="nil"/>
          <w:bottom w:val="nil"/>
          <w:right w:val="nil"/>
          <w:between w:val="nil"/>
          <w:bar w:val="nil"/>
        </w:pBdr>
        <w:spacing w:before="0" w:after="240"/>
        <w:rPr>
          <w:noProof/>
        </w:rPr>
      </w:pPr>
      <w:r w:rsidRPr="000E4F58">
        <w:rPr>
          <w:noProof/>
        </w:rPr>
        <w:t>Oczekuje się, że zakresem negocjacji objęte zostaną również środki proceduralne</w:t>
      </w:r>
      <w:r w:rsidR="00F96240" w:rsidRPr="000E4F58">
        <w:rPr>
          <w:noProof/>
        </w:rPr>
        <w:t xml:space="preserve"> i</w:t>
      </w:r>
      <w:r w:rsidR="00F96240">
        <w:rPr>
          <w:noProof/>
        </w:rPr>
        <w:t> </w:t>
      </w:r>
      <w:r w:rsidR="00F96240" w:rsidRPr="000E4F58">
        <w:rPr>
          <w:noProof/>
        </w:rPr>
        <w:t>śro</w:t>
      </w:r>
      <w:r w:rsidRPr="000E4F58">
        <w:rPr>
          <w:noProof/>
        </w:rPr>
        <w:t>dki współpracy</w:t>
      </w:r>
      <w:r w:rsidR="00F96240" w:rsidRPr="000E4F58">
        <w:rPr>
          <w:noProof/>
        </w:rPr>
        <w:t xml:space="preserve"> w</w:t>
      </w:r>
      <w:r w:rsidR="00F96240">
        <w:rPr>
          <w:noProof/>
        </w:rPr>
        <w:t> </w:t>
      </w:r>
      <w:r w:rsidR="00F96240" w:rsidRPr="000E4F58">
        <w:rPr>
          <w:noProof/>
        </w:rPr>
        <w:t>pos</w:t>
      </w:r>
      <w:r w:rsidRPr="000E4F58">
        <w:rPr>
          <w:noProof/>
        </w:rPr>
        <w:t>tępowaniu karnym. Obecne ramy prawne UE obejmują między innymi instrumenty dotyczące egzekwowania prawa</w:t>
      </w:r>
      <w:r w:rsidR="00F96240" w:rsidRPr="000E4F58">
        <w:rPr>
          <w:noProof/>
        </w:rPr>
        <w:t xml:space="preserve"> i</w:t>
      </w:r>
      <w:r w:rsidR="00F96240">
        <w:rPr>
          <w:noProof/>
        </w:rPr>
        <w:t> </w:t>
      </w:r>
      <w:r w:rsidR="00F96240" w:rsidRPr="000E4F58">
        <w:rPr>
          <w:noProof/>
        </w:rPr>
        <w:t>wsp</w:t>
      </w:r>
      <w:r w:rsidRPr="000E4F58">
        <w:rPr>
          <w:noProof/>
        </w:rPr>
        <w:t>ółpracy wymiarów sprawiedliwości</w:t>
      </w:r>
      <w:r w:rsidR="00F96240" w:rsidRPr="000E4F58">
        <w:rPr>
          <w:noProof/>
        </w:rPr>
        <w:t xml:space="preserve"> w</w:t>
      </w:r>
      <w:r w:rsidR="00F96240">
        <w:rPr>
          <w:noProof/>
        </w:rPr>
        <w:t> </w:t>
      </w:r>
      <w:r w:rsidR="00F96240" w:rsidRPr="000E4F58">
        <w:rPr>
          <w:noProof/>
        </w:rPr>
        <w:t>spr</w:t>
      </w:r>
      <w:r w:rsidRPr="000E4F58">
        <w:rPr>
          <w:noProof/>
        </w:rPr>
        <w:t>awach karnych, takie jak dyrektywa 2014/41/UE</w:t>
      </w:r>
      <w:r w:rsidR="00F96240" w:rsidRPr="000E4F58">
        <w:rPr>
          <w:noProof/>
        </w:rPr>
        <w:t xml:space="preserve"> w</w:t>
      </w:r>
      <w:r w:rsidR="00F96240">
        <w:rPr>
          <w:noProof/>
        </w:rPr>
        <w:t> </w:t>
      </w:r>
      <w:r w:rsidR="00F96240" w:rsidRPr="000E4F58">
        <w:rPr>
          <w:noProof/>
        </w:rPr>
        <w:t>spr</w:t>
      </w:r>
      <w:r w:rsidRPr="000E4F58">
        <w:rPr>
          <w:noProof/>
        </w:rPr>
        <w:t>awie europejskiego nakazu dochodzeniowego</w:t>
      </w:r>
      <w:r w:rsidR="00F96240" w:rsidRPr="000E4F58">
        <w:rPr>
          <w:noProof/>
        </w:rPr>
        <w:t xml:space="preserve"> w</w:t>
      </w:r>
      <w:r w:rsidR="00F96240">
        <w:rPr>
          <w:noProof/>
        </w:rPr>
        <w:t> </w:t>
      </w:r>
      <w:r w:rsidR="00F96240" w:rsidRPr="000E4F58">
        <w:rPr>
          <w:noProof/>
        </w:rPr>
        <w:t>spr</w:t>
      </w:r>
      <w:r w:rsidRPr="000E4F58">
        <w:rPr>
          <w:noProof/>
        </w:rPr>
        <w:t>awach karnych</w:t>
      </w:r>
      <w:r w:rsidRPr="000E4F58">
        <w:rPr>
          <w:rStyle w:val="FootnoteReference"/>
          <w:noProof/>
        </w:rPr>
        <w:footnoteReference w:id="18"/>
      </w:r>
      <w:r w:rsidRPr="000E4F58">
        <w:rPr>
          <w:noProof/>
        </w:rPr>
        <w:t>, Konwencja</w:t>
      </w:r>
      <w:r w:rsidR="00F96240" w:rsidRPr="000E4F58">
        <w:rPr>
          <w:noProof/>
        </w:rPr>
        <w:t xml:space="preserve"> o</w:t>
      </w:r>
      <w:r w:rsidR="00F96240">
        <w:rPr>
          <w:noProof/>
        </w:rPr>
        <w:t> </w:t>
      </w:r>
      <w:r w:rsidR="00F96240" w:rsidRPr="000E4F58">
        <w:rPr>
          <w:noProof/>
        </w:rPr>
        <w:t>pom</w:t>
      </w:r>
      <w:r w:rsidRPr="000E4F58">
        <w:rPr>
          <w:noProof/>
        </w:rPr>
        <w:t>ocy prawnej</w:t>
      </w:r>
      <w:r w:rsidR="00F96240" w:rsidRPr="000E4F58">
        <w:rPr>
          <w:noProof/>
        </w:rPr>
        <w:t xml:space="preserve"> w</w:t>
      </w:r>
      <w:r w:rsidR="00F96240">
        <w:rPr>
          <w:noProof/>
        </w:rPr>
        <w:t> </w:t>
      </w:r>
      <w:r w:rsidR="00F96240" w:rsidRPr="000E4F58">
        <w:rPr>
          <w:noProof/>
        </w:rPr>
        <w:t>spr</w:t>
      </w:r>
      <w:r w:rsidRPr="000E4F58">
        <w:rPr>
          <w:noProof/>
        </w:rPr>
        <w:t>awach karnych pomiędzy państwami członkowskimi Unii Europejskiej</w:t>
      </w:r>
      <w:r w:rsidRPr="000E4F58">
        <w:rPr>
          <w:rStyle w:val="FootnoteReference"/>
          <w:noProof/>
        </w:rPr>
        <w:footnoteReference w:id="19"/>
      </w:r>
      <w:r w:rsidRPr="000E4F58">
        <w:rPr>
          <w:noProof/>
        </w:rPr>
        <w:t>, rozporządzenie 2018/1727</w:t>
      </w:r>
      <w:r w:rsidR="00F96240" w:rsidRPr="000E4F58">
        <w:rPr>
          <w:noProof/>
        </w:rPr>
        <w:t xml:space="preserve"> w</w:t>
      </w:r>
      <w:r w:rsidR="00F96240">
        <w:rPr>
          <w:noProof/>
        </w:rPr>
        <w:t> </w:t>
      </w:r>
      <w:r w:rsidR="00F96240" w:rsidRPr="000E4F58">
        <w:rPr>
          <w:noProof/>
        </w:rPr>
        <w:t>spr</w:t>
      </w:r>
      <w:r w:rsidRPr="000E4F58">
        <w:rPr>
          <w:noProof/>
        </w:rPr>
        <w:t>awie Eurojustu</w:t>
      </w:r>
      <w:r w:rsidRPr="000E4F58">
        <w:rPr>
          <w:rStyle w:val="FootnoteReference"/>
          <w:noProof/>
        </w:rPr>
        <w:footnoteReference w:id="20"/>
      </w:r>
      <w:r w:rsidRPr="000E4F58">
        <w:rPr>
          <w:noProof/>
        </w:rPr>
        <w:t>, rozporządzenie 2016/794</w:t>
      </w:r>
      <w:r w:rsidR="00F96240" w:rsidRPr="000E4F58">
        <w:rPr>
          <w:noProof/>
        </w:rPr>
        <w:t xml:space="preserve"> w</w:t>
      </w:r>
      <w:r w:rsidR="00F96240">
        <w:rPr>
          <w:noProof/>
        </w:rPr>
        <w:t> </w:t>
      </w:r>
      <w:r w:rsidR="00F96240" w:rsidRPr="000E4F58">
        <w:rPr>
          <w:noProof/>
        </w:rPr>
        <w:t>spr</w:t>
      </w:r>
      <w:r w:rsidRPr="000E4F58">
        <w:rPr>
          <w:noProof/>
        </w:rPr>
        <w:t>awie Europolu</w:t>
      </w:r>
      <w:r w:rsidRPr="000E4F58">
        <w:rPr>
          <w:rStyle w:val="FootnoteReference"/>
          <w:noProof/>
        </w:rPr>
        <w:footnoteReference w:id="21"/>
      </w:r>
      <w:r w:rsidRPr="000E4F58">
        <w:rPr>
          <w:noProof/>
        </w:rPr>
        <w:t>, rozporządzenie (UE) 2017/1939 wdrażające wzmocnioną współpracę</w:t>
      </w:r>
      <w:r w:rsidR="00F96240" w:rsidRPr="000E4F58">
        <w:rPr>
          <w:noProof/>
        </w:rPr>
        <w:t xml:space="preserve"> w</w:t>
      </w:r>
      <w:r w:rsidR="00F96240">
        <w:rPr>
          <w:noProof/>
        </w:rPr>
        <w:t> </w:t>
      </w:r>
      <w:r w:rsidR="00F96240" w:rsidRPr="000E4F58">
        <w:rPr>
          <w:noProof/>
        </w:rPr>
        <w:t>zak</w:t>
      </w:r>
      <w:r w:rsidRPr="000E4F58">
        <w:rPr>
          <w:noProof/>
        </w:rPr>
        <w:t>resie ustanowienia Prokuratury Europejskiej (EPPO)</w:t>
      </w:r>
      <w:r w:rsidRPr="000E4F58">
        <w:rPr>
          <w:rStyle w:val="FootnoteReference"/>
          <w:noProof/>
        </w:rPr>
        <w:footnoteReference w:id="22"/>
      </w:r>
      <w:r w:rsidRPr="000E4F58">
        <w:rPr>
          <w:noProof/>
        </w:rPr>
        <w:t>, decyzja ramowa Rady 2002/465/WSiSW</w:t>
      </w:r>
      <w:r w:rsidR="00F96240" w:rsidRPr="000E4F58">
        <w:rPr>
          <w:noProof/>
        </w:rPr>
        <w:t xml:space="preserve"> w</w:t>
      </w:r>
      <w:r w:rsidR="00F96240">
        <w:rPr>
          <w:noProof/>
        </w:rPr>
        <w:t> </w:t>
      </w:r>
      <w:r w:rsidR="00F96240" w:rsidRPr="000E4F58">
        <w:rPr>
          <w:noProof/>
        </w:rPr>
        <w:t>spr</w:t>
      </w:r>
      <w:r w:rsidRPr="000E4F58">
        <w:rPr>
          <w:noProof/>
        </w:rPr>
        <w:t>awie wspólnych zespołów dochodzeniowo-śledczych</w:t>
      </w:r>
      <w:r w:rsidRPr="000E4F58">
        <w:rPr>
          <w:rStyle w:val="FootnoteReference"/>
          <w:noProof/>
        </w:rPr>
        <w:footnoteReference w:id="23"/>
      </w:r>
      <w:r w:rsidRPr="000E4F58">
        <w:rPr>
          <w:noProof/>
        </w:rPr>
        <w:t xml:space="preserve"> oraz decyzja ramowa Rady 2009/948/WSiSW</w:t>
      </w:r>
      <w:r w:rsidR="00F96240" w:rsidRPr="000E4F58">
        <w:rPr>
          <w:noProof/>
        </w:rPr>
        <w:t xml:space="preserve"> w</w:t>
      </w:r>
      <w:r w:rsidR="00F96240">
        <w:rPr>
          <w:noProof/>
        </w:rPr>
        <w:t> </w:t>
      </w:r>
      <w:r w:rsidR="00F96240" w:rsidRPr="000E4F58">
        <w:rPr>
          <w:noProof/>
        </w:rPr>
        <w:t>spr</w:t>
      </w:r>
      <w:r w:rsidRPr="000E4F58">
        <w:rPr>
          <w:noProof/>
        </w:rPr>
        <w:t>awie zapobiegania konfliktom jurysdykcji</w:t>
      </w:r>
      <w:r w:rsidR="00F96240" w:rsidRPr="000E4F58">
        <w:rPr>
          <w:noProof/>
        </w:rPr>
        <w:t xml:space="preserve"> w</w:t>
      </w:r>
      <w:r w:rsidR="00F96240">
        <w:rPr>
          <w:noProof/>
        </w:rPr>
        <w:t> </w:t>
      </w:r>
      <w:r w:rsidR="00F96240" w:rsidRPr="000E4F58">
        <w:rPr>
          <w:noProof/>
        </w:rPr>
        <w:t>pos</w:t>
      </w:r>
      <w:r w:rsidRPr="000E4F58">
        <w:rPr>
          <w:noProof/>
        </w:rPr>
        <w:t>tępowaniu karnym</w:t>
      </w:r>
      <w:r w:rsidR="00F96240" w:rsidRPr="000E4F58">
        <w:rPr>
          <w:noProof/>
        </w:rPr>
        <w:t xml:space="preserve"> i</w:t>
      </w:r>
      <w:r w:rsidR="00F96240">
        <w:rPr>
          <w:noProof/>
        </w:rPr>
        <w:t> </w:t>
      </w:r>
      <w:r w:rsidR="00F96240" w:rsidRPr="000E4F58">
        <w:rPr>
          <w:noProof/>
        </w:rPr>
        <w:t>w</w:t>
      </w:r>
      <w:r w:rsidR="00F96240">
        <w:rPr>
          <w:noProof/>
        </w:rPr>
        <w:t> </w:t>
      </w:r>
      <w:r w:rsidR="00F96240" w:rsidRPr="000E4F58">
        <w:rPr>
          <w:noProof/>
        </w:rPr>
        <w:t>spr</w:t>
      </w:r>
      <w:r w:rsidRPr="000E4F58">
        <w:rPr>
          <w:noProof/>
        </w:rPr>
        <w:t>awie rozstrzygania takich konfliktów</w:t>
      </w:r>
      <w:r w:rsidRPr="000E4F58">
        <w:rPr>
          <w:rStyle w:val="FootnoteReference"/>
          <w:noProof/>
        </w:rPr>
        <w:footnoteReference w:id="24"/>
      </w:r>
      <w:r w:rsidRPr="000E4F58">
        <w:rPr>
          <w:noProof/>
        </w:rPr>
        <w:t>. Istotne są również wnioski Komisji</w:t>
      </w:r>
      <w:r w:rsidR="00F96240" w:rsidRPr="000E4F58">
        <w:rPr>
          <w:noProof/>
        </w:rPr>
        <w:t xml:space="preserve"> z</w:t>
      </w:r>
      <w:r w:rsidR="00F96240">
        <w:rPr>
          <w:noProof/>
        </w:rPr>
        <w:t> </w:t>
      </w:r>
      <w:r w:rsidR="00F96240" w:rsidRPr="000E4F58">
        <w:rPr>
          <w:noProof/>
        </w:rPr>
        <w:t>kwi</w:t>
      </w:r>
      <w:r w:rsidRPr="000E4F58">
        <w:rPr>
          <w:noProof/>
        </w:rPr>
        <w:t>etnia 20</w:t>
      </w:r>
      <w:r w:rsidRPr="00F96240">
        <w:rPr>
          <w:noProof/>
        </w:rPr>
        <w:t>18</w:t>
      </w:r>
      <w:r w:rsidR="00F96240" w:rsidRPr="00F96240">
        <w:rPr>
          <w:noProof/>
        </w:rPr>
        <w:t> </w:t>
      </w:r>
      <w:r w:rsidRPr="00F96240">
        <w:rPr>
          <w:noProof/>
        </w:rPr>
        <w:t>r.</w:t>
      </w:r>
      <w:r w:rsidR="00F96240" w:rsidRPr="000E4F58">
        <w:rPr>
          <w:noProof/>
        </w:rPr>
        <w:t xml:space="preserve"> w</w:t>
      </w:r>
      <w:r w:rsidR="00F96240">
        <w:rPr>
          <w:noProof/>
        </w:rPr>
        <w:t> </w:t>
      </w:r>
      <w:r w:rsidR="00F96240" w:rsidRPr="000E4F58">
        <w:rPr>
          <w:noProof/>
        </w:rPr>
        <w:t>spr</w:t>
      </w:r>
      <w:r w:rsidRPr="000E4F58">
        <w:rPr>
          <w:noProof/>
        </w:rPr>
        <w:t>awie transgranicznego dostępu do elektronicznego materiału dowodowego</w:t>
      </w:r>
      <w:r w:rsidRPr="000E4F58">
        <w:rPr>
          <w:rStyle w:val="FootnoteReference"/>
          <w:rFonts w:eastAsia="Arial Unicode MS"/>
          <w:noProof/>
        </w:rPr>
        <w:footnoteReference w:id="25"/>
      </w:r>
      <w:r w:rsidRPr="000E4F58">
        <w:rPr>
          <w:noProof/>
        </w:rPr>
        <w:t xml:space="preserve"> oraz pakiet dotyczący współpracy policyjnej</w:t>
      </w:r>
      <w:r w:rsidRPr="000E4F58">
        <w:rPr>
          <w:rStyle w:val="FootnoteReference"/>
          <w:noProof/>
        </w:rPr>
        <w:footnoteReference w:id="26"/>
      </w:r>
      <w:r w:rsidRPr="000E4F58">
        <w:rPr>
          <w:noProof/>
        </w:rPr>
        <w:t>, który jest obecnie przedmiotem unijnej procedury ustawodawczej. Na zewnątrz Unia Europejska zawarła szereg umów dwustronnych</w:t>
      </w:r>
      <w:r w:rsidR="00F96240" w:rsidRPr="000E4F58">
        <w:rPr>
          <w:noProof/>
        </w:rPr>
        <w:t xml:space="preserve"> z</w:t>
      </w:r>
      <w:r w:rsidR="00F96240">
        <w:rPr>
          <w:noProof/>
        </w:rPr>
        <w:t> </w:t>
      </w:r>
      <w:r w:rsidR="00F96240" w:rsidRPr="000E4F58">
        <w:rPr>
          <w:noProof/>
        </w:rPr>
        <w:t>pań</w:t>
      </w:r>
      <w:r w:rsidRPr="000E4F58">
        <w:rPr>
          <w:noProof/>
        </w:rPr>
        <w:t>stwami trzecimi, np. Porozumienie</w:t>
      </w:r>
      <w:r w:rsidR="00F96240" w:rsidRPr="000E4F58">
        <w:rPr>
          <w:noProof/>
        </w:rPr>
        <w:t xml:space="preserve"> o</w:t>
      </w:r>
      <w:r w:rsidR="00F96240">
        <w:rPr>
          <w:noProof/>
        </w:rPr>
        <w:t> </w:t>
      </w:r>
      <w:r w:rsidR="00F96240" w:rsidRPr="000E4F58">
        <w:rPr>
          <w:noProof/>
        </w:rPr>
        <w:t>wza</w:t>
      </w:r>
      <w:r w:rsidRPr="000E4F58">
        <w:rPr>
          <w:noProof/>
        </w:rPr>
        <w:t>jemnej pomocy prawnej między Unią Europejską</w:t>
      </w:r>
      <w:r w:rsidR="00F96240" w:rsidRPr="000E4F58">
        <w:rPr>
          <w:noProof/>
        </w:rPr>
        <w:t xml:space="preserve"> a</w:t>
      </w:r>
      <w:r w:rsidR="00F96240">
        <w:rPr>
          <w:noProof/>
        </w:rPr>
        <w:t> </w:t>
      </w:r>
      <w:r w:rsidR="00F96240" w:rsidRPr="000E4F58">
        <w:rPr>
          <w:noProof/>
        </w:rPr>
        <w:t>Sta</w:t>
      </w:r>
      <w:r w:rsidRPr="000E4F58">
        <w:rPr>
          <w:noProof/>
        </w:rPr>
        <w:t>nami Zjednoczonymi Ameryki oraz między Unią Europejską</w:t>
      </w:r>
      <w:r w:rsidR="00F96240" w:rsidRPr="000E4F58">
        <w:rPr>
          <w:noProof/>
        </w:rPr>
        <w:t xml:space="preserve"> a</w:t>
      </w:r>
      <w:r w:rsidR="00F96240">
        <w:rPr>
          <w:noProof/>
        </w:rPr>
        <w:t> </w:t>
      </w:r>
      <w:r w:rsidR="00F96240" w:rsidRPr="000E4F58">
        <w:rPr>
          <w:noProof/>
        </w:rPr>
        <w:t>Jap</w:t>
      </w:r>
      <w:r w:rsidRPr="000E4F58">
        <w:rPr>
          <w:noProof/>
        </w:rPr>
        <w:t>onią</w:t>
      </w:r>
      <w:r w:rsidRPr="000E4F58">
        <w:rPr>
          <w:rStyle w:val="FootnoteReference"/>
          <w:rFonts w:eastAsia="Arial Unicode MS"/>
          <w:noProof/>
        </w:rPr>
        <w:footnoteReference w:id="27"/>
      </w:r>
      <w:r w:rsidRPr="000E4F58">
        <w:rPr>
          <w:noProof/>
        </w:rPr>
        <w:t>.</w:t>
      </w:r>
    </w:p>
    <w:p w14:paraId="088249D3" w14:textId="01C048EC" w:rsidR="00B978EF" w:rsidRPr="000E4F58" w:rsidRDefault="00D90C58" w:rsidP="00D90C58">
      <w:pPr>
        <w:pBdr>
          <w:top w:val="nil"/>
          <w:left w:val="nil"/>
          <w:bottom w:val="nil"/>
          <w:right w:val="nil"/>
          <w:between w:val="nil"/>
          <w:bar w:val="nil"/>
        </w:pBdr>
        <w:spacing w:before="0" w:after="240"/>
        <w:rPr>
          <w:noProof/>
        </w:rPr>
      </w:pPr>
      <w:r w:rsidRPr="000E4F58">
        <w:rPr>
          <w:noProof/>
        </w:rPr>
        <w:t>Unia przyjęła również szereg dyrektyw, które wzmacniają prawa procesowe podejrzanych</w:t>
      </w:r>
      <w:r w:rsidR="00F96240" w:rsidRPr="000E4F58">
        <w:rPr>
          <w:noProof/>
        </w:rPr>
        <w:t xml:space="preserve"> i</w:t>
      </w:r>
      <w:r w:rsidR="00F96240">
        <w:rPr>
          <w:noProof/>
        </w:rPr>
        <w:t> </w:t>
      </w:r>
      <w:r w:rsidR="00F96240" w:rsidRPr="000E4F58">
        <w:rPr>
          <w:noProof/>
        </w:rPr>
        <w:t>osk</w:t>
      </w:r>
      <w:r w:rsidRPr="000E4F58">
        <w:rPr>
          <w:noProof/>
        </w:rPr>
        <w:t>arżonych</w:t>
      </w:r>
      <w:r w:rsidRPr="000E4F58">
        <w:rPr>
          <w:rStyle w:val="FootnoteReference"/>
          <w:rFonts w:eastAsia="Arial Unicode MS"/>
          <w:noProof/>
        </w:rPr>
        <w:footnoteReference w:id="28"/>
      </w:r>
      <w:r w:rsidRPr="000E4F58">
        <w:rPr>
          <w:noProof/>
        </w:rPr>
        <w:t>. Ochrona danych osobowych jest prawem podstawowym zapisanym</w:t>
      </w:r>
      <w:r w:rsidR="00F96240" w:rsidRPr="000E4F58">
        <w:rPr>
          <w:noProof/>
        </w:rPr>
        <w:t xml:space="preserve"> w</w:t>
      </w:r>
      <w:r w:rsidR="00F96240">
        <w:rPr>
          <w:noProof/>
        </w:rPr>
        <w:t> </w:t>
      </w:r>
      <w:r w:rsidR="00F96240" w:rsidRPr="00F96240">
        <w:rPr>
          <w:noProof/>
        </w:rPr>
        <w:t>art</w:t>
      </w:r>
      <w:r w:rsidRPr="00F96240">
        <w:rPr>
          <w:noProof/>
        </w:rPr>
        <w:t>.</w:t>
      </w:r>
      <w:r w:rsidR="00F96240" w:rsidRPr="00F96240">
        <w:rPr>
          <w:noProof/>
        </w:rPr>
        <w:t> </w:t>
      </w:r>
      <w:r w:rsidRPr="00F96240">
        <w:rPr>
          <w:noProof/>
        </w:rPr>
        <w:t>1</w:t>
      </w:r>
      <w:r w:rsidRPr="000E4F58">
        <w:rPr>
          <w:noProof/>
        </w:rPr>
        <w:t>6 TFUE</w:t>
      </w:r>
      <w:r w:rsidR="00F96240" w:rsidRPr="000E4F58">
        <w:rPr>
          <w:noProof/>
        </w:rPr>
        <w:t xml:space="preserve"> i</w:t>
      </w:r>
      <w:r w:rsidR="00F96240">
        <w:rPr>
          <w:noProof/>
        </w:rPr>
        <w:t> </w:t>
      </w:r>
      <w:r w:rsidR="00F96240" w:rsidRPr="00F96240">
        <w:rPr>
          <w:noProof/>
        </w:rPr>
        <w:t>art</w:t>
      </w:r>
      <w:r w:rsidRPr="00F96240">
        <w:rPr>
          <w:noProof/>
        </w:rPr>
        <w:t>.</w:t>
      </w:r>
      <w:r w:rsidR="00F96240" w:rsidRPr="00F96240">
        <w:rPr>
          <w:noProof/>
        </w:rPr>
        <w:t> </w:t>
      </w:r>
      <w:r w:rsidRPr="00F96240">
        <w:rPr>
          <w:noProof/>
        </w:rPr>
        <w:t>8</w:t>
      </w:r>
      <w:r w:rsidRPr="000E4F58">
        <w:rPr>
          <w:noProof/>
        </w:rPr>
        <w:t xml:space="preserve"> Karty praw podstawowych Unii Europejskiej. Dane osobowe muszą być przetwarzane zgodnie</w:t>
      </w:r>
      <w:r w:rsidR="00F96240" w:rsidRPr="000E4F58">
        <w:rPr>
          <w:noProof/>
        </w:rPr>
        <w:t xml:space="preserve"> z</w:t>
      </w:r>
      <w:r w:rsidR="00F96240">
        <w:rPr>
          <w:noProof/>
        </w:rPr>
        <w:t> </w:t>
      </w:r>
      <w:r w:rsidR="00F96240" w:rsidRPr="000E4F58">
        <w:rPr>
          <w:noProof/>
        </w:rPr>
        <w:t>roz</w:t>
      </w:r>
      <w:r w:rsidRPr="000E4F58">
        <w:rPr>
          <w:noProof/>
        </w:rPr>
        <w:t>porządzeniem (UE) 2016/679 (ogólne rozporządzenie</w:t>
      </w:r>
      <w:r w:rsidR="00F96240" w:rsidRPr="000E4F58">
        <w:rPr>
          <w:noProof/>
        </w:rPr>
        <w:t xml:space="preserve"> o</w:t>
      </w:r>
      <w:r w:rsidR="00F96240">
        <w:rPr>
          <w:noProof/>
        </w:rPr>
        <w:t> </w:t>
      </w:r>
      <w:r w:rsidR="00F96240" w:rsidRPr="000E4F58">
        <w:rPr>
          <w:noProof/>
        </w:rPr>
        <w:t>och</w:t>
      </w:r>
      <w:r w:rsidRPr="000E4F58">
        <w:rPr>
          <w:noProof/>
        </w:rPr>
        <w:t>ronie danych)</w:t>
      </w:r>
      <w:r w:rsidRPr="000E4F58">
        <w:rPr>
          <w:rStyle w:val="FootnoteReference"/>
          <w:noProof/>
        </w:rPr>
        <w:footnoteReference w:id="29"/>
      </w:r>
      <w:r w:rsidR="00F96240" w:rsidRPr="000E4F58">
        <w:rPr>
          <w:noProof/>
        </w:rPr>
        <w:t xml:space="preserve"> i</w:t>
      </w:r>
      <w:r w:rsidR="00F96240">
        <w:rPr>
          <w:noProof/>
        </w:rPr>
        <w:t> </w:t>
      </w:r>
      <w:r w:rsidR="00F96240" w:rsidRPr="000E4F58">
        <w:rPr>
          <w:noProof/>
        </w:rPr>
        <w:t>dyr</w:t>
      </w:r>
      <w:r w:rsidRPr="000E4F58">
        <w:rPr>
          <w:noProof/>
        </w:rPr>
        <w:t>ektywą (UE) 2016/680 (dyrektywa</w:t>
      </w:r>
      <w:r w:rsidR="00F96240" w:rsidRPr="000E4F58">
        <w:rPr>
          <w:noProof/>
        </w:rPr>
        <w:t xml:space="preserve"> w</w:t>
      </w:r>
      <w:r w:rsidR="00F96240">
        <w:rPr>
          <w:noProof/>
        </w:rPr>
        <w:t> </w:t>
      </w:r>
      <w:r w:rsidR="00F96240" w:rsidRPr="000E4F58">
        <w:rPr>
          <w:noProof/>
        </w:rPr>
        <w:t>spr</w:t>
      </w:r>
      <w:r w:rsidRPr="000E4F58">
        <w:rPr>
          <w:noProof/>
        </w:rPr>
        <w:t>awie danych</w:t>
      </w:r>
      <w:r w:rsidR="00F96240" w:rsidRPr="000E4F58">
        <w:rPr>
          <w:noProof/>
        </w:rPr>
        <w:t xml:space="preserve"> w</w:t>
      </w:r>
      <w:r w:rsidR="00F96240">
        <w:rPr>
          <w:noProof/>
        </w:rPr>
        <w:t> </w:t>
      </w:r>
      <w:r w:rsidR="00F96240" w:rsidRPr="000E4F58">
        <w:rPr>
          <w:noProof/>
        </w:rPr>
        <w:t>sek</w:t>
      </w:r>
      <w:r w:rsidRPr="000E4F58">
        <w:rPr>
          <w:noProof/>
        </w:rPr>
        <w:t>torze policji)</w:t>
      </w:r>
      <w:r w:rsidRPr="000E4F58">
        <w:rPr>
          <w:rStyle w:val="FootnoteReference"/>
          <w:noProof/>
        </w:rPr>
        <w:footnoteReference w:id="30"/>
      </w:r>
      <w:r w:rsidRPr="000E4F58">
        <w:rPr>
          <w:noProof/>
        </w:rPr>
        <w:t>. Podstawowe prawo jednostki do poszanowania życia prywatnego</w:t>
      </w:r>
      <w:r w:rsidR="00F96240" w:rsidRPr="000E4F58">
        <w:rPr>
          <w:noProof/>
        </w:rPr>
        <w:t xml:space="preserve"> i</w:t>
      </w:r>
      <w:r w:rsidR="00F96240">
        <w:rPr>
          <w:noProof/>
        </w:rPr>
        <w:t> </w:t>
      </w:r>
      <w:r w:rsidR="00F96240" w:rsidRPr="000E4F58">
        <w:rPr>
          <w:noProof/>
        </w:rPr>
        <w:t>rod</w:t>
      </w:r>
      <w:r w:rsidRPr="000E4F58">
        <w:rPr>
          <w:noProof/>
        </w:rPr>
        <w:t>zinnego, domu</w:t>
      </w:r>
      <w:r w:rsidR="00F96240" w:rsidRPr="000E4F58">
        <w:rPr>
          <w:noProof/>
        </w:rPr>
        <w:t xml:space="preserve"> i</w:t>
      </w:r>
      <w:r w:rsidR="00F96240">
        <w:rPr>
          <w:noProof/>
        </w:rPr>
        <w:t> </w:t>
      </w:r>
      <w:r w:rsidR="00F96240" w:rsidRPr="000E4F58">
        <w:rPr>
          <w:noProof/>
        </w:rPr>
        <w:t>kom</w:t>
      </w:r>
      <w:r w:rsidRPr="000E4F58">
        <w:rPr>
          <w:noProof/>
        </w:rPr>
        <w:t>unikowania się zapisano również</w:t>
      </w:r>
      <w:r w:rsidR="00F96240" w:rsidRPr="000E4F58">
        <w:rPr>
          <w:noProof/>
        </w:rPr>
        <w:t xml:space="preserve"> w</w:t>
      </w:r>
      <w:r w:rsidR="00F96240">
        <w:rPr>
          <w:noProof/>
        </w:rPr>
        <w:t> </w:t>
      </w:r>
      <w:r w:rsidR="00F96240" w:rsidRPr="00F96240">
        <w:rPr>
          <w:noProof/>
        </w:rPr>
        <w:t>art</w:t>
      </w:r>
      <w:r w:rsidRPr="00F96240">
        <w:rPr>
          <w:noProof/>
        </w:rPr>
        <w:t>.</w:t>
      </w:r>
      <w:r w:rsidR="00F96240" w:rsidRPr="00F96240">
        <w:rPr>
          <w:noProof/>
        </w:rPr>
        <w:t> </w:t>
      </w:r>
      <w:r w:rsidRPr="00F96240">
        <w:rPr>
          <w:noProof/>
        </w:rPr>
        <w:t>7</w:t>
      </w:r>
      <w:r w:rsidRPr="000E4F58">
        <w:rPr>
          <w:noProof/>
        </w:rPr>
        <w:t xml:space="preserve"> Karty praw podstawowych. Jego zasadnicze elementy obejmują poszanowanie prywatności komunikacji oraz ochronę urządzeń końcowych użytkownika. Dane pochodzące</w:t>
      </w:r>
      <w:r w:rsidR="00F96240" w:rsidRPr="000E4F58">
        <w:rPr>
          <w:noProof/>
        </w:rPr>
        <w:t xml:space="preserve"> z</w:t>
      </w:r>
      <w:r w:rsidR="00F96240">
        <w:rPr>
          <w:noProof/>
        </w:rPr>
        <w:t> </w:t>
      </w:r>
      <w:r w:rsidR="00F96240" w:rsidRPr="000E4F58">
        <w:rPr>
          <w:noProof/>
        </w:rPr>
        <w:t>łąc</w:t>
      </w:r>
      <w:r w:rsidRPr="000E4F58">
        <w:rPr>
          <w:noProof/>
        </w:rPr>
        <w:t>zności elektronicznej muszą być przetwarzane zgodnie</w:t>
      </w:r>
      <w:r w:rsidR="00F96240" w:rsidRPr="000E4F58">
        <w:rPr>
          <w:noProof/>
        </w:rPr>
        <w:t xml:space="preserve"> z</w:t>
      </w:r>
      <w:r w:rsidR="00F96240">
        <w:rPr>
          <w:noProof/>
        </w:rPr>
        <w:t> </w:t>
      </w:r>
      <w:r w:rsidR="00F96240" w:rsidRPr="000E4F58">
        <w:rPr>
          <w:noProof/>
        </w:rPr>
        <w:t>dyr</w:t>
      </w:r>
      <w:r w:rsidRPr="000E4F58">
        <w:rPr>
          <w:noProof/>
        </w:rPr>
        <w:t>ektywą 2002/58/WE (dyrektywa o e-prywatności)</w:t>
      </w:r>
      <w:r w:rsidRPr="000E4F58">
        <w:rPr>
          <w:rStyle w:val="FootnoteReference"/>
          <w:noProof/>
        </w:rPr>
        <w:footnoteReference w:id="31"/>
      </w:r>
      <w:r w:rsidRPr="000E4F58">
        <w:rPr>
          <w:noProof/>
        </w:rPr>
        <w:t>.</w:t>
      </w:r>
    </w:p>
    <w:p w14:paraId="15326007" w14:textId="0317059F" w:rsidR="00D469B6" w:rsidRPr="000E4F58" w:rsidRDefault="00D469B6" w:rsidP="00D90C58">
      <w:pPr>
        <w:pBdr>
          <w:top w:val="nil"/>
          <w:left w:val="nil"/>
          <w:bottom w:val="nil"/>
          <w:right w:val="nil"/>
          <w:between w:val="nil"/>
          <w:bar w:val="nil"/>
        </w:pBdr>
        <w:spacing w:before="0" w:after="240"/>
        <w:rPr>
          <w:rFonts w:eastAsia="Arial Unicode MS"/>
          <w:noProof/>
        </w:rPr>
      </w:pPr>
      <w:r w:rsidRPr="000E4F58">
        <w:rPr>
          <w:noProof/>
        </w:rPr>
        <w:t>Negocjacje powinny zagwarantować, że postanowienia przyszłej konwencji ONZ zapewnią najwyższą możliwą ochronę praw człowieka,</w:t>
      </w:r>
      <w:r w:rsidR="00F96240" w:rsidRPr="000E4F58">
        <w:rPr>
          <w:noProof/>
        </w:rPr>
        <w:t xml:space="preserve"> a</w:t>
      </w:r>
      <w:r w:rsidR="00F96240">
        <w:rPr>
          <w:noProof/>
        </w:rPr>
        <w:t> </w:t>
      </w:r>
      <w:r w:rsidR="00F96240" w:rsidRPr="000E4F58">
        <w:rPr>
          <w:noProof/>
        </w:rPr>
        <w:t>pań</w:t>
      </w:r>
      <w:r w:rsidRPr="000E4F58">
        <w:rPr>
          <w:noProof/>
        </w:rPr>
        <w:t>stwa członkowskie będą mogły przestrzegać prawa Unii, uwzględniając także jego przyszły rozwój.</w:t>
      </w:r>
    </w:p>
    <w:p w14:paraId="489AA08B" w14:textId="070D4DA7" w:rsidR="00B978EF" w:rsidRPr="000E4F58" w:rsidRDefault="00B978EF" w:rsidP="00EC66B3">
      <w:pPr>
        <w:pStyle w:val="ManualHeading2"/>
        <w:rPr>
          <w:rFonts w:eastAsia="Arial Unicode MS"/>
          <w:noProof/>
        </w:rPr>
      </w:pPr>
      <w:r w:rsidRPr="000E4F58">
        <w:rPr>
          <w:noProof/>
          <w:color w:val="000000"/>
          <w:u w:color="000000"/>
          <w:bdr w:val="nil"/>
        </w:rPr>
        <w:t>•</w:t>
      </w:r>
      <w:r w:rsidRPr="000E4F58">
        <w:rPr>
          <w:noProof/>
        </w:rPr>
        <w:tab/>
        <w:t>Spójność</w:t>
      </w:r>
      <w:r w:rsidR="00F96240" w:rsidRPr="000E4F58">
        <w:rPr>
          <w:noProof/>
        </w:rPr>
        <w:t xml:space="preserve"> z</w:t>
      </w:r>
      <w:r w:rsidR="00F96240">
        <w:rPr>
          <w:noProof/>
        </w:rPr>
        <w:t> </w:t>
      </w:r>
      <w:r w:rsidR="00F96240" w:rsidRPr="000E4F58">
        <w:rPr>
          <w:noProof/>
        </w:rPr>
        <w:t>inn</w:t>
      </w:r>
      <w:r w:rsidRPr="000E4F58">
        <w:rPr>
          <w:noProof/>
        </w:rPr>
        <w:t>ymi politykami Unii</w:t>
      </w:r>
    </w:p>
    <w:p w14:paraId="6F0DD095" w14:textId="229F6FA5" w:rsidR="00D90C58" w:rsidRPr="000E4F58" w:rsidRDefault="00D90C58" w:rsidP="00D90C58">
      <w:pPr>
        <w:pBdr>
          <w:top w:val="nil"/>
          <w:left w:val="nil"/>
          <w:bottom w:val="nil"/>
          <w:right w:val="nil"/>
          <w:between w:val="nil"/>
          <w:bar w:val="nil"/>
        </w:pBdr>
        <w:spacing w:before="0" w:after="240"/>
        <w:rPr>
          <w:noProof/>
        </w:rPr>
      </w:pPr>
      <w:r w:rsidRPr="000E4F58">
        <w:rPr>
          <w:noProof/>
        </w:rPr>
        <w:t>Unia Europejska konsekwentnie propaguje Konwencję</w:t>
      </w:r>
      <w:r w:rsidR="00F96240" w:rsidRPr="000E4F58">
        <w:rPr>
          <w:noProof/>
        </w:rPr>
        <w:t xml:space="preserve"> o</w:t>
      </w:r>
      <w:r w:rsidR="00F96240">
        <w:rPr>
          <w:noProof/>
        </w:rPr>
        <w:t> </w:t>
      </w:r>
      <w:r w:rsidR="00F96240" w:rsidRPr="000E4F58">
        <w:rPr>
          <w:noProof/>
        </w:rPr>
        <w:t>cyb</w:t>
      </w:r>
      <w:r w:rsidRPr="000E4F58">
        <w:rPr>
          <w:noProof/>
        </w:rPr>
        <w:t>erprzestępczości jako cenne</w:t>
      </w:r>
      <w:r w:rsidR="00F96240" w:rsidRPr="000E4F58">
        <w:rPr>
          <w:noProof/>
        </w:rPr>
        <w:t xml:space="preserve"> i</w:t>
      </w:r>
      <w:r w:rsidR="00F96240">
        <w:rPr>
          <w:noProof/>
        </w:rPr>
        <w:t> </w:t>
      </w:r>
      <w:r w:rsidR="00F96240" w:rsidRPr="000E4F58">
        <w:rPr>
          <w:noProof/>
        </w:rPr>
        <w:t>ela</w:t>
      </w:r>
      <w:r w:rsidRPr="000E4F58">
        <w:rPr>
          <w:noProof/>
        </w:rPr>
        <w:t>styczne ramy prawne stanowiące punkt odniesienia dla współpracy międzynarodowej</w:t>
      </w:r>
      <w:r w:rsidR="00F96240" w:rsidRPr="000E4F58">
        <w:rPr>
          <w:noProof/>
        </w:rPr>
        <w:t xml:space="preserve"> w</w:t>
      </w:r>
      <w:r w:rsidR="00F96240">
        <w:rPr>
          <w:noProof/>
        </w:rPr>
        <w:t> </w:t>
      </w:r>
      <w:r w:rsidR="00F96240" w:rsidRPr="000E4F58">
        <w:rPr>
          <w:noProof/>
        </w:rPr>
        <w:t>wal</w:t>
      </w:r>
      <w:r w:rsidRPr="000E4F58">
        <w:rPr>
          <w:noProof/>
        </w:rPr>
        <w:t>ce</w:t>
      </w:r>
      <w:r w:rsidR="00F96240" w:rsidRPr="000E4F58">
        <w:rPr>
          <w:noProof/>
        </w:rPr>
        <w:t xml:space="preserve"> z</w:t>
      </w:r>
      <w:r w:rsidR="00F96240">
        <w:rPr>
          <w:noProof/>
        </w:rPr>
        <w:t> </w:t>
      </w:r>
      <w:r w:rsidR="00F96240" w:rsidRPr="000E4F58">
        <w:rPr>
          <w:noProof/>
        </w:rPr>
        <w:t>cyb</w:t>
      </w:r>
      <w:r w:rsidRPr="000E4F58">
        <w:rPr>
          <w:noProof/>
        </w:rPr>
        <w:t>erprzestępczością. Wspiera ona państwa trzecie</w:t>
      </w:r>
      <w:r w:rsidR="00F96240" w:rsidRPr="000E4F58">
        <w:rPr>
          <w:noProof/>
        </w:rPr>
        <w:t xml:space="preserve"> w</w:t>
      </w:r>
      <w:r w:rsidR="00F96240">
        <w:rPr>
          <w:noProof/>
        </w:rPr>
        <w:t> </w:t>
      </w:r>
      <w:r w:rsidR="00F96240" w:rsidRPr="000E4F58">
        <w:rPr>
          <w:noProof/>
        </w:rPr>
        <w:t>prz</w:t>
      </w:r>
      <w:r w:rsidRPr="000E4F58">
        <w:rPr>
          <w:noProof/>
        </w:rPr>
        <w:t>ystępowaniu do konwencji, umożliwiając im wprowadzenie minimalnych krajowych ram prawnych walki</w:t>
      </w:r>
      <w:r w:rsidR="00F96240" w:rsidRPr="000E4F58">
        <w:rPr>
          <w:noProof/>
        </w:rPr>
        <w:t xml:space="preserve"> z</w:t>
      </w:r>
      <w:r w:rsidR="00F96240">
        <w:rPr>
          <w:noProof/>
        </w:rPr>
        <w:t> </w:t>
      </w:r>
      <w:r w:rsidR="00F96240" w:rsidRPr="000E4F58">
        <w:rPr>
          <w:noProof/>
        </w:rPr>
        <w:t>cyb</w:t>
      </w:r>
      <w:r w:rsidRPr="000E4F58">
        <w:rPr>
          <w:noProof/>
        </w:rPr>
        <w:t>erprzestępczością,</w:t>
      </w:r>
      <w:r w:rsidR="00F96240" w:rsidRPr="000E4F58">
        <w:rPr>
          <w:noProof/>
        </w:rPr>
        <w:t xml:space="preserve"> a</w:t>
      </w:r>
      <w:r w:rsidR="00F96240">
        <w:rPr>
          <w:noProof/>
        </w:rPr>
        <w:t> </w:t>
      </w:r>
      <w:r w:rsidR="00F96240" w:rsidRPr="000E4F58">
        <w:rPr>
          <w:noProof/>
        </w:rPr>
        <w:t>tak</w:t>
      </w:r>
      <w:r w:rsidRPr="000E4F58">
        <w:rPr>
          <w:noProof/>
        </w:rPr>
        <w:t>że rozwijanie niezbędnych zdolności</w:t>
      </w:r>
      <w:r w:rsidR="00F96240" w:rsidRPr="000E4F58">
        <w:rPr>
          <w:noProof/>
        </w:rPr>
        <w:t xml:space="preserve"> w</w:t>
      </w:r>
      <w:r w:rsidR="00F96240">
        <w:rPr>
          <w:noProof/>
        </w:rPr>
        <w:t> </w:t>
      </w:r>
      <w:r w:rsidR="00F96240" w:rsidRPr="000E4F58">
        <w:rPr>
          <w:noProof/>
        </w:rPr>
        <w:t>zak</w:t>
      </w:r>
      <w:r w:rsidRPr="000E4F58">
        <w:rPr>
          <w:noProof/>
        </w:rPr>
        <w:t>resie prowadzenia postępowań przygotowawczych</w:t>
      </w:r>
      <w:r w:rsidR="00F96240" w:rsidRPr="000E4F58">
        <w:rPr>
          <w:noProof/>
        </w:rPr>
        <w:t xml:space="preserve"> i</w:t>
      </w:r>
      <w:r w:rsidR="00F96240">
        <w:rPr>
          <w:noProof/>
        </w:rPr>
        <w:t> </w:t>
      </w:r>
      <w:r w:rsidR="00F96240" w:rsidRPr="000E4F58">
        <w:rPr>
          <w:noProof/>
        </w:rPr>
        <w:t>ści</w:t>
      </w:r>
      <w:r w:rsidRPr="000E4F58">
        <w:rPr>
          <w:noProof/>
        </w:rPr>
        <w:t>gania karnego oraz ułatwianie współpracy</w:t>
      </w:r>
      <w:r w:rsidR="00F96240" w:rsidRPr="000E4F58">
        <w:rPr>
          <w:noProof/>
        </w:rPr>
        <w:t xml:space="preserve"> z</w:t>
      </w:r>
      <w:r w:rsidR="00F96240">
        <w:rPr>
          <w:noProof/>
        </w:rPr>
        <w:t> </w:t>
      </w:r>
      <w:r w:rsidR="00F96240" w:rsidRPr="000E4F58">
        <w:rPr>
          <w:noProof/>
        </w:rPr>
        <w:t>inn</w:t>
      </w:r>
      <w:r w:rsidRPr="000E4F58">
        <w:rPr>
          <w:noProof/>
        </w:rPr>
        <w:t>ymi stronami konwencji</w:t>
      </w:r>
      <w:r w:rsidRPr="000E4F58">
        <w:rPr>
          <w:rStyle w:val="FootnoteReference"/>
          <w:noProof/>
        </w:rPr>
        <w:footnoteReference w:id="32"/>
      </w:r>
      <w:r w:rsidRPr="000E4F58">
        <w:rPr>
          <w:noProof/>
        </w:rPr>
        <w:t xml:space="preserve">. </w:t>
      </w:r>
    </w:p>
    <w:p w14:paraId="456B751E" w14:textId="1EE9CAA5" w:rsidR="004F6FDA" w:rsidRPr="000E4F58" w:rsidRDefault="00D90C58" w:rsidP="00D90C58">
      <w:pPr>
        <w:pBdr>
          <w:top w:val="nil"/>
          <w:left w:val="nil"/>
          <w:bottom w:val="nil"/>
          <w:right w:val="nil"/>
          <w:between w:val="nil"/>
          <w:bar w:val="nil"/>
        </w:pBdr>
        <w:spacing w:before="0" w:after="240"/>
        <w:rPr>
          <w:noProof/>
        </w:rPr>
      </w:pPr>
      <w:r w:rsidRPr="000E4F58">
        <w:rPr>
          <w:noProof/>
        </w:rPr>
        <w:t>UE, reprezentowana przez Komisję, jest również aktywnie zaangażowana</w:t>
      </w:r>
      <w:r w:rsidR="00F96240" w:rsidRPr="000E4F58">
        <w:rPr>
          <w:noProof/>
        </w:rPr>
        <w:t xml:space="preserve"> w</w:t>
      </w:r>
      <w:r w:rsidR="00F96240">
        <w:rPr>
          <w:noProof/>
        </w:rPr>
        <w:t> </w:t>
      </w:r>
      <w:r w:rsidR="00F96240" w:rsidRPr="000E4F58">
        <w:rPr>
          <w:noProof/>
        </w:rPr>
        <w:t>neg</w:t>
      </w:r>
      <w:r w:rsidRPr="000E4F58">
        <w:rPr>
          <w:noProof/>
        </w:rPr>
        <w:t>ocjacje dotyczące drugiego protokołu dodatkowego do Konwencji</w:t>
      </w:r>
      <w:r w:rsidR="00F96240" w:rsidRPr="000E4F58">
        <w:rPr>
          <w:noProof/>
        </w:rPr>
        <w:t xml:space="preserve"> o</w:t>
      </w:r>
      <w:r w:rsidR="00F96240">
        <w:rPr>
          <w:noProof/>
        </w:rPr>
        <w:t> </w:t>
      </w:r>
      <w:r w:rsidR="00F96240" w:rsidRPr="000E4F58">
        <w:rPr>
          <w:noProof/>
        </w:rPr>
        <w:t>cyb</w:t>
      </w:r>
      <w:r w:rsidRPr="000E4F58">
        <w:rPr>
          <w:noProof/>
        </w:rPr>
        <w:t>erprzestępczości</w:t>
      </w:r>
      <w:r w:rsidRPr="000E4F58">
        <w:rPr>
          <w:rStyle w:val="FootnoteReference"/>
          <w:rFonts w:eastAsia="Arial Unicode MS"/>
          <w:noProof/>
        </w:rPr>
        <w:footnoteReference w:id="33"/>
      </w:r>
      <w:r w:rsidRPr="000E4F58">
        <w:rPr>
          <w:noProof/>
        </w:rPr>
        <w:t>. Protokół zostanie otwarty do podpisu</w:t>
      </w:r>
      <w:r w:rsidR="00F96240" w:rsidRPr="000E4F58">
        <w:rPr>
          <w:noProof/>
        </w:rPr>
        <w:t xml:space="preserve"> w</w:t>
      </w:r>
      <w:r w:rsidR="00F96240">
        <w:rPr>
          <w:noProof/>
        </w:rPr>
        <w:t> </w:t>
      </w:r>
      <w:r w:rsidR="00F96240" w:rsidRPr="000E4F58">
        <w:rPr>
          <w:noProof/>
        </w:rPr>
        <w:t>maj</w:t>
      </w:r>
      <w:r w:rsidRPr="000E4F58">
        <w:rPr>
          <w:noProof/>
        </w:rPr>
        <w:t>u 20</w:t>
      </w:r>
      <w:r w:rsidRPr="00F96240">
        <w:rPr>
          <w:noProof/>
        </w:rPr>
        <w:t>22</w:t>
      </w:r>
      <w:r w:rsidR="00F96240" w:rsidRPr="00F96240">
        <w:rPr>
          <w:noProof/>
        </w:rPr>
        <w:t> </w:t>
      </w:r>
      <w:r w:rsidRPr="00F96240">
        <w:rPr>
          <w:noProof/>
        </w:rPr>
        <w:t>r.</w:t>
      </w:r>
      <w:r w:rsidRPr="000E4F58">
        <w:rPr>
          <w:noProof/>
        </w:rPr>
        <w:t xml:space="preserve"> Ponieważ kwestie objęte drugim protokołem dodatkowym wchodzą</w:t>
      </w:r>
      <w:r w:rsidR="00F96240" w:rsidRPr="000E4F58">
        <w:rPr>
          <w:noProof/>
        </w:rPr>
        <w:t xml:space="preserve"> w</w:t>
      </w:r>
      <w:r w:rsidR="00F96240">
        <w:rPr>
          <w:noProof/>
        </w:rPr>
        <w:t> </w:t>
      </w:r>
      <w:r w:rsidR="00F96240" w:rsidRPr="000E4F58">
        <w:rPr>
          <w:noProof/>
        </w:rPr>
        <w:t>zak</w:t>
      </w:r>
      <w:r w:rsidRPr="000E4F58">
        <w:rPr>
          <w:noProof/>
        </w:rPr>
        <w:t>res wyłącznych kompetencji Unii, 25 listopada 20</w:t>
      </w:r>
      <w:r w:rsidRPr="00F96240">
        <w:rPr>
          <w:noProof/>
        </w:rPr>
        <w:t>21</w:t>
      </w:r>
      <w:r w:rsidR="00F96240" w:rsidRPr="00F96240">
        <w:rPr>
          <w:noProof/>
        </w:rPr>
        <w:t> </w:t>
      </w:r>
      <w:r w:rsidRPr="00F96240">
        <w:rPr>
          <w:noProof/>
        </w:rPr>
        <w:t>r.</w:t>
      </w:r>
      <w:r w:rsidRPr="000E4F58">
        <w:rPr>
          <w:noProof/>
        </w:rPr>
        <w:t xml:space="preserve"> Komisja przyjęła dwa wnioski dotyczące decyzji Rady</w:t>
      </w:r>
      <w:r w:rsidR="00F96240" w:rsidRPr="000E4F58">
        <w:rPr>
          <w:noProof/>
        </w:rPr>
        <w:t xml:space="preserve"> w</w:t>
      </w:r>
      <w:r w:rsidR="00F96240">
        <w:rPr>
          <w:noProof/>
        </w:rPr>
        <w:t> </w:t>
      </w:r>
      <w:r w:rsidR="00F96240" w:rsidRPr="000E4F58">
        <w:rPr>
          <w:noProof/>
        </w:rPr>
        <w:t>spr</w:t>
      </w:r>
      <w:r w:rsidRPr="000E4F58">
        <w:rPr>
          <w:noProof/>
        </w:rPr>
        <w:t>awie upoważnienia państw członkowskich UE do podpisania</w:t>
      </w:r>
      <w:r w:rsidRPr="000E4F58">
        <w:rPr>
          <w:rStyle w:val="FootnoteReference"/>
          <w:noProof/>
        </w:rPr>
        <w:footnoteReference w:id="34"/>
      </w:r>
      <w:r w:rsidR="00F96240" w:rsidRPr="000E4F58">
        <w:rPr>
          <w:noProof/>
        </w:rPr>
        <w:t xml:space="preserve"> i</w:t>
      </w:r>
      <w:r w:rsidR="00F96240">
        <w:rPr>
          <w:noProof/>
        </w:rPr>
        <w:t> </w:t>
      </w:r>
      <w:r w:rsidR="00F96240" w:rsidRPr="000E4F58">
        <w:rPr>
          <w:noProof/>
        </w:rPr>
        <w:t>rat</w:t>
      </w:r>
      <w:r w:rsidRPr="000E4F58">
        <w:rPr>
          <w:noProof/>
        </w:rPr>
        <w:t>yfikowania</w:t>
      </w:r>
      <w:r w:rsidRPr="000E4F58">
        <w:rPr>
          <w:rStyle w:val="FootnoteReference"/>
          <w:noProof/>
        </w:rPr>
        <w:footnoteReference w:id="35"/>
      </w:r>
      <w:r w:rsidRPr="000E4F58">
        <w:rPr>
          <w:noProof/>
        </w:rPr>
        <w:t>,</w:t>
      </w:r>
      <w:r w:rsidR="00F96240" w:rsidRPr="000E4F58">
        <w:rPr>
          <w:noProof/>
        </w:rPr>
        <w:t xml:space="preserve"> w</w:t>
      </w:r>
      <w:r w:rsidR="00F96240">
        <w:rPr>
          <w:noProof/>
        </w:rPr>
        <w:t> </w:t>
      </w:r>
      <w:r w:rsidR="00F96240" w:rsidRPr="000E4F58">
        <w:rPr>
          <w:noProof/>
        </w:rPr>
        <w:t>int</w:t>
      </w:r>
      <w:r w:rsidRPr="000E4F58">
        <w:rPr>
          <w:noProof/>
        </w:rPr>
        <w:t>eresie Unii Europejskiej, drugiego protokołu dodatkowego do Konwencji</w:t>
      </w:r>
      <w:r w:rsidR="00F96240" w:rsidRPr="000E4F58">
        <w:rPr>
          <w:noProof/>
        </w:rPr>
        <w:t xml:space="preserve"> o</w:t>
      </w:r>
      <w:r w:rsidR="00F96240">
        <w:rPr>
          <w:noProof/>
        </w:rPr>
        <w:t> </w:t>
      </w:r>
      <w:r w:rsidR="00F96240" w:rsidRPr="000E4F58">
        <w:rPr>
          <w:noProof/>
        </w:rPr>
        <w:t>cyb</w:t>
      </w:r>
      <w:r w:rsidRPr="000E4F58">
        <w:rPr>
          <w:noProof/>
        </w:rPr>
        <w:t xml:space="preserve">erprzestępczości. </w:t>
      </w:r>
    </w:p>
    <w:p w14:paraId="48FDDB61" w14:textId="1324D38C" w:rsidR="00B978EF" w:rsidRPr="000E4F58" w:rsidRDefault="00D469B6" w:rsidP="00D90C58">
      <w:pPr>
        <w:pBdr>
          <w:top w:val="nil"/>
          <w:left w:val="nil"/>
          <w:bottom w:val="nil"/>
          <w:right w:val="nil"/>
          <w:between w:val="nil"/>
          <w:bar w:val="nil"/>
        </w:pBdr>
        <w:spacing w:before="0" w:after="240"/>
        <w:rPr>
          <w:rFonts w:eastAsia="Arial Unicode MS"/>
          <w:noProof/>
        </w:rPr>
      </w:pPr>
      <w:r w:rsidRPr="000E4F58">
        <w:rPr>
          <w:noProof/>
        </w:rPr>
        <w:t>W związku</w:t>
      </w:r>
      <w:r w:rsidR="00F96240" w:rsidRPr="000E4F58">
        <w:rPr>
          <w:noProof/>
        </w:rPr>
        <w:t xml:space="preserve"> z</w:t>
      </w:r>
      <w:r w:rsidR="00F96240">
        <w:rPr>
          <w:noProof/>
        </w:rPr>
        <w:t> </w:t>
      </w:r>
      <w:r w:rsidR="00F96240" w:rsidRPr="000E4F58">
        <w:rPr>
          <w:noProof/>
        </w:rPr>
        <w:t>tym</w:t>
      </w:r>
      <w:r w:rsidRPr="000E4F58">
        <w:rPr>
          <w:noProof/>
        </w:rPr>
        <w:t xml:space="preserve"> podczas negocjacji trzeba będzie również zapewnić zgodność</w:t>
      </w:r>
      <w:r w:rsidR="00F96240" w:rsidRPr="000E4F58">
        <w:rPr>
          <w:noProof/>
        </w:rPr>
        <w:t xml:space="preserve"> i</w:t>
      </w:r>
      <w:r w:rsidR="00F96240">
        <w:rPr>
          <w:noProof/>
        </w:rPr>
        <w:t> </w:t>
      </w:r>
      <w:r w:rsidR="00F96240" w:rsidRPr="000E4F58">
        <w:rPr>
          <w:noProof/>
        </w:rPr>
        <w:t>spó</w:t>
      </w:r>
      <w:r w:rsidRPr="000E4F58">
        <w:rPr>
          <w:noProof/>
        </w:rPr>
        <w:t>jność</w:t>
      </w:r>
      <w:r w:rsidR="00F96240" w:rsidRPr="000E4F58">
        <w:rPr>
          <w:noProof/>
        </w:rPr>
        <w:t xml:space="preserve"> z</w:t>
      </w:r>
      <w:r w:rsidR="00F96240">
        <w:rPr>
          <w:noProof/>
        </w:rPr>
        <w:t> </w:t>
      </w:r>
      <w:r w:rsidR="00F96240" w:rsidRPr="000E4F58">
        <w:rPr>
          <w:noProof/>
        </w:rPr>
        <w:t>Kon</w:t>
      </w:r>
      <w:r w:rsidRPr="000E4F58">
        <w:rPr>
          <w:noProof/>
        </w:rPr>
        <w:t>wencją</w:t>
      </w:r>
      <w:r w:rsidR="00F96240" w:rsidRPr="000E4F58">
        <w:rPr>
          <w:noProof/>
        </w:rPr>
        <w:t xml:space="preserve"> o</w:t>
      </w:r>
      <w:r w:rsidR="00F96240">
        <w:rPr>
          <w:noProof/>
        </w:rPr>
        <w:t> </w:t>
      </w:r>
      <w:r w:rsidR="00F96240" w:rsidRPr="000E4F58">
        <w:rPr>
          <w:noProof/>
        </w:rPr>
        <w:t>cyb</w:t>
      </w:r>
      <w:r w:rsidRPr="000E4F58">
        <w:rPr>
          <w:noProof/>
        </w:rPr>
        <w:t>erprzestępczości</w:t>
      </w:r>
      <w:r w:rsidR="00F96240" w:rsidRPr="000E4F58">
        <w:rPr>
          <w:noProof/>
        </w:rPr>
        <w:t xml:space="preserve"> i</w:t>
      </w:r>
      <w:r w:rsidR="00F96240">
        <w:rPr>
          <w:noProof/>
        </w:rPr>
        <w:t> </w:t>
      </w:r>
      <w:r w:rsidR="00F96240" w:rsidRPr="000E4F58">
        <w:rPr>
          <w:noProof/>
        </w:rPr>
        <w:t>jej</w:t>
      </w:r>
      <w:r w:rsidRPr="000E4F58">
        <w:rPr>
          <w:noProof/>
        </w:rPr>
        <w:t xml:space="preserve"> protokołami dodatkowymi.</w:t>
      </w:r>
      <w:r w:rsidRPr="000E4F58">
        <w:rPr>
          <w:rStyle w:val="FootnoteReference"/>
          <w:noProof/>
        </w:rPr>
        <w:t xml:space="preserve"> </w:t>
      </w:r>
    </w:p>
    <w:p w14:paraId="4DD5ED0E" w14:textId="77777777" w:rsidR="00B978EF" w:rsidRPr="000E4F58" w:rsidRDefault="00B978EF" w:rsidP="009506B0">
      <w:pPr>
        <w:pBdr>
          <w:top w:val="nil"/>
          <w:left w:val="nil"/>
          <w:bottom w:val="nil"/>
          <w:right w:val="nil"/>
          <w:between w:val="nil"/>
          <w:bar w:val="nil"/>
        </w:pBdr>
        <w:spacing w:before="0" w:after="240"/>
        <w:rPr>
          <w:noProof/>
        </w:rPr>
      </w:pPr>
      <w:r w:rsidRPr="000E4F58">
        <w:rPr>
          <w:b/>
          <w:noProof/>
        </w:rPr>
        <w:t>2</w:t>
      </w:r>
      <w:r w:rsidRPr="000E4F58">
        <w:rPr>
          <w:noProof/>
        </w:rPr>
        <w:t>.</w:t>
      </w:r>
      <w:r w:rsidRPr="000E4F58">
        <w:rPr>
          <w:noProof/>
        </w:rPr>
        <w:tab/>
      </w:r>
      <w:r w:rsidRPr="000E4F58">
        <w:rPr>
          <w:b/>
          <w:noProof/>
        </w:rPr>
        <w:t>PODSTAWA PRAWNA, POMOCNICZOŚĆ I PROPORCJONALNOŚĆ</w:t>
      </w:r>
    </w:p>
    <w:p w14:paraId="22F4239B" w14:textId="77777777"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Podstawa prawna</w:t>
      </w:r>
    </w:p>
    <w:p w14:paraId="0B06ABE8" w14:textId="3991E4DE" w:rsidR="00B978EF" w:rsidRPr="000E4F58" w:rsidRDefault="00D90C58" w:rsidP="00EC66B3">
      <w:pPr>
        <w:pBdr>
          <w:top w:val="nil"/>
          <w:left w:val="nil"/>
          <w:bottom w:val="nil"/>
          <w:right w:val="nil"/>
          <w:between w:val="nil"/>
          <w:bar w:val="nil"/>
        </w:pBdr>
        <w:spacing w:before="0" w:after="240"/>
        <w:rPr>
          <w:rFonts w:eastAsia="Arial Unicode MS"/>
          <w:noProof/>
        </w:rPr>
      </w:pPr>
      <w:r w:rsidRPr="000E4F58">
        <w:rPr>
          <w:noProof/>
        </w:rPr>
        <w:t xml:space="preserve">Art. 218 </w:t>
      </w:r>
      <w:r w:rsidRPr="00F96240">
        <w:rPr>
          <w:noProof/>
        </w:rPr>
        <w:t>ust.</w:t>
      </w:r>
      <w:r w:rsidR="00F96240" w:rsidRPr="00F96240">
        <w:rPr>
          <w:noProof/>
        </w:rPr>
        <w:t> </w:t>
      </w:r>
      <w:r w:rsidRPr="00F96240">
        <w:rPr>
          <w:noProof/>
        </w:rPr>
        <w:t>3</w:t>
      </w:r>
      <w:r w:rsidRPr="000E4F58">
        <w:rPr>
          <w:noProof/>
        </w:rPr>
        <w:t xml:space="preserve"> Traktatu</w:t>
      </w:r>
      <w:r w:rsidR="00F96240" w:rsidRPr="000E4F58">
        <w:rPr>
          <w:noProof/>
        </w:rPr>
        <w:t xml:space="preserve"> o</w:t>
      </w:r>
      <w:r w:rsidR="00F96240">
        <w:rPr>
          <w:noProof/>
        </w:rPr>
        <w:t> </w:t>
      </w:r>
      <w:r w:rsidR="00F96240" w:rsidRPr="000E4F58">
        <w:rPr>
          <w:noProof/>
        </w:rPr>
        <w:t>fun</w:t>
      </w:r>
      <w:r w:rsidRPr="000E4F58">
        <w:rPr>
          <w:noProof/>
        </w:rPr>
        <w:t>kcjonowaniu Unii Europejskiej (TFUE) stanowi, że Komisja ma przedstawić swoje zalecenia Radzie, która przyjmuje decyzję upoważniającą do podjęcia rokowań oraz mianującą negocjatora Unii. Zgodnie</w:t>
      </w:r>
      <w:r w:rsidR="00F96240" w:rsidRPr="000E4F58">
        <w:rPr>
          <w:noProof/>
        </w:rPr>
        <w:t xml:space="preserve"> z</w:t>
      </w:r>
      <w:r w:rsidR="00F96240">
        <w:rPr>
          <w:noProof/>
        </w:rPr>
        <w:t> </w:t>
      </w:r>
      <w:r w:rsidR="00F96240" w:rsidRPr="00F96240">
        <w:rPr>
          <w:noProof/>
        </w:rPr>
        <w:t>art</w:t>
      </w:r>
      <w:r w:rsidRPr="00F96240">
        <w:rPr>
          <w:noProof/>
        </w:rPr>
        <w:t>.</w:t>
      </w:r>
      <w:r w:rsidR="00F96240" w:rsidRPr="00F96240">
        <w:rPr>
          <w:noProof/>
        </w:rPr>
        <w:t> </w:t>
      </w:r>
      <w:r w:rsidRPr="00F96240">
        <w:rPr>
          <w:noProof/>
        </w:rPr>
        <w:t>2</w:t>
      </w:r>
      <w:r w:rsidRPr="000E4F58">
        <w:rPr>
          <w:noProof/>
        </w:rPr>
        <w:t xml:space="preserve">18 </w:t>
      </w:r>
      <w:r w:rsidRPr="00F96240">
        <w:rPr>
          <w:noProof/>
        </w:rPr>
        <w:t>ust.</w:t>
      </w:r>
      <w:r w:rsidR="00F96240" w:rsidRPr="00F96240">
        <w:rPr>
          <w:noProof/>
        </w:rPr>
        <w:t> </w:t>
      </w:r>
      <w:r w:rsidRPr="00F96240">
        <w:rPr>
          <w:noProof/>
        </w:rPr>
        <w:t>4</w:t>
      </w:r>
      <w:r w:rsidRPr="000E4F58">
        <w:rPr>
          <w:noProof/>
        </w:rPr>
        <w:t xml:space="preserve"> TFUE Rada może kierować wytyczne do negocjatora Unii.</w:t>
      </w:r>
    </w:p>
    <w:p w14:paraId="19FD9868" w14:textId="77777777"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 xml:space="preserve">Pomocniczość (w przypadku kompetencji niewyłącznych) </w:t>
      </w:r>
    </w:p>
    <w:p w14:paraId="30CC9F4E" w14:textId="6746A412" w:rsidR="00B978EF" w:rsidRPr="000E4F58" w:rsidRDefault="00D90C58" w:rsidP="00EC66B3">
      <w:pPr>
        <w:pBdr>
          <w:top w:val="nil"/>
          <w:left w:val="nil"/>
          <w:bottom w:val="nil"/>
          <w:right w:val="nil"/>
          <w:between w:val="nil"/>
          <w:bar w:val="nil"/>
        </w:pBdr>
        <w:spacing w:before="0" w:after="240"/>
        <w:rPr>
          <w:rFonts w:eastAsia="Arial Unicode MS"/>
          <w:noProof/>
        </w:rPr>
      </w:pPr>
      <w:r w:rsidRPr="000E4F58">
        <w:rPr>
          <w:noProof/>
        </w:rPr>
        <w:t>Działania jednostronne nie stanowiłyby alternatywy, ponieważ nie stanowiłyby wystarczającej podstawy do współpracy</w:t>
      </w:r>
      <w:r w:rsidR="00F96240" w:rsidRPr="000E4F58">
        <w:rPr>
          <w:noProof/>
        </w:rPr>
        <w:t xml:space="preserve"> z</w:t>
      </w:r>
      <w:r w:rsidR="00F96240">
        <w:rPr>
          <w:noProof/>
        </w:rPr>
        <w:t> </w:t>
      </w:r>
      <w:r w:rsidR="00F96240" w:rsidRPr="000E4F58">
        <w:rPr>
          <w:noProof/>
        </w:rPr>
        <w:t>pań</w:t>
      </w:r>
      <w:r w:rsidRPr="000E4F58">
        <w:rPr>
          <w:noProof/>
        </w:rPr>
        <w:t>stwami niebędącymi członkami UE. Przystąpienie do umowy wielostronnej, takiej jak wynegocjowana przez Unię możliwa przyszła konwencja ONZ, jest skuteczniejsze niż podejmowanie negocjacji</w:t>
      </w:r>
      <w:r w:rsidR="00F96240" w:rsidRPr="000E4F58">
        <w:rPr>
          <w:noProof/>
        </w:rPr>
        <w:t xml:space="preserve"> z</w:t>
      </w:r>
      <w:r w:rsidR="00F96240">
        <w:rPr>
          <w:noProof/>
        </w:rPr>
        <w:t> </w:t>
      </w:r>
      <w:r w:rsidR="00F96240" w:rsidRPr="000E4F58">
        <w:rPr>
          <w:noProof/>
        </w:rPr>
        <w:t>pos</w:t>
      </w:r>
      <w:r w:rsidRPr="000E4F58">
        <w:rPr>
          <w:noProof/>
        </w:rPr>
        <w:t>zczególnymi państwami niebędącymi członkami UE na poziomie dwustronnym.</w:t>
      </w:r>
    </w:p>
    <w:p w14:paraId="35083ECA" w14:textId="77777777"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Proporcjonalność</w:t>
      </w:r>
    </w:p>
    <w:p w14:paraId="185DA1DA" w14:textId="77777777" w:rsidR="00B978EF" w:rsidRPr="000E4F58" w:rsidRDefault="00D90C58" w:rsidP="00EC66B3">
      <w:pPr>
        <w:pBdr>
          <w:top w:val="nil"/>
          <w:left w:val="nil"/>
          <w:bottom w:val="nil"/>
          <w:right w:val="nil"/>
          <w:between w:val="nil"/>
          <w:bar w:val="nil"/>
        </w:pBdr>
        <w:spacing w:before="0" w:after="240"/>
        <w:rPr>
          <w:rFonts w:eastAsia="Arial Unicode MS"/>
          <w:noProof/>
        </w:rPr>
      </w:pPr>
      <w:r w:rsidRPr="000E4F58">
        <w:rPr>
          <w:noProof/>
        </w:rPr>
        <w:t>Inicjatywa nie wykracza poza to, co jest konieczne do osiągnięcia zakładanych celów polityki.</w:t>
      </w:r>
    </w:p>
    <w:p w14:paraId="5B16F332" w14:textId="77777777"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Wybór instrumentu</w:t>
      </w:r>
    </w:p>
    <w:p w14:paraId="1A7CBE8D" w14:textId="1A9C4471" w:rsidR="00B978EF" w:rsidRPr="000E4F58" w:rsidRDefault="00D90C58" w:rsidP="00EC66B3">
      <w:pPr>
        <w:pBdr>
          <w:top w:val="nil"/>
          <w:left w:val="nil"/>
          <w:bottom w:val="nil"/>
          <w:right w:val="nil"/>
          <w:between w:val="nil"/>
          <w:bar w:val="nil"/>
        </w:pBdr>
        <w:spacing w:before="0" w:after="240"/>
        <w:rPr>
          <w:rFonts w:eastAsia="Arial Unicode MS"/>
          <w:noProof/>
        </w:rPr>
      </w:pPr>
      <w:r w:rsidRPr="000E4F58">
        <w:rPr>
          <w:noProof/>
        </w:rPr>
        <w:t>Zalecenie Komisji dotyczące decyzji Rady upoważniającej do rozpoczęcia negocjacji jest zgodne</w:t>
      </w:r>
      <w:r w:rsidR="00F96240" w:rsidRPr="000E4F58">
        <w:rPr>
          <w:noProof/>
        </w:rPr>
        <w:t xml:space="preserve"> z</w:t>
      </w:r>
      <w:r w:rsidR="00F96240">
        <w:rPr>
          <w:noProof/>
        </w:rPr>
        <w:t> </w:t>
      </w:r>
      <w:r w:rsidR="00F96240" w:rsidRPr="00F96240">
        <w:rPr>
          <w:noProof/>
        </w:rPr>
        <w:t>art</w:t>
      </w:r>
      <w:r w:rsidRPr="00F96240">
        <w:rPr>
          <w:noProof/>
        </w:rPr>
        <w:t>.</w:t>
      </w:r>
      <w:r w:rsidR="00F96240" w:rsidRPr="00F96240">
        <w:rPr>
          <w:noProof/>
        </w:rPr>
        <w:t> </w:t>
      </w:r>
      <w:r w:rsidRPr="00F96240">
        <w:rPr>
          <w:noProof/>
        </w:rPr>
        <w:t>2</w:t>
      </w:r>
      <w:r w:rsidRPr="000E4F58">
        <w:rPr>
          <w:noProof/>
        </w:rPr>
        <w:t xml:space="preserve">18 </w:t>
      </w:r>
      <w:r w:rsidRPr="00F96240">
        <w:rPr>
          <w:noProof/>
        </w:rPr>
        <w:t>ust.</w:t>
      </w:r>
      <w:r w:rsidR="00F96240" w:rsidRPr="00F96240">
        <w:rPr>
          <w:noProof/>
        </w:rPr>
        <w:t> </w:t>
      </w:r>
      <w:r w:rsidRPr="00F96240">
        <w:rPr>
          <w:noProof/>
        </w:rPr>
        <w:t>3</w:t>
      </w:r>
      <w:r w:rsidRPr="000E4F58">
        <w:rPr>
          <w:noProof/>
        </w:rPr>
        <w:t xml:space="preserve"> TFUE, który stanowi, że Komisja przedstawia swoje zalecenia Radzie, która przyjmuje decyzję upoważniającą do podjęcia rokowań.</w:t>
      </w:r>
    </w:p>
    <w:p w14:paraId="3EA6E497" w14:textId="77777777" w:rsidR="00B978EF" w:rsidRPr="000E4F58" w:rsidRDefault="00B978EF" w:rsidP="00EC66B3">
      <w:pPr>
        <w:pStyle w:val="ManualHeading1"/>
        <w:rPr>
          <w:noProof/>
        </w:rPr>
      </w:pPr>
      <w:r w:rsidRPr="000E4F58">
        <w:rPr>
          <w:noProof/>
        </w:rPr>
        <w:t>3.</w:t>
      </w:r>
      <w:r w:rsidRPr="000E4F58">
        <w:rPr>
          <w:noProof/>
        </w:rPr>
        <w:tab/>
        <w:t xml:space="preserve">WYNIKI OCEN </w:t>
      </w:r>
      <w:r w:rsidRPr="000E4F58">
        <w:rPr>
          <w:i/>
          <w:iCs/>
          <w:noProof/>
        </w:rPr>
        <w:t>EX POST</w:t>
      </w:r>
      <w:r w:rsidRPr="000E4F58">
        <w:rPr>
          <w:noProof/>
        </w:rPr>
        <w:t>, KONSULTACJI Z ZAINTERESOWANYMI STRONAMI I OCEN SKUTKÓW</w:t>
      </w:r>
    </w:p>
    <w:p w14:paraId="239C45A1" w14:textId="77777777"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 xml:space="preserve">Oceny </w:t>
      </w:r>
      <w:r w:rsidRPr="000E4F58">
        <w:rPr>
          <w:i/>
          <w:iCs/>
          <w:noProof/>
          <w:u w:color="000000"/>
          <w:bdr w:val="nil"/>
        </w:rPr>
        <w:t>ex post</w:t>
      </w:r>
      <w:r w:rsidRPr="000E4F58">
        <w:rPr>
          <w:noProof/>
          <w:u w:color="000000"/>
          <w:bdr w:val="nil"/>
        </w:rPr>
        <w:t>/oceny adekwatności obowiązującego prawodawstwa</w:t>
      </w:r>
    </w:p>
    <w:p w14:paraId="3D2803FC" w14:textId="77777777" w:rsidR="00B978EF" w:rsidRPr="000E4F58" w:rsidRDefault="00D90C58" w:rsidP="00EC66B3">
      <w:pPr>
        <w:pBdr>
          <w:top w:val="nil"/>
          <w:left w:val="nil"/>
          <w:bottom w:val="nil"/>
          <w:right w:val="nil"/>
          <w:between w:val="nil"/>
          <w:bar w:val="nil"/>
        </w:pBdr>
        <w:spacing w:before="0" w:after="240"/>
        <w:rPr>
          <w:rFonts w:eastAsia="Arial Unicode MS"/>
          <w:noProof/>
        </w:rPr>
      </w:pPr>
      <w:r w:rsidRPr="000E4F58">
        <w:rPr>
          <w:noProof/>
        </w:rPr>
        <w:t>Nie dotyczy.</w:t>
      </w:r>
    </w:p>
    <w:p w14:paraId="432DB3DD" w14:textId="053C7540"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Konsultacje</w:t>
      </w:r>
      <w:r w:rsidR="00F96240" w:rsidRPr="000E4F58">
        <w:rPr>
          <w:noProof/>
          <w:u w:color="000000"/>
          <w:bdr w:val="nil"/>
        </w:rPr>
        <w:t xml:space="preserve"> z</w:t>
      </w:r>
      <w:r w:rsidR="00F96240">
        <w:rPr>
          <w:noProof/>
          <w:u w:color="000000"/>
          <w:bdr w:val="nil"/>
        </w:rPr>
        <w:t> </w:t>
      </w:r>
      <w:r w:rsidR="00F96240" w:rsidRPr="000E4F58">
        <w:rPr>
          <w:noProof/>
          <w:u w:color="000000"/>
          <w:bdr w:val="nil"/>
        </w:rPr>
        <w:t>zai</w:t>
      </w:r>
      <w:r w:rsidRPr="000E4F58">
        <w:rPr>
          <w:noProof/>
          <w:u w:color="000000"/>
          <w:bdr w:val="nil"/>
        </w:rPr>
        <w:t>nteresowanymi stronami</w:t>
      </w:r>
    </w:p>
    <w:p w14:paraId="4B59EC8B" w14:textId="2F40ACC7" w:rsidR="00B978EF" w:rsidRPr="000E4F58" w:rsidRDefault="006676B8" w:rsidP="00EC66B3">
      <w:pPr>
        <w:pBdr>
          <w:top w:val="nil"/>
          <w:left w:val="nil"/>
          <w:bottom w:val="nil"/>
          <w:right w:val="nil"/>
          <w:between w:val="nil"/>
          <w:bar w:val="nil"/>
        </w:pBdr>
        <w:spacing w:before="0" w:after="240"/>
        <w:rPr>
          <w:rFonts w:eastAsia="Arial Unicode MS"/>
          <w:noProof/>
        </w:rPr>
      </w:pPr>
      <w:r w:rsidRPr="000E4F58">
        <w:rPr>
          <w:noProof/>
        </w:rPr>
        <w:t>14 stycznia 20</w:t>
      </w:r>
      <w:r w:rsidRPr="00F96240">
        <w:rPr>
          <w:noProof/>
        </w:rPr>
        <w:t>22</w:t>
      </w:r>
      <w:r w:rsidR="00F96240" w:rsidRPr="00F96240">
        <w:rPr>
          <w:noProof/>
        </w:rPr>
        <w:t> </w:t>
      </w:r>
      <w:r w:rsidRPr="00F96240">
        <w:rPr>
          <w:noProof/>
        </w:rPr>
        <w:t>r.</w:t>
      </w:r>
      <w:r w:rsidRPr="000E4F58">
        <w:rPr>
          <w:noProof/>
        </w:rPr>
        <w:t xml:space="preserve"> Komisja opublikowała na swojej stronie internetowej zaproszenie do zgłaszania uwag dotyczących tej inicjatywy, gdzie można było zgłaszać uwagi przez cztery tygodnie. Na stronie internetowej poświęconej konsultacjom opublikowano indywidualne odpowiedzi (pięć) na zaproszenie do zgłaszania uwag. Uwagi te uwzględniono przy opracowywaniu niniejszego wniosku.</w:t>
      </w:r>
    </w:p>
    <w:p w14:paraId="53D4605E" w14:textId="70F4EB04"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Gromadzenie</w:t>
      </w:r>
      <w:r w:rsidR="00F96240" w:rsidRPr="000E4F58">
        <w:rPr>
          <w:noProof/>
          <w:u w:color="000000"/>
          <w:bdr w:val="nil"/>
        </w:rPr>
        <w:t xml:space="preserve"> i</w:t>
      </w:r>
      <w:r w:rsidR="00F96240">
        <w:rPr>
          <w:noProof/>
          <w:u w:color="000000"/>
          <w:bdr w:val="nil"/>
        </w:rPr>
        <w:t> </w:t>
      </w:r>
      <w:r w:rsidR="00F96240" w:rsidRPr="000E4F58">
        <w:rPr>
          <w:noProof/>
          <w:u w:color="000000"/>
          <w:bdr w:val="nil"/>
        </w:rPr>
        <w:t>wyk</w:t>
      </w:r>
      <w:r w:rsidRPr="000E4F58">
        <w:rPr>
          <w:noProof/>
          <w:u w:color="000000"/>
          <w:bdr w:val="nil"/>
        </w:rPr>
        <w:t>orzystanie wiedzy eksperckiej</w:t>
      </w:r>
    </w:p>
    <w:p w14:paraId="1581E81E" w14:textId="5DFCEB67" w:rsidR="00B978EF" w:rsidRPr="000E4F58" w:rsidRDefault="00D90C58" w:rsidP="00EC66B3">
      <w:pPr>
        <w:pBdr>
          <w:top w:val="nil"/>
          <w:left w:val="nil"/>
          <w:bottom w:val="nil"/>
          <w:right w:val="nil"/>
          <w:between w:val="nil"/>
          <w:bar w:val="nil"/>
        </w:pBdr>
        <w:spacing w:before="0" w:after="240"/>
        <w:rPr>
          <w:rFonts w:eastAsia="Arial Unicode MS"/>
          <w:noProof/>
        </w:rPr>
      </w:pPr>
      <w:r w:rsidRPr="000E4F58">
        <w:rPr>
          <w:noProof/>
        </w:rPr>
        <w:t>W ramach przygotowań do negocjacji Komisja wzięła pod uwagę opinie wyrażone przez ekspertów</w:t>
      </w:r>
      <w:r w:rsidR="00F96240" w:rsidRPr="000E4F58">
        <w:rPr>
          <w:noProof/>
        </w:rPr>
        <w:t xml:space="preserve"> z</w:t>
      </w:r>
      <w:r w:rsidR="00F96240">
        <w:rPr>
          <w:noProof/>
        </w:rPr>
        <w:t> </w:t>
      </w:r>
      <w:r w:rsidR="00F96240" w:rsidRPr="000E4F58">
        <w:rPr>
          <w:noProof/>
        </w:rPr>
        <w:t>pań</w:t>
      </w:r>
      <w:r w:rsidRPr="000E4F58">
        <w:rPr>
          <w:noProof/>
        </w:rPr>
        <w:t>stw członkowskich podczas dyskusji na forum odpowiednich grup roboczych Rady.</w:t>
      </w:r>
    </w:p>
    <w:p w14:paraId="33B284F1" w14:textId="77777777"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Ocena skutków</w:t>
      </w:r>
    </w:p>
    <w:p w14:paraId="62A2D44F" w14:textId="77777777" w:rsidR="00B978EF" w:rsidRPr="000E4F58" w:rsidRDefault="00D90C58" w:rsidP="00EC66B3">
      <w:pPr>
        <w:pBdr>
          <w:top w:val="nil"/>
          <w:left w:val="nil"/>
          <w:bottom w:val="nil"/>
          <w:right w:val="nil"/>
          <w:between w:val="nil"/>
          <w:bar w:val="nil"/>
        </w:pBdr>
        <w:spacing w:before="0" w:after="240"/>
        <w:rPr>
          <w:rFonts w:eastAsia="Arial Unicode MS"/>
          <w:noProof/>
        </w:rPr>
      </w:pPr>
      <w:r w:rsidRPr="000E4F58">
        <w:rPr>
          <w:noProof/>
        </w:rPr>
        <w:t>Nie dotyczy.</w:t>
      </w:r>
    </w:p>
    <w:p w14:paraId="1BB7D4D6" w14:textId="58254413"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Sprawność regulacyjna</w:t>
      </w:r>
      <w:r w:rsidR="00F96240" w:rsidRPr="000E4F58">
        <w:rPr>
          <w:noProof/>
          <w:u w:color="000000"/>
          <w:bdr w:val="nil"/>
        </w:rPr>
        <w:t xml:space="preserve"> i</w:t>
      </w:r>
      <w:r w:rsidR="00F96240">
        <w:rPr>
          <w:noProof/>
          <w:u w:color="000000"/>
          <w:bdr w:val="nil"/>
        </w:rPr>
        <w:t> </w:t>
      </w:r>
      <w:r w:rsidR="00F96240" w:rsidRPr="000E4F58">
        <w:rPr>
          <w:noProof/>
          <w:u w:color="000000"/>
          <w:bdr w:val="nil"/>
        </w:rPr>
        <w:t>upr</w:t>
      </w:r>
      <w:r w:rsidRPr="000E4F58">
        <w:rPr>
          <w:noProof/>
          <w:u w:color="000000"/>
          <w:bdr w:val="nil"/>
        </w:rPr>
        <w:t>oszczenie</w:t>
      </w:r>
    </w:p>
    <w:p w14:paraId="766CCC10" w14:textId="77777777" w:rsidR="00B978EF" w:rsidRPr="000E4F58" w:rsidRDefault="00D90C58" w:rsidP="00EC66B3">
      <w:pPr>
        <w:pBdr>
          <w:top w:val="nil"/>
          <w:left w:val="nil"/>
          <w:bottom w:val="nil"/>
          <w:right w:val="nil"/>
          <w:between w:val="nil"/>
          <w:bar w:val="nil"/>
        </w:pBdr>
        <w:spacing w:before="0" w:after="240"/>
        <w:rPr>
          <w:rFonts w:eastAsia="Arial Unicode MS"/>
          <w:noProof/>
        </w:rPr>
      </w:pPr>
      <w:r w:rsidRPr="000E4F58">
        <w:rPr>
          <w:noProof/>
        </w:rPr>
        <w:t>Nie dotyczy.</w:t>
      </w:r>
    </w:p>
    <w:p w14:paraId="46DD761A" w14:textId="77777777"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Prawa podstawowe</w:t>
      </w:r>
    </w:p>
    <w:p w14:paraId="390899B0" w14:textId="2BEBF822" w:rsidR="00B978EF" w:rsidRPr="000E4F58" w:rsidRDefault="00D90C58" w:rsidP="00EC66B3">
      <w:pPr>
        <w:pBdr>
          <w:top w:val="nil"/>
          <w:left w:val="nil"/>
          <w:bottom w:val="nil"/>
          <w:right w:val="nil"/>
          <w:between w:val="nil"/>
          <w:bar w:val="nil"/>
        </w:pBdr>
        <w:spacing w:before="0" w:after="240"/>
        <w:rPr>
          <w:rFonts w:eastAsia="Arial Unicode MS"/>
          <w:noProof/>
        </w:rPr>
      </w:pPr>
      <w:r w:rsidRPr="000E4F58">
        <w:rPr>
          <w:noProof/>
        </w:rPr>
        <w:t>Negocjacje prawdopodobnie obejmą elementy mogące stanowić ingerencję</w:t>
      </w:r>
      <w:r w:rsidR="00F96240" w:rsidRPr="000E4F58">
        <w:rPr>
          <w:noProof/>
        </w:rPr>
        <w:t xml:space="preserve"> w</w:t>
      </w:r>
      <w:r w:rsidR="00F96240">
        <w:rPr>
          <w:noProof/>
        </w:rPr>
        <w:t> </w:t>
      </w:r>
      <w:r w:rsidR="00F96240" w:rsidRPr="000E4F58">
        <w:rPr>
          <w:noProof/>
        </w:rPr>
        <w:t>pra</w:t>
      </w:r>
      <w:r w:rsidRPr="000E4F58">
        <w:rPr>
          <w:noProof/>
        </w:rPr>
        <w:t>wa podstawowe, takie jak środki proceduralne</w:t>
      </w:r>
      <w:r w:rsidR="00F96240" w:rsidRPr="000E4F58">
        <w:rPr>
          <w:noProof/>
        </w:rPr>
        <w:t xml:space="preserve"> w</w:t>
      </w:r>
      <w:r w:rsidR="00F96240">
        <w:rPr>
          <w:noProof/>
        </w:rPr>
        <w:t> </w:t>
      </w:r>
      <w:r w:rsidR="00F96240" w:rsidRPr="000E4F58">
        <w:rPr>
          <w:noProof/>
        </w:rPr>
        <w:t>pos</w:t>
      </w:r>
      <w:r w:rsidRPr="000E4F58">
        <w:rPr>
          <w:noProof/>
        </w:rPr>
        <w:t>tępowaniu karnym, definicje przestępstw, które mogą stanowić podstawę wszczęcia postępowania karnego, lub dostęp do prywatnych danych osoby uzyskanych</w:t>
      </w:r>
      <w:r w:rsidR="00F96240" w:rsidRPr="000E4F58">
        <w:rPr>
          <w:noProof/>
        </w:rPr>
        <w:t xml:space="preserve"> w</w:t>
      </w:r>
      <w:r w:rsidR="00F96240">
        <w:rPr>
          <w:noProof/>
        </w:rPr>
        <w:t> </w:t>
      </w:r>
      <w:r w:rsidR="00F96240" w:rsidRPr="000E4F58">
        <w:rPr>
          <w:noProof/>
        </w:rPr>
        <w:t>kon</w:t>
      </w:r>
      <w:r w:rsidRPr="000E4F58">
        <w:rPr>
          <w:noProof/>
        </w:rPr>
        <w:t>tekście postępowania karnego. Postanowienia, które mają być przedmiotem negocjacji, mogą prowadzić do ingerencji w np. prawo do rzetelnego procesu sądowego, prawo do prywatności</w:t>
      </w:r>
      <w:r w:rsidR="00F96240" w:rsidRPr="000E4F58">
        <w:rPr>
          <w:noProof/>
        </w:rPr>
        <w:t xml:space="preserve"> i</w:t>
      </w:r>
      <w:r w:rsidR="00F96240">
        <w:rPr>
          <w:noProof/>
        </w:rPr>
        <w:t> </w:t>
      </w:r>
      <w:r w:rsidR="00F96240" w:rsidRPr="000E4F58">
        <w:rPr>
          <w:noProof/>
        </w:rPr>
        <w:t>pra</w:t>
      </w:r>
      <w:r w:rsidRPr="000E4F58">
        <w:rPr>
          <w:noProof/>
        </w:rPr>
        <w:t>wo do ochrony danych osobowych. Ponieważ udział</w:t>
      </w:r>
      <w:r w:rsidR="00F96240" w:rsidRPr="000E4F58">
        <w:rPr>
          <w:noProof/>
        </w:rPr>
        <w:t xml:space="preserve"> w</w:t>
      </w:r>
      <w:r w:rsidR="00F96240">
        <w:rPr>
          <w:noProof/>
        </w:rPr>
        <w:t> </w:t>
      </w:r>
      <w:r w:rsidR="00F96240" w:rsidRPr="000E4F58">
        <w:rPr>
          <w:noProof/>
        </w:rPr>
        <w:t>neg</w:t>
      </w:r>
      <w:r w:rsidRPr="000E4F58">
        <w:rPr>
          <w:noProof/>
        </w:rPr>
        <w:t>ocjacjach</w:t>
      </w:r>
      <w:r w:rsidR="00F96240" w:rsidRPr="000E4F58">
        <w:rPr>
          <w:noProof/>
        </w:rPr>
        <w:t xml:space="preserve"> w</w:t>
      </w:r>
      <w:r w:rsidR="00F96240">
        <w:rPr>
          <w:noProof/>
        </w:rPr>
        <w:t> </w:t>
      </w:r>
      <w:r w:rsidR="00F96240" w:rsidRPr="000E4F58">
        <w:rPr>
          <w:noProof/>
        </w:rPr>
        <w:t>imi</w:t>
      </w:r>
      <w:r w:rsidRPr="000E4F58">
        <w:rPr>
          <w:noProof/>
        </w:rPr>
        <w:t>eniu Unii Europejskiej nie powinien obniżać poziomu ochrony praw podstawowych</w:t>
      </w:r>
      <w:r w:rsidR="00F96240" w:rsidRPr="000E4F58">
        <w:rPr>
          <w:noProof/>
        </w:rPr>
        <w:t xml:space="preserve"> w</w:t>
      </w:r>
      <w:r w:rsidR="00F96240">
        <w:rPr>
          <w:noProof/>
        </w:rPr>
        <w:t> </w:t>
      </w:r>
      <w:r w:rsidR="00F96240" w:rsidRPr="000E4F58">
        <w:rPr>
          <w:noProof/>
        </w:rPr>
        <w:t>Uni</w:t>
      </w:r>
      <w:r w:rsidRPr="000E4F58">
        <w:rPr>
          <w:noProof/>
        </w:rPr>
        <w:t>i,</w:t>
      </w:r>
      <w:r w:rsidR="00F96240" w:rsidRPr="000E4F58">
        <w:rPr>
          <w:noProof/>
        </w:rPr>
        <w:t xml:space="preserve"> w</w:t>
      </w:r>
      <w:r w:rsidR="00F96240">
        <w:rPr>
          <w:noProof/>
        </w:rPr>
        <w:t> </w:t>
      </w:r>
      <w:r w:rsidR="00F96240" w:rsidRPr="000E4F58">
        <w:rPr>
          <w:noProof/>
        </w:rPr>
        <w:t>nin</w:t>
      </w:r>
      <w:r w:rsidRPr="000E4F58">
        <w:rPr>
          <w:noProof/>
        </w:rPr>
        <w:t>iejszej inicjatywie proponuje się dążenie do zapewnienia wysokiego poziomu ochrony praw podstawowych.</w:t>
      </w:r>
    </w:p>
    <w:p w14:paraId="19FCD167" w14:textId="77777777" w:rsidR="00B978EF" w:rsidRPr="000E4F58" w:rsidRDefault="00B978EF" w:rsidP="00EC66B3">
      <w:pPr>
        <w:pStyle w:val="ManualHeading1"/>
        <w:rPr>
          <w:noProof/>
        </w:rPr>
      </w:pPr>
      <w:r w:rsidRPr="000E4F58">
        <w:rPr>
          <w:noProof/>
        </w:rPr>
        <w:t>4.</w:t>
      </w:r>
      <w:r w:rsidRPr="000E4F58">
        <w:rPr>
          <w:noProof/>
        </w:rPr>
        <w:tab/>
        <w:t>WPŁYW NA BUDŻET</w:t>
      </w:r>
    </w:p>
    <w:p w14:paraId="12FA1571" w14:textId="33AED241" w:rsidR="00D90C58" w:rsidRPr="000E4F58" w:rsidRDefault="00D90C58" w:rsidP="00D90C58">
      <w:pPr>
        <w:pBdr>
          <w:top w:val="nil"/>
          <w:left w:val="nil"/>
          <w:bottom w:val="nil"/>
          <w:right w:val="nil"/>
          <w:between w:val="nil"/>
          <w:bar w:val="nil"/>
        </w:pBdr>
        <w:spacing w:before="0" w:after="240"/>
        <w:rPr>
          <w:rFonts w:eastAsia="Arial Unicode MS"/>
          <w:noProof/>
        </w:rPr>
      </w:pPr>
      <w:r w:rsidRPr="000E4F58">
        <w:rPr>
          <w:noProof/>
        </w:rPr>
        <w:t>Wniosek nie ma wpływu na budżet Unii. Państwa członkowskie UE mogą ponieść jednorazowe koszty wdrożenia konwencji po zakończeniu negocjacji, choć na obecnym etapie określenie tych kosztów nie jest możliwe, ponieważ negocjacje jeszcze się</w:t>
      </w:r>
      <w:r w:rsidR="00F96240" w:rsidRPr="000E4F58">
        <w:rPr>
          <w:noProof/>
        </w:rPr>
        <w:t xml:space="preserve"> w</w:t>
      </w:r>
      <w:r w:rsidR="00F96240">
        <w:rPr>
          <w:noProof/>
        </w:rPr>
        <w:t> </w:t>
      </w:r>
      <w:r w:rsidR="00F96240" w:rsidRPr="000E4F58">
        <w:rPr>
          <w:noProof/>
        </w:rPr>
        <w:t>peł</w:t>
      </w:r>
      <w:r w:rsidRPr="000E4F58">
        <w:rPr>
          <w:noProof/>
        </w:rPr>
        <w:t xml:space="preserve">ni nie rozpoczęły. </w:t>
      </w:r>
    </w:p>
    <w:p w14:paraId="1F154C4C" w14:textId="77777777" w:rsidR="00B978EF" w:rsidRPr="000E4F58" w:rsidRDefault="00B978EF" w:rsidP="00EC66B3">
      <w:pPr>
        <w:pStyle w:val="ManualHeading1"/>
        <w:rPr>
          <w:noProof/>
        </w:rPr>
      </w:pPr>
      <w:r w:rsidRPr="000E4F58">
        <w:rPr>
          <w:noProof/>
        </w:rPr>
        <w:t>5.</w:t>
      </w:r>
      <w:r w:rsidRPr="000E4F58">
        <w:rPr>
          <w:noProof/>
        </w:rPr>
        <w:tab/>
        <w:t>ELEMENTY FAKULTATYWNE</w:t>
      </w:r>
    </w:p>
    <w:p w14:paraId="0F1CB496" w14:textId="57E668E2" w:rsidR="00B978EF" w:rsidRPr="000E4F58" w:rsidRDefault="00B978EF" w:rsidP="00EC66B3">
      <w:pPr>
        <w:pStyle w:val="ManualHeading2"/>
        <w:rPr>
          <w:rFonts w:eastAsia="Arial Unicode MS"/>
          <w:noProof/>
          <w:u w:color="000000"/>
          <w:bdr w:val="nil"/>
        </w:rPr>
      </w:pPr>
      <w:r w:rsidRPr="000E4F58">
        <w:rPr>
          <w:noProof/>
          <w:u w:color="000000"/>
          <w:bdr w:val="nil"/>
        </w:rPr>
        <w:t>•</w:t>
      </w:r>
      <w:r w:rsidRPr="000E4F58">
        <w:rPr>
          <w:noProof/>
        </w:rPr>
        <w:tab/>
      </w:r>
      <w:r w:rsidRPr="000E4F58">
        <w:rPr>
          <w:noProof/>
          <w:u w:color="000000"/>
          <w:bdr w:val="nil"/>
        </w:rPr>
        <w:t>Plany wdrożenia</w:t>
      </w:r>
      <w:r w:rsidR="00F96240" w:rsidRPr="000E4F58">
        <w:rPr>
          <w:noProof/>
          <w:u w:color="000000"/>
          <w:bdr w:val="nil"/>
        </w:rPr>
        <w:t xml:space="preserve"> i</w:t>
      </w:r>
      <w:r w:rsidR="00F96240">
        <w:rPr>
          <w:noProof/>
          <w:u w:color="000000"/>
          <w:bdr w:val="nil"/>
        </w:rPr>
        <w:t> </w:t>
      </w:r>
      <w:r w:rsidR="00F96240" w:rsidRPr="000E4F58">
        <w:rPr>
          <w:noProof/>
          <w:u w:color="000000"/>
          <w:bdr w:val="nil"/>
        </w:rPr>
        <w:t>mon</w:t>
      </w:r>
      <w:r w:rsidRPr="000E4F58">
        <w:rPr>
          <w:noProof/>
          <w:u w:color="000000"/>
          <w:bdr w:val="nil"/>
        </w:rPr>
        <w:t>itorowanie, ocena</w:t>
      </w:r>
      <w:r w:rsidR="00F96240" w:rsidRPr="000E4F58">
        <w:rPr>
          <w:noProof/>
          <w:u w:color="000000"/>
          <w:bdr w:val="nil"/>
        </w:rPr>
        <w:t xml:space="preserve"> i</w:t>
      </w:r>
      <w:r w:rsidR="00F96240">
        <w:rPr>
          <w:noProof/>
          <w:u w:color="000000"/>
          <w:bdr w:val="nil"/>
        </w:rPr>
        <w:t> </w:t>
      </w:r>
      <w:r w:rsidR="00F96240" w:rsidRPr="000E4F58">
        <w:rPr>
          <w:noProof/>
          <w:u w:color="000000"/>
          <w:bdr w:val="nil"/>
        </w:rPr>
        <w:t>spr</w:t>
      </w:r>
      <w:r w:rsidRPr="000E4F58">
        <w:rPr>
          <w:noProof/>
          <w:u w:color="000000"/>
          <w:bdr w:val="nil"/>
        </w:rPr>
        <w:t>awozdania</w:t>
      </w:r>
    </w:p>
    <w:p w14:paraId="5B48A213" w14:textId="728F5A9D" w:rsidR="00B978EF" w:rsidRPr="000E4F58" w:rsidRDefault="00D90C58" w:rsidP="00EC66B3">
      <w:pPr>
        <w:pBdr>
          <w:top w:val="nil"/>
          <w:left w:val="nil"/>
          <w:bottom w:val="nil"/>
          <w:right w:val="nil"/>
          <w:between w:val="nil"/>
          <w:bar w:val="nil"/>
        </w:pBdr>
        <w:spacing w:before="0" w:after="240"/>
        <w:rPr>
          <w:rFonts w:eastAsia="Arial Unicode MS"/>
          <w:noProof/>
        </w:rPr>
      </w:pPr>
      <w:r w:rsidRPr="000E4F58">
        <w:rPr>
          <w:noProof/>
        </w:rPr>
        <w:t xml:space="preserve">Oczekuje się, że proces negocjacji będzie trwał </w:t>
      </w:r>
      <w:r w:rsidRPr="00F96240">
        <w:rPr>
          <w:noProof/>
        </w:rPr>
        <w:t>do</w:t>
      </w:r>
      <w:r w:rsidR="00F96240" w:rsidRPr="00F96240">
        <w:rPr>
          <w:noProof/>
        </w:rPr>
        <w:t> </w:t>
      </w:r>
      <w:r w:rsidRPr="00F96240">
        <w:rPr>
          <w:noProof/>
        </w:rPr>
        <w:t>2</w:t>
      </w:r>
      <w:r w:rsidRPr="000E4F58">
        <w:rPr>
          <w:noProof/>
        </w:rPr>
        <w:t>0</w:t>
      </w:r>
      <w:r w:rsidRPr="00F96240">
        <w:rPr>
          <w:noProof/>
        </w:rPr>
        <w:t>24</w:t>
      </w:r>
      <w:r w:rsidR="00F96240" w:rsidRPr="00F96240">
        <w:rPr>
          <w:noProof/>
        </w:rPr>
        <w:t> </w:t>
      </w:r>
      <w:r w:rsidRPr="00F96240">
        <w:rPr>
          <w:noProof/>
        </w:rPr>
        <w:t>r.</w:t>
      </w:r>
      <w:r w:rsidRPr="000E4F58">
        <w:rPr>
          <w:noProof/>
        </w:rPr>
        <w:t>, po czym będzie można podpisać</w:t>
      </w:r>
      <w:r w:rsidR="00F96240" w:rsidRPr="000E4F58">
        <w:rPr>
          <w:noProof/>
        </w:rPr>
        <w:t xml:space="preserve"> i</w:t>
      </w:r>
      <w:r w:rsidR="00F96240">
        <w:rPr>
          <w:noProof/>
        </w:rPr>
        <w:t> </w:t>
      </w:r>
      <w:r w:rsidR="00F96240" w:rsidRPr="000E4F58">
        <w:rPr>
          <w:noProof/>
        </w:rPr>
        <w:t>zaw</w:t>
      </w:r>
      <w:r w:rsidRPr="000E4F58">
        <w:rPr>
          <w:noProof/>
        </w:rPr>
        <w:t>rzeć konwencję</w:t>
      </w:r>
      <w:r w:rsidR="00F96240" w:rsidRPr="000E4F58">
        <w:rPr>
          <w:noProof/>
        </w:rPr>
        <w:t>. W</w:t>
      </w:r>
      <w:r w:rsidR="00F96240">
        <w:rPr>
          <w:noProof/>
        </w:rPr>
        <w:t> </w:t>
      </w:r>
      <w:r w:rsidR="00F96240" w:rsidRPr="000E4F58">
        <w:rPr>
          <w:noProof/>
        </w:rPr>
        <w:t>ram</w:t>
      </w:r>
      <w:r w:rsidRPr="000E4F58">
        <w:rPr>
          <w:noProof/>
        </w:rPr>
        <w:t>ach inicjatywy proponuje się prowadzenie procesu negocjacyjnego, który jest otwarty, integracyjny</w:t>
      </w:r>
      <w:r w:rsidR="00F96240" w:rsidRPr="000E4F58">
        <w:rPr>
          <w:noProof/>
        </w:rPr>
        <w:t xml:space="preserve"> i</w:t>
      </w:r>
      <w:r w:rsidR="00F96240">
        <w:rPr>
          <w:noProof/>
        </w:rPr>
        <w:t> </w:t>
      </w:r>
      <w:r w:rsidR="00F96240" w:rsidRPr="000E4F58">
        <w:rPr>
          <w:noProof/>
        </w:rPr>
        <w:t>prz</w:t>
      </w:r>
      <w:r w:rsidRPr="000E4F58">
        <w:rPr>
          <w:noProof/>
        </w:rPr>
        <w:t>ejrzysty.</w:t>
      </w:r>
    </w:p>
    <w:p w14:paraId="2732485B" w14:textId="77777777" w:rsidR="00B978EF" w:rsidRPr="000E4F58" w:rsidRDefault="00B978EF" w:rsidP="00EC66B3">
      <w:pPr>
        <w:rPr>
          <w:noProof/>
        </w:rPr>
        <w:sectPr w:rsidR="00B978EF" w:rsidRPr="000E4F58" w:rsidSect="00891131">
          <w:footerReference w:type="default" r:id="rId13"/>
          <w:footerReference w:type="first" r:id="rId14"/>
          <w:pgSz w:w="11907" w:h="16839"/>
          <w:pgMar w:top="1134" w:right="1417" w:bottom="1134" w:left="1417" w:header="709" w:footer="709" w:gutter="0"/>
          <w:cols w:space="708"/>
          <w:docGrid w:linePitch="360"/>
        </w:sectPr>
      </w:pPr>
    </w:p>
    <w:p w14:paraId="4F0E9490" w14:textId="4D0ADDD1" w:rsidR="00B978EF" w:rsidRPr="000E4F58" w:rsidRDefault="007C034E" w:rsidP="007C034E">
      <w:pPr>
        <w:pStyle w:val="Statut"/>
        <w:rPr>
          <w:noProof/>
        </w:rPr>
      </w:pPr>
      <w:r w:rsidRPr="007C034E">
        <w:rPr>
          <w:noProof/>
        </w:rPr>
        <w:t>Zalecenie</w:t>
      </w:r>
    </w:p>
    <w:p w14:paraId="7D66396B" w14:textId="4D89D3C5" w:rsidR="00B978EF" w:rsidRPr="000E4F58" w:rsidRDefault="007C034E" w:rsidP="007C034E">
      <w:pPr>
        <w:pStyle w:val="Typedudocument"/>
        <w:rPr>
          <w:noProof/>
        </w:rPr>
      </w:pPr>
      <w:r w:rsidRPr="007C034E">
        <w:rPr>
          <w:noProof/>
        </w:rPr>
        <w:t>DECYZJA RADY</w:t>
      </w:r>
    </w:p>
    <w:p w14:paraId="55B5A74B" w14:textId="6290F9ED" w:rsidR="00B978EF" w:rsidRPr="000E4F58" w:rsidRDefault="007C034E" w:rsidP="007C034E">
      <w:pPr>
        <w:pStyle w:val="Titreobjet"/>
        <w:rPr>
          <w:noProof/>
        </w:rPr>
      </w:pPr>
      <w:r w:rsidRPr="007C034E">
        <w:rPr>
          <w:noProof/>
        </w:rPr>
        <w:t>upoważniająca do rozpoczęcia negocjacji dotyczących kompleksowej konwencji międzynarodowej w sprawie przeciwdziałania wykorzystywaniu technologii informacyjno-komunikacyjnych w celach przestępczych</w:t>
      </w:r>
    </w:p>
    <w:p w14:paraId="34DFD7F7" w14:textId="77777777" w:rsidR="00B978EF" w:rsidRPr="000E4F58" w:rsidRDefault="00B978EF" w:rsidP="00EC66B3">
      <w:pPr>
        <w:pStyle w:val="Institutionquiagit"/>
        <w:rPr>
          <w:noProof/>
        </w:rPr>
      </w:pPr>
      <w:r w:rsidRPr="000E4F58">
        <w:rPr>
          <w:noProof/>
        </w:rPr>
        <w:t>RADA UNII EUROPEJSKIEJ,</w:t>
      </w:r>
    </w:p>
    <w:p w14:paraId="0A6CF1E8" w14:textId="709742D7" w:rsidR="0050638B" w:rsidRPr="000E4F58" w:rsidRDefault="0050638B" w:rsidP="00DF3195">
      <w:pPr>
        <w:rPr>
          <w:noProof/>
        </w:rPr>
      </w:pPr>
      <w:r w:rsidRPr="000E4F58">
        <w:rPr>
          <w:noProof/>
        </w:rPr>
        <w:t>uwzględniając Traktat</w:t>
      </w:r>
      <w:r w:rsidR="00F96240" w:rsidRPr="000E4F58">
        <w:rPr>
          <w:noProof/>
        </w:rPr>
        <w:t xml:space="preserve"> o</w:t>
      </w:r>
      <w:r w:rsidR="00F96240">
        <w:rPr>
          <w:noProof/>
        </w:rPr>
        <w:t> </w:t>
      </w:r>
      <w:r w:rsidR="00F96240" w:rsidRPr="000E4F58">
        <w:rPr>
          <w:noProof/>
        </w:rPr>
        <w:t>fun</w:t>
      </w:r>
      <w:r w:rsidRPr="000E4F58">
        <w:rPr>
          <w:noProof/>
        </w:rPr>
        <w:t>kcjonowaniu Unii Europejskiej,</w:t>
      </w:r>
      <w:r w:rsidR="00F96240" w:rsidRPr="000E4F58">
        <w:rPr>
          <w:noProof/>
        </w:rPr>
        <w:t xml:space="preserve"> w</w:t>
      </w:r>
      <w:r w:rsidR="00F96240">
        <w:rPr>
          <w:noProof/>
        </w:rPr>
        <w:t> </w:t>
      </w:r>
      <w:r w:rsidR="00F96240" w:rsidRPr="000E4F58">
        <w:rPr>
          <w:noProof/>
        </w:rPr>
        <w:t>szc</w:t>
      </w:r>
      <w:r w:rsidRPr="000E4F58">
        <w:rPr>
          <w:noProof/>
        </w:rPr>
        <w:t xml:space="preserve">zególności jego </w:t>
      </w:r>
      <w:r w:rsidRPr="00F96240">
        <w:rPr>
          <w:noProof/>
        </w:rPr>
        <w:t>art.</w:t>
      </w:r>
      <w:r w:rsidR="00F96240" w:rsidRPr="00F96240">
        <w:rPr>
          <w:noProof/>
        </w:rPr>
        <w:t> </w:t>
      </w:r>
      <w:r w:rsidRPr="00F96240">
        <w:rPr>
          <w:noProof/>
        </w:rPr>
        <w:t>2</w:t>
      </w:r>
      <w:r w:rsidRPr="000E4F58">
        <w:rPr>
          <w:noProof/>
        </w:rPr>
        <w:t xml:space="preserve">18 </w:t>
      </w:r>
      <w:r w:rsidRPr="00F96240">
        <w:rPr>
          <w:noProof/>
        </w:rPr>
        <w:t>ust.</w:t>
      </w:r>
      <w:r w:rsidR="00F96240" w:rsidRPr="00F96240">
        <w:rPr>
          <w:noProof/>
        </w:rPr>
        <w:t> </w:t>
      </w:r>
      <w:r w:rsidRPr="00F96240">
        <w:rPr>
          <w:noProof/>
        </w:rPr>
        <w:t>3</w:t>
      </w:r>
      <w:r w:rsidR="00F96240" w:rsidRPr="000E4F58">
        <w:rPr>
          <w:noProof/>
        </w:rPr>
        <w:t xml:space="preserve"> i</w:t>
      </w:r>
      <w:r w:rsidR="00F96240">
        <w:rPr>
          <w:noProof/>
        </w:rPr>
        <w:t> </w:t>
      </w:r>
      <w:r w:rsidR="00F96240" w:rsidRPr="000E4F58">
        <w:rPr>
          <w:noProof/>
        </w:rPr>
        <w:t>4</w:t>
      </w:r>
      <w:r w:rsidRPr="000E4F58">
        <w:rPr>
          <w:noProof/>
        </w:rPr>
        <w:t>,</w:t>
      </w:r>
    </w:p>
    <w:p w14:paraId="1088F639" w14:textId="77777777" w:rsidR="0050638B" w:rsidRPr="000E4F58" w:rsidRDefault="0050638B" w:rsidP="00DF3195">
      <w:pPr>
        <w:rPr>
          <w:noProof/>
        </w:rPr>
      </w:pPr>
      <w:r w:rsidRPr="000E4F58">
        <w:rPr>
          <w:noProof/>
        </w:rPr>
        <w:t xml:space="preserve">uwzględniając zalecenie Komisji Europejskiej, </w:t>
      </w:r>
    </w:p>
    <w:p w14:paraId="715AB13C" w14:textId="77777777" w:rsidR="0050638B" w:rsidRPr="000E4F58" w:rsidRDefault="0050638B" w:rsidP="00DF3195">
      <w:pPr>
        <w:rPr>
          <w:noProof/>
        </w:rPr>
      </w:pPr>
      <w:r w:rsidRPr="000E4F58">
        <w:rPr>
          <w:noProof/>
        </w:rPr>
        <w:t>a także mając na uwadze, co następuje:</w:t>
      </w:r>
    </w:p>
    <w:p w14:paraId="3F4E4468" w14:textId="6EBBC683" w:rsidR="0050638B" w:rsidRPr="000E4F58" w:rsidRDefault="0030768C" w:rsidP="0030768C">
      <w:pPr>
        <w:pStyle w:val="ManualConsidrant"/>
        <w:rPr>
          <w:noProof/>
        </w:rPr>
      </w:pPr>
      <w:r w:rsidRPr="0030768C">
        <w:t>(1)</w:t>
      </w:r>
      <w:r w:rsidRPr="0030768C">
        <w:tab/>
      </w:r>
      <w:r w:rsidR="0050638B" w:rsidRPr="000E4F58">
        <w:rPr>
          <w:noProof/>
        </w:rPr>
        <w:t>27 grudnia 20</w:t>
      </w:r>
      <w:r w:rsidR="0050638B" w:rsidRPr="00F96240">
        <w:rPr>
          <w:noProof/>
        </w:rPr>
        <w:t>19</w:t>
      </w:r>
      <w:r w:rsidR="00F96240" w:rsidRPr="00F96240">
        <w:rPr>
          <w:noProof/>
        </w:rPr>
        <w:t> </w:t>
      </w:r>
      <w:r w:rsidR="0050638B" w:rsidRPr="00F96240">
        <w:rPr>
          <w:noProof/>
        </w:rPr>
        <w:t>r.</w:t>
      </w:r>
      <w:r w:rsidR="0050638B" w:rsidRPr="000E4F58">
        <w:rPr>
          <w:noProof/>
        </w:rPr>
        <w:t xml:space="preserve"> Zgromadzenie Ogólne ONZ przyjęło rezolucję </w:t>
      </w:r>
      <w:r w:rsidR="0050638B" w:rsidRPr="00F96240">
        <w:rPr>
          <w:noProof/>
        </w:rPr>
        <w:t>nr</w:t>
      </w:r>
      <w:r w:rsidR="00F96240" w:rsidRPr="00F96240">
        <w:rPr>
          <w:noProof/>
        </w:rPr>
        <w:t> </w:t>
      </w:r>
      <w:r w:rsidR="0050638B" w:rsidRPr="00F96240">
        <w:rPr>
          <w:noProof/>
        </w:rPr>
        <w:t>7</w:t>
      </w:r>
      <w:r w:rsidR="0050638B" w:rsidRPr="000E4F58">
        <w:rPr>
          <w:noProof/>
        </w:rPr>
        <w:t>4/247 dotyczącą przeciwdziałania wykorzystywaniu technologii informacyjno-komunikacyjnych</w:t>
      </w:r>
      <w:r w:rsidR="00F96240" w:rsidRPr="000E4F58">
        <w:rPr>
          <w:noProof/>
        </w:rPr>
        <w:t xml:space="preserve"> w</w:t>
      </w:r>
      <w:r w:rsidR="00F96240">
        <w:rPr>
          <w:noProof/>
        </w:rPr>
        <w:t> </w:t>
      </w:r>
      <w:r w:rsidR="00F96240" w:rsidRPr="000E4F58">
        <w:rPr>
          <w:noProof/>
        </w:rPr>
        <w:t>cel</w:t>
      </w:r>
      <w:r w:rsidR="0050638B" w:rsidRPr="000E4F58">
        <w:rPr>
          <w:noProof/>
        </w:rPr>
        <w:t>ach przestępczych,</w:t>
      </w:r>
      <w:r w:rsidR="00F96240" w:rsidRPr="000E4F58">
        <w:rPr>
          <w:noProof/>
        </w:rPr>
        <w:t xml:space="preserve"> w</w:t>
      </w:r>
      <w:r w:rsidR="00F96240">
        <w:rPr>
          <w:noProof/>
        </w:rPr>
        <w:t> </w:t>
      </w:r>
      <w:r w:rsidR="00F96240" w:rsidRPr="000E4F58">
        <w:rPr>
          <w:noProof/>
        </w:rPr>
        <w:t>któ</w:t>
      </w:r>
      <w:r w:rsidR="0050638B" w:rsidRPr="000E4F58">
        <w:rPr>
          <w:noProof/>
        </w:rPr>
        <w:t xml:space="preserve">rej ustanowiono otwarty międzyrządowy komitet ekspertów </w:t>
      </w:r>
      <w:r w:rsidR="0050638B" w:rsidRPr="000E4F58">
        <w:rPr>
          <w:i/>
          <w:iCs/>
          <w:noProof/>
        </w:rPr>
        <w:t>ad hoc</w:t>
      </w:r>
      <w:r w:rsidR="0050638B" w:rsidRPr="000E4F58">
        <w:rPr>
          <w:noProof/>
        </w:rPr>
        <w:t>, reprezentatywny dla wszystkich regionów,</w:t>
      </w:r>
      <w:r w:rsidR="00F96240" w:rsidRPr="000E4F58">
        <w:rPr>
          <w:noProof/>
        </w:rPr>
        <w:t xml:space="preserve"> w</w:t>
      </w:r>
      <w:r w:rsidR="00F96240">
        <w:rPr>
          <w:noProof/>
        </w:rPr>
        <w:t> </w:t>
      </w:r>
      <w:r w:rsidR="00F96240" w:rsidRPr="000E4F58">
        <w:rPr>
          <w:noProof/>
        </w:rPr>
        <w:t>cel</w:t>
      </w:r>
      <w:r w:rsidR="0050638B" w:rsidRPr="000E4F58">
        <w:rPr>
          <w:noProof/>
        </w:rPr>
        <w:t>u opracowania kompleksowej konwencji międzynarodowej</w:t>
      </w:r>
      <w:r w:rsidR="00F96240" w:rsidRPr="000E4F58">
        <w:rPr>
          <w:noProof/>
        </w:rPr>
        <w:t xml:space="preserve"> w</w:t>
      </w:r>
      <w:r w:rsidR="00F96240">
        <w:rPr>
          <w:noProof/>
        </w:rPr>
        <w:t> </w:t>
      </w:r>
      <w:r w:rsidR="00F96240" w:rsidRPr="000E4F58">
        <w:rPr>
          <w:noProof/>
        </w:rPr>
        <w:t>spr</w:t>
      </w:r>
      <w:r w:rsidR="0050638B" w:rsidRPr="000E4F58">
        <w:rPr>
          <w:noProof/>
        </w:rPr>
        <w:t>awie przeciwdziałania wykorzystywaniu technologii informacyjno-komunikacyjnych</w:t>
      </w:r>
      <w:r w:rsidR="00F96240" w:rsidRPr="000E4F58">
        <w:rPr>
          <w:noProof/>
        </w:rPr>
        <w:t xml:space="preserve"> w</w:t>
      </w:r>
      <w:r w:rsidR="00F96240">
        <w:rPr>
          <w:noProof/>
        </w:rPr>
        <w:t> </w:t>
      </w:r>
      <w:r w:rsidR="00F96240" w:rsidRPr="000E4F58">
        <w:rPr>
          <w:noProof/>
        </w:rPr>
        <w:t>cel</w:t>
      </w:r>
      <w:r w:rsidR="0050638B" w:rsidRPr="000E4F58">
        <w:rPr>
          <w:noProof/>
        </w:rPr>
        <w:t>ach przestępczych</w:t>
      </w:r>
      <w:r w:rsidR="0050638B" w:rsidRPr="000E4F58">
        <w:rPr>
          <w:rStyle w:val="FootnoteReference"/>
          <w:noProof/>
        </w:rPr>
        <w:footnoteReference w:id="36"/>
      </w:r>
      <w:r w:rsidR="0050638B" w:rsidRPr="000E4F58">
        <w:rPr>
          <w:noProof/>
        </w:rPr>
        <w:t>. Unia powinna uczestniczyć</w:t>
      </w:r>
      <w:r w:rsidR="00F96240" w:rsidRPr="000E4F58">
        <w:rPr>
          <w:noProof/>
        </w:rPr>
        <w:t xml:space="preserve"> w</w:t>
      </w:r>
      <w:r w:rsidR="00F96240">
        <w:rPr>
          <w:noProof/>
        </w:rPr>
        <w:t> </w:t>
      </w:r>
      <w:r w:rsidR="00F96240" w:rsidRPr="000E4F58">
        <w:rPr>
          <w:noProof/>
        </w:rPr>
        <w:t>neg</w:t>
      </w:r>
      <w:r w:rsidR="0050638B" w:rsidRPr="000E4F58">
        <w:rPr>
          <w:noProof/>
        </w:rPr>
        <w:t>ocjacjach dotyczących tej konwencji.</w:t>
      </w:r>
    </w:p>
    <w:p w14:paraId="647AE95D" w14:textId="7764BD36" w:rsidR="0050638B" w:rsidRPr="000E4F58" w:rsidRDefault="0030768C" w:rsidP="0030768C">
      <w:pPr>
        <w:pStyle w:val="ManualConsidrant"/>
        <w:rPr>
          <w:noProof/>
        </w:rPr>
      </w:pPr>
      <w:r w:rsidRPr="0030768C">
        <w:t>(2)</w:t>
      </w:r>
      <w:r w:rsidRPr="0030768C">
        <w:tab/>
      </w:r>
      <w:r w:rsidR="0050638B" w:rsidRPr="000E4F58">
        <w:rPr>
          <w:noProof/>
        </w:rPr>
        <w:t>Unia przyjęła wspólne zasady, które pokrywają się</w:t>
      </w:r>
      <w:r w:rsidR="00F96240" w:rsidRPr="000E4F58">
        <w:rPr>
          <w:noProof/>
        </w:rPr>
        <w:t xml:space="preserve"> z</w:t>
      </w:r>
      <w:r w:rsidR="00F96240">
        <w:rPr>
          <w:noProof/>
        </w:rPr>
        <w:t> </w:t>
      </w:r>
      <w:r w:rsidR="00F96240" w:rsidRPr="000E4F58">
        <w:rPr>
          <w:noProof/>
        </w:rPr>
        <w:t>kil</w:t>
      </w:r>
      <w:r w:rsidR="0050638B" w:rsidRPr="000E4F58">
        <w:rPr>
          <w:noProof/>
        </w:rPr>
        <w:t>koma elementami rozważanymi</w:t>
      </w:r>
      <w:r w:rsidR="00F96240" w:rsidRPr="000E4F58">
        <w:rPr>
          <w:noProof/>
        </w:rPr>
        <w:t xml:space="preserve"> w</w:t>
      </w:r>
      <w:r w:rsidR="00F96240">
        <w:rPr>
          <w:noProof/>
        </w:rPr>
        <w:t> </w:t>
      </w:r>
      <w:r w:rsidR="00F96240" w:rsidRPr="000E4F58">
        <w:rPr>
          <w:noProof/>
        </w:rPr>
        <w:t>prz</w:t>
      </w:r>
      <w:r w:rsidR="0050638B" w:rsidRPr="000E4F58">
        <w:rPr>
          <w:noProof/>
        </w:rPr>
        <w:t>ypadku takiej konwencji. Te wspólne zasady obejmują</w:t>
      </w:r>
      <w:r w:rsidR="00F96240" w:rsidRPr="000E4F58">
        <w:rPr>
          <w:noProof/>
        </w:rPr>
        <w:t xml:space="preserve"> w</w:t>
      </w:r>
      <w:r w:rsidR="00F96240">
        <w:rPr>
          <w:noProof/>
        </w:rPr>
        <w:t> </w:t>
      </w:r>
      <w:r w:rsidR="00F96240" w:rsidRPr="000E4F58">
        <w:rPr>
          <w:noProof/>
        </w:rPr>
        <w:t>szc</w:t>
      </w:r>
      <w:r w:rsidR="0050638B" w:rsidRPr="000E4F58">
        <w:rPr>
          <w:noProof/>
        </w:rPr>
        <w:t>zególności kompleksowy zestaw instrumentów dotyczących prawa karnego materialnego</w:t>
      </w:r>
      <w:r w:rsidR="0050638B" w:rsidRPr="000E4F58">
        <w:rPr>
          <w:rStyle w:val="FootnoteReference"/>
          <w:noProof/>
        </w:rPr>
        <w:footnoteReference w:id="37"/>
      </w:r>
      <w:r w:rsidR="0050638B" w:rsidRPr="000E4F58">
        <w:rPr>
          <w:noProof/>
        </w:rPr>
        <w:t>, współpracy policyjnej</w:t>
      </w:r>
      <w:r w:rsidR="00F96240" w:rsidRPr="000E4F58">
        <w:rPr>
          <w:noProof/>
        </w:rPr>
        <w:t xml:space="preserve"> i</w:t>
      </w:r>
      <w:r w:rsidR="00F96240">
        <w:rPr>
          <w:noProof/>
        </w:rPr>
        <w:t> </w:t>
      </w:r>
      <w:r w:rsidR="00F96240" w:rsidRPr="000E4F58">
        <w:rPr>
          <w:noProof/>
        </w:rPr>
        <w:t>wym</w:t>
      </w:r>
      <w:r w:rsidR="0050638B" w:rsidRPr="000E4F58">
        <w:rPr>
          <w:noProof/>
        </w:rPr>
        <w:t>iarów sprawiedliwości</w:t>
      </w:r>
      <w:r w:rsidR="00F96240" w:rsidRPr="000E4F58">
        <w:rPr>
          <w:noProof/>
        </w:rPr>
        <w:t xml:space="preserve"> w</w:t>
      </w:r>
      <w:r w:rsidR="00F96240">
        <w:rPr>
          <w:noProof/>
        </w:rPr>
        <w:t> </w:t>
      </w:r>
      <w:r w:rsidR="00F96240" w:rsidRPr="000E4F58">
        <w:rPr>
          <w:noProof/>
        </w:rPr>
        <w:t>spr</w:t>
      </w:r>
      <w:r w:rsidR="0050638B" w:rsidRPr="000E4F58">
        <w:rPr>
          <w:noProof/>
        </w:rPr>
        <w:t>awach karnych</w:t>
      </w:r>
      <w:r w:rsidR="0050638B" w:rsidRPr="000E4F58">
        <w:rPr>
          <w:rStyle w:val="FootnoteReference"/>
          <w:noProof/>
        </w:rPr>
        <w:footnoteReference w:id="38"/>
      </w:r>
      <w:r w:rsidR="0050638B" w:rsidRPr="000E4F58">
        <w:rPr>
          <w:noProof/>
        </w:rPr>
        <w:t>, minimalnych norm</w:t>
      </w:r>
      <w:r w:rsidR="00F96240" w:rsidRPr="000E4F58">
        <w:rPr>
          <w:noProof/>
        </w:rPr>
        <w:t xml:space="preserve"> w</w:t>
      </w:r>
      <w:r w:rsidR="00F96240">
        <w:rPr>
          <w:noProof/>
        </w:rPr>
        <w:t> </w:t>
      </w:r>
      <w:r w:rsidR="00F96240" w:rsidRPr="000E4F58">
        <w:rPr>
          <w:noProof/>
        </w:rPr>
        <w:t>zak</w:t>
      </w:r>
      <w:r w:rsidR="0050638B" w:rsidRPr="000E4F58">
        <w:rPr>
          <w:noProof/>
        </w:rPr>
        <w:t>resie praw procesowych</w:t>
      </w:r>
      <w:r w:rsidR="0050638B" w:rsidRPr="000E4F58">
        <w:rPr>
          <w:rStyle w:val="FootnoteReference"/>
          <w:noProof/>
        </w:rPr>
        <w:footnoteReference w:id="39"/>
      </w:r>
      <w:r w:rsidR="0050638B" w:rsidRPr="000E4F58">
        <w:rPr>
          <w:noProof/>
        </w:rPr>
        <w:t>,</w:t>
      </w:r>
      <w:r w:rsidR="00F96240" w:rsidRPr="000E4F58">
        <w:rPr>
          <w:noProof/>
        </w:rPr>
        <w:t xml:space="preserve"> a</w:t>
      </w:r>
      <w:r w:rsidR="00F96240">
        <w:rPr>
          <w:noProof/>
        </w:rPr>
        <w:t> </w:t>
      </w:r>
      <w:r w:rsidR="00F96240" w:rsidRPr="000E4F58">
        <w:rPr>
          <w:noProof/>
        </w:rPr>
        <w:t>tak</w:t>
      </w:r>
      <w:r w:rsidR="0050638B" w:rsidRPr="000E4F58">
        <w:rPr>
          <w:noProof/>
        </w:rPr>
        <w:t>że gwarancji ochrony danych</w:t>
      </w:r>
      <w:r w:rsidR="00F96240" w:rsidRPr="000E4F58">
        <w:rPr>
          <w:noProof/>
        </w:rPr>
        <w:t xml:space="preserve"> i</w:t>
      </w:r>
      <w:r w:rsidR="00F96240">
        <w:rPr>
          <w:noProof/>
        </w:rPr>
        <w:t> </w:t>
      </w:r>
      <w:r w:rsidR="00F96240" w:rsidRPr="000E4F58">
        <w:rPr>
          <w:noProof/>
        </w:rPr>
        <w:t>pry</w:t>
      </w:r>
      <w:r w:rsidR="0050638B" w:rsidRPr="000E4F58">
        <w:rPr>
          <w:noProof/>
        </w:rPr>
        <w:t>watności</w:t>
      </w:r>
      <w:r w:rsidR="0050638B" w:rsidRPr="000E4F58">
        <w:rPr>
          <w:rStyle w:val="FootnoteReference"/>
          <w:noProof/>
        </w:rPr>
        <w:footnoteReference w:id="40"/>
      </w:r>
      <w:r w:rsidR="0050638B" w:rsidRPr="000E4F58">
        <w:rPr>
          <w:noProof/>
        </w:rPr>
        <w:t>. Należy również wziąć pod uwagę przyszłe wspólne zasady</w:t>
      </w:r>
      <w:r w:rsidR="0050638B" w:rsidRPr="000E4F58">
        <w:rPr>
          <w:rStyle w:val="FootnoteReference"/>
          <w:noProof/>
        </w:rPr>
        <w:footnoteReference w:id="41"/>
      </w:r>
      <w:r w:rsidR="0050638B" w:rsidRPr="000E4F58">
        <w:rPr>
          <w:noProof/>
        </w:rPr>
        <w:t>.</w:t>
      </w:r>
    </w:p>
    <w:p w14:paraId="39F70808" w14:textId="7CEBA6A3" w:rsidR="0050638B" w:rsidRPr="000E4F58" w:rsidRDefault="0030768C" w:rsidP="0030768C">
      <w:pPr>
        <w:pStyle w:val="ManualConsidrant"/>
        <w:rPr>
          <w:noProof/>
        </w:rPr>
      </w:pPr>
      <w:r w:rsidRPr="0030768C">
        <w:t>(3)</w:t>
      </w:r>
      <w:r w:rsidRPr="0030768C">
        <w:tab/>
      </w:r>
      <w:r w:rsidR="0050638B" w:rsidRPr="000E4F58">
        <w:rPr>
          <w:noProof/>
        </w:rPr>
        <w:t>Z tego względu nowa konwencja międzynarodowa</w:t>
      </w:r>
      <w:r w:rsidR="00F96240" w:rsidRPr="000E4F58">
        <w:rPr>
          <w:noProof/>
        </w:rPr>
        <w:t xml:space="preserve"> w</w:t>
      </w:r>
      <w:r w:rsidR="00F96240">
        <w:rPr>
          <w:noProof/>
        </w:rPr>
        <w:t> </w:t>
      </w:r>
      <w:r w:rsidR="00F96240" w:rsidRPr="000E4F58">
        <w:rPr>
          <w:noProof/>
        </w:rPr>
        <w:t>spr</w:t>
      </w:r>
      <w:r w:rsidR="0050638B" w:rsidRPr="000E4F58">
        <w:rPr>
          <w:noProof/>
        </w:rPr>
        <w:t>awie przeciwdziałania wykorzystywaniu technologii informacyjno-komunikacyjnych</w:t>
      </w:r>
      <w:r w:rsidR="00F96240" w:rsidRPr="000E4F58">
        <w:rPr>
          <w:noProof/>
        </w:rPr>
        <w:t xml:space="preserve"> w</w:t>
      </w:r>
      <w:r w:rsidR="00F96240">
        <w:rPr>
          <w:noProof/>
        </w:rPr>
        <w:t> </w:t>
      </w:r>
      <w:r w:rsidR="00F96240" w:rsidRPr="000E4F58">
        <w:rPr>
          <w:noProof/>
        </w:rPr>
        <w:t>cel</w:t>
      </w:r>
      <w:r w:rsidR="0050638B" w:rsidRPr="000E4F58">
        <w:rPr>
          <w:noProof/>
        </w:rPr>
        <w:t>ach przestępczych może wpłynąć na wspólne zasady Unii lub zmienić ich zakres stosowania.</w:t>
      </w:r>
    </w:p>
    <w:p w14:paraId="54FBDFD7" w14:textId="3CFE2559" w:rsidR="0050638B" w:rsidRPr="000E4F58" w:rsidRDefault="0030768C" w:rsidP="0030768C">
      <w:pPr>
        <w:pStyle w:val="ManualConsidrant"/>
        <w:rPr>
          <w:noProof/>
        </w:rPr>
      </w:pPr>
      <w:r w:rsidRPr="0030768C">
        <w:t>(4)</w:t>
      </w:r>
      <w:r w:rsidRPr="0030768C">
        <w:tab/>
      </w:r>
      <w:r w:rsidR="0050638B" w:rsidRPr="000E4F58">
        <w:rPr>
          <w:noProof/>
        </w:rPr>
        <w:t>W celu ochrony integralności prawa Unii oraz zapewnienia spójności przepisów prawa międzynarodowego</w:t>
      </w:r>
      <w:r w:rsidR="00F96240" w:rsidRPr="000E4F58">
        <w:rPr>
          <w:noProof/>
        </w:rPr>
        <w:t xml:space="preserve"> i</w:t>
      </w:r>
      <w:r w:rsidR="00F96240">
        <w:rPr>
          <w:noProof/>
        </w:rPr>
        <w:t> </w:t>
      </w:r>
      <w:r w:rsidR="00F96240" w:rsidRPr="000E4F58">
        <w:rPr>
          <w:noProof/>
        </w:rPr>
        <w:t>pra</w:t>
      </w:r>
      <w:r w:rsidR="0050638B" w:rsidRPr="000E4F58">
        <w:rPr>
          <w:noProof/>
        </w:rPr>
        <w:t>wa Unii konieczne jest, aby Unia uczestniczyła</w:t>
      </w:r>
      <w:r w:rsidR="00F96240" w:rsidRPr="000E4F58">
        <w:rPr>
          <w:noProof/>
        </w:rPr>
        <w:t xml:space="preserve"> w</w:t>
      </w:r>
      <w:r w:rsidR="00F96240">
        <w:rPr>
          <w:noProof/>
        </w:rPr>
        <w:t> </w:t>
      </w:r>
      <w:r w:rsidR="00F96240" w:rsidRPr="000E4F58">
        <w:rPr>
          <w:noProof/>
        </w:rPr>
        <w:t>neg</w:t>
      </w:r>
      <w:r w:rsidR="0050638B" w:rsidRPr="000E4F58">
        <w:rPr>
          <w:noProof/>
        </w:rPr>
        <w:t>ocjacjach dotyczących nowej konwencji międzynarodowej</w:t>
      </w:r>
      <w:r w:rsidR="00F96240" w:rsidRPr="000E4F58">
        <w:rPr>
          <w:noProof/>
        </w:rPr>
        <w:t xml:space="preserve"> w</w:t>
      </w:r>
      <w:r w:rsidR="00F96240">
        <w:rPr>
          <w:noProof/>
        </w:rPr>
        <w:t> </w:t>
      </w:r>
      <w:r w:rsidR="00F96240" w:rsidRPr="000E4F58">
        <w:rPr>
          <w:noProof/>
        </w:rPr>
        <w:t>spr</w:t>
      </w:r>
      <w:r w:rsidR="0050638B" w:rsidRPr="000E4F58">
        <w:rPr>
          <w:noProof/>
        </w:rPr>
        <w:t>awie przeciwdziałania wykorzystywaniu technologii informacyjno-komunikacyjnych</w:t>
      </w:r>
      <w:r w:rsidR="00F96240" w:rsidRPr="000E4F58">
        <w:rPr>
          <w:noProof/>
        </w:rPr>
        <w:t xml:space="preserve"> w</w:t>
      </w:r>
      <w:r w:rsidR="00F96240">
        <w:rPr>
          <w:noProof/>
        </w:rPr>
        <w:t> </w:t>
      </w:r>
      <w:r w:rsidR="00F96240" w:rsidRPr="000E4F58">
        <w:rPr>
          <w:noProof/>
        </w:rPr>
        <w:t>cel</w:t>
      </w:r>
      <w:r w:rsidR="0050638B" w:rsidRPr="000E4F58">
        <w:rPr>
          <w:noProof/>
        </w:rPr>
        <w:t>ach przestępczych.</w:t>
      </w:r>
    </w:p>
    <w:p w14:paraId="5DC71924" w14:textId="4D2FC750" w:rsidR="0050638B" w:rsidRPr="000E4F58" w:rsidRDefault="0030768C" w:rsidP="0030768C">
      <w:pPr>
        <w:pStyle w:val="ManualConsidrant"/>
        <w:rPr>
          <w:noProof/>
        </w:rPr>
      </w:pPr>
      <w:r w:rsidRPr="0030768C">
        <w:t>(5)</w:t>
      </w:r>
      <w:r w:rsidRPr="0030768C">
        <w:tab/>
      </w:r>
      <w:r w:rsidR="0050638B" w:rsidRPr="000E4F58">
        <w:rPr>
          <w:noProof/>
        </w:rPr>
        <w:t>Zgodnie</w:t>
      </w:r>
      <w:r w:rsidR="00F96240" w:rsidRPr="000E4F58">
        <w:rPr>
          <w:noProof/>
        </w:rPr>
        <w:t xml:space="preserve"> z</w:t>
      </w:r>
      <w:r w:rsidR="00F96240">
        <w:rPr>
          <w:noProof/>
        </w:rPr>
        <w:t> </w:t>
      </w:r>
      <w:r w:rsidR="00F96240" w:rsidRPr="00F96240">
        <w:rPr>
          <w:noProof/>
        </w:rPr>
        <w:t>art</w:t>
      </w:r>
      <w:r w:rsidR="0050638B" w:rsidRPr="00F96240">
        <w:rPr>
          <w:noProof/>
        </w:rPr>
        <w:t>.</w:t>
      </w:r>
      <w:r w:rsidR="00F96240" w:rsidRPr="00F96240">
        <w:rPr>
          <w:noProof/>
        </w:rPr>
        <w:t> </w:t>
      </w:r>
      <w:r w:rsidR="0050638B" w:rsidRPr="00F96240">
        <w:rPr>
          <w:noProof/>
        </w:rPr>
        <w:t>4</w:t>
      </w:r>
      <w:r w:rsidR="0050638B" w:rsidRPr="000E4F58">
        <w:rPr>
          <w:noProof/>
        </w:rPr>
        <w:t xml:space="preserve">2 </w:t>
      </w:r>
      <w:r w:rsidR="0050638B" w:rsidRPr="00F96240">
        <w:rPr>
          <w:noProof/>
        </w:rPr>
        <w:t>ust.</w:t>
      </w:r>
      <w:r w:rsidR="00F96240" w:rsidRPr="00F96240">
        <w:rPr>
          <w:noProof/>
        </w:rPr>
        <w:t> </w:t>
      </w:r>
      <w:r w:rsidR="0050638B" w:rsidRPr="00F96240">
        <w:rPr>
          <w:noProof/>
        </w:rPr>
        <w:t>1</w:t>
      </w:r>
      <w:r w:rsidR="0050638B" w:rsidRPr="000E4F58">
        <w:rPr>
          <w:noProof/>
        </w:rPr>
        <w:t xml:space="preserve"> rozporządzenia Parlamentu Europejskiego</w:t>
      </w:r>
      <w:r w:rsidR="00F96240" w:rsidRPr="000E4F58">
        <w:rPr>
          <w:noProof/>
        </w:rPr>
        <w:t xml:space="preserve"> i</w:t>
      </w:r>
      <w:r w:rsidR="00F96240">
        <w:rPr>
          <w:noProof/>
        </w:rPr>
        <w:t> </w:t>
      </w:r>
      <w:r w:rsidR="00F96240" w:rsidRPr="000E4F58">
        <w:rPr>
          <w:noProof/>
        </w:rPr>
        <w:t>Rad</w:t>
      </w:r>
      <w:r w:rsidR="0050638B" w:rsidRPr="000E4F58">
        <w:rPr>
          <w:noProof/>
        </w:rPr>
        <w:t>y (UE) 2018/1725 skonsultowano się</w:t>
      </w:r>
      <w:r w:rsidR="00F96240" w:rsidRPr="000E4F58">
        <w:rPr>
          <w:noProof/>
        </w:rPr>
        <w:t xml:space="preserve"> z</w:t>
      </w:r>
      <w:r w:rsidR="00F96240">
        <w:rPr>
          <w:noProof/>
        </w:rPr>
        <w:t> </w:t>
      </w:r>
      <w:r w:rsidR="00F96240" w:rsidRPr="000E4F58">
        <w:rPr>
          <w:noProof/>
        </w:rPr>
        <w:t>Eur</w:t>
      </w:r>
      <w:r w:rsidR="0050638B" w:rsidRPr="000E4F58">
        <w:rPr>
          <w:noProof/>
        </w:rPr>
        <w:t>opejskim Inspektorem Ochrony Danych, który wydał opinię</w:t>
      </w:r>
      <w:r w:rsidR="00F96240" w:rsidRPr="000E4F58">
        <w:rPr>
          <w:noProof/>
        </w:rPr>
        <w:t xml:space="preserve"> w</w:t>
      </w:r>
      <w:r w:rsidR="00F96240">
        <w:rPr>
          <w:noProof/>
        </w:rPr>
        <w:t> </w:t>
      </w:r>
      <w:r w:rsidR="00F96240" w:rsidRPr="000E4F58">
        <w:rPr>
          <w:noProof/>
        </w:rPr>
        <w:t>dni</w:t>
      </w:r>
      <w:r w:rsidR="0050638B" w:rsidRPr="000E4F58">
        <w:rPr>
          <w:noProof/>
        </w:rPr>
        <w:t xml:space="preserve">u […] r. </w:t>
      </w:r>
    </w:p>
    <w:p w14:paraId="3A1C5258" w14:textId="5F2C9A7E" w:rsidR="0050638B" w:rsidRPr="000E4F58" w:rsidRDefault="0030768C" w:rsidP="0030768C">
      <w:pPr>
        <w:pStyle w:val="ManualConsidrant"/>
        <w:rPr>
          <w:noProof/>
        </w:rPr>
      </w:pPr>
      <w:r w:rsidRPr="0030768C">
        <w:t>(6)</w:t>
      </w:r>
      <w:r w:rsidRPr="0030768C">
        <w:tab/>
      </w:r>
      <w:r w:rsidR="0050638B" w:rsidRPr="000E4F58">
        <w:rPr>
          <w:noProof/>
        </w:rPr>
        <w:t>[Zgodnie</w:t>
      </w:r>
      <w:r w:rsidR="00F96240" w:rsidRPr="000E4F58">
        <w:rPr>
          <w:noProof/>
        </w:rPr>
        <w:t xml:space="preserve"> z</w:t>
      </w:r>
      <w:r w:rsidR="00F96240">
        <w:rPr>
          <w:noProof/>
        </w:rPr>
        <w:t> </w:t>
      </w:r>
      <w:r w:rsidR="00F96240" w:rsidRPr="00F96240">
        <w:rPr>
          <w:noProof/>
        </w:rPr>
        <w:t>art</w:t>
      </w:r>
      <w:r w:rsidR="0050638B" w:rsidRPr="00F96240">
        <w:rPr>
          <w:noProof/>
        </w:rPr>
        <w:t>.</w:t>
      </w:r>
      <w:r w:rsidR="00F96240" w:rsidRPr="00F96240">
        <w:rPr>
          <w:noProof/>
        </w:rPr>
        <w:t> </w:t>
      </w:r>
      <w:r w:rsidR="0050638B" w:rsidRPr="00F96240">
        <w:rPr>
          <w:noProof/>
        </w:rPr>
        <w:t>1</w:t>
      </w:r>
      <w:r w:rsidR="00F96240" w:rsidRPr="000E4F58">
        <w:rPr>
          <w:noProof/>
        </w:rPr>
        <w:t xml:space="preserve"> i</w:t>
      </w:r>
      <w:r w:rsidR="00F96240">
        <w:rPr>
          <w:noProof/>
        </w:rPr>
        <w:t> </w:t>
      </w:r>
      <w:r w:rsidR="00F96240" w:rsidRPr="000E4F58">
        <w:rPr>
          <w:noProof/>
        </w:rPr>
        <w:t>2</w:t>
      </w:r>
      <w:r w:rsidR="0050638B" w:rsidRPr="000E4F58">
        <w:rPr>
          <w:noProof/>
        </w:rPr>
        <w:t xml:space="preserve"> Protokołu </w:t>
      </w:r>
      <w:r w:rsidR="0050638B" w:rsidRPr="00F96240">
        <w:rPr>
          <w:noProof/>
        </w:rPr>
        <w:t>nr</w:t>
      </w:r>
      <w:r w:rsidR="00F96240" w:rsidRPr="00F96240">
        <w:rPr>
          <w:noProof/>
        </w:rPr>
        <w:t> </w:t>
      </w:r>
      <w:r w:rsidR="0050638B" w:rsidRPr="00F96240">
        <w:rPr>
          <w:noProof/>
        </w:rPr>
        <w:t>2</w:t>
      </w:r>
      <w:r w:rsidR="0050638B" w:rsidRPr="000E4F58">
        <w:rPr>
          <w:noProof/>
        </w:rPr>
        <w:t>1</w:t>
      </w:r>
      <w:r w:rsidR="00F96240" w:rsidRPr="000E4F58">
        <w:rPr>
          <w:noProof/>
        </w:rPr>
        <w:t xml:space="preserve"> w</w:t>
      </w:r>
      <w:r w:rsidR="00F96240">
        <w:rPr>
          <w:noProof/>
        </w:rPr>
        <w:t> </w:t>
      </w:r>
      <w:r w:rsidR="00F96240" w:rsidRPr="000E4F58">
        <w:rPr>
          <w:noProof/>
        </w:rPr>
        <w:t>spr</w:t>
      </w:r>
      <w:r w:rsidR="0050638B" w:rsidRPr="000E4F58">
        <w:rPr>
          <w:noProof/>
        </w:rPr>
        <w:t>awie stanowiska Zjednoczonego Królestwa</w:t>
      </w:r>
      <w:r w:rsidR="00F96240" w:rsidRPr="000E4F58">
        <w:rPr>
          <w:noProof/>
        </w:rPr>
        <w:t xml:space="preserve"> i</w:t>
      </w:r>
      <w:r w:rsidR="00F96240">
        <w:rPr>
          <w:noProof/>
        </w:rPr>
        <w:t> </w:t>
      </w:r>
      <w:r w:rsidR="00F96240" w:rsidRPr="000E4F58">
        <w:rPr>
          <w:noProof/>
        </w:rPr>
        <w:t>Irl</w:t>
      </w:r>
      <w:r w:rsidR="0050638B" w:rsidRPr="000E4F58">
        <w:rPr>
          <w:noProof/>
        </w:rPr>
        <w:t>andii</w:t>
      </w:r>
      <w:r w:rsidR="00F96240" w:rsidRPr="000E4F58">
        <w:rPr>
          <w:noProof/>
        </w:rPr>
        <w:t xml:space="preserve"> w</w:t>
      </w:r>
      <w:r w:rsidR="00F96240">
        <w:rPr>
          <w:noProof/>
        </w:rPr>
        <w:t> </w:t>
      </w:r>
      <w:r w:rsidR="00F96240" w:rsidRPr="000E4F58">
        <w:rPr>
          <w:noProof/>
        </w:rPr>
        <w:t>odn</w:t>
      </w:r>
      <w:r w:rsidR="0050638B" w:rsidRPr="000E4F58">
        <w:rPr>
          <w:noProof/>
        </w:rPr>
        <w:t>iesieniu do przestrzeni wolności, bezpieczeństwa</w:t>
      </w:r>
      <w:r w:rsidR="00F96240" w:rsidRPr="000E4F58">
        <w:rPr>
          <w:noProof/>
        </w:rPr>
        <w:t xml:space="preserve"> i</w:t>
      </w:r>
      <w:r w:rsidR="00F96240">
        <w:rPr>
          <w:noProof/>
        </w:rPr>
        <w:t> </w:t>
      </w:r>
      <w:r w:rsidR="00F96240" w:rsidRPr="000E4F58">
        <w:rPr>
          <w:noProof/>
        </w:rPr>
        <w:t>spr</w:t>
      </w:r>
      <w:r w:rsidR="0050638B" w:rsidRPr="000E4F58">
        <w:rPr>
          <w:noProof/>
        </w:rPr>
        <w:t>awiedliwości, załączonego do Traktatu</w:t>
      </w:r>
      <w:r w:rsidR="00F96240" w:rsidRPr="000E4F58">
        <w:rPr>
          <w:noProof/>
        </w:rPr>
        <w:t xml:space="preserve"> o</w:t>
      </w:r>
      <w:r w:rsidR="00F96240">
        <w:rPr>
          <w:noProof/>
        </w:rPr>
        <w:t> </w:t>
      </w:r>
      <w:r w:rsidR="00F96240" w:rsidRPr="000E4F58">
        <w:rPr>
          <w:noProof/>
        </w:rPr>
        <w:t>Uni</w:t>
      </w:r>
      <w:r w:rsidR="0050638B" w:rsidRPr="000E4F58">
        <w:rPr>
          <w:noProof/>
        </w:rPr>
        <w:t>i Europejskiej i do Traktatu</w:t>
      </w:r>
      <w:r w:rsidR="00F96240" w:rsidRPr="000E4F58">
        <w:rPr>
          <w:noProof/>
        </w:rPr>
        <w:t xml:space="preserve"> o</w:t>
      </w:r>
      <w:r w:rsidR="00F96240">
        <w:rPr>
          <w:noProof/>
        </w:rPr>
        <w:t> </w:t>
      </w:r>
      <w:r w:rsidR="00F96240" w:rsidRPr="000E4F58">
        <w:rPr>
          <w:noProof/>
        </w:rPr>
        <w:t>fun</w:t>
      </w:r>
      <w:r w:rsidR="0050638B" w:rsidRPr="000E4F58">
        <w:rPr>
          <w:noProof/>
        </w:rPr>
        <w:t xml:space="preserve">kcjonowaniu Unii Europejskiej, bez uszczerbku dla </w:t>
      </w:r>
      <w:r w:rsidR="0050638B" w:rsidRPr="00F96240">
        <w:rPr>
          <w:noProof/>
        </w:rPr>
        <w:t>art.</w:t>
      </w:r>
      <w:r w:rsidR="00F96240" w:rsidRPr="00F96240">
        <w:rPr>
          <w:noProof/>
        </w:rPr>
        <w:t> </w:t>
      </w:r>
      <w:r w:rsidR="0050638B" w:rsidRPr="00F96240">
        <w:rPr>
          <w:noProof/>
        </w:rPr>
        <w:t>4</w:t>
      </w:r>
      <w:r w:rsidR="0050638B" w:rsidRPr="000E4F58">
        <w:rPr>
          <w:noProof/>
        </w:rPr>
        <w:t xml:space="preserve"> tego protokołu, Irlandia nie uczestniczy</w:t>
      </w:r>
      <w:r w:rsidR="00F96240" w:rsidRPr="000E4F58">
        <w:rPr>
          <w:noProof/>
        </w:rPr>
        <w:t xml:space="preserve"> w</w:t>
      </w:r>
      <w:r w:rsidR="00F96240">
        <w:rPr>
          <w:noProof/>
        </w:rPr>
        <w:t> </w:t>
      </w:r>
      <w:r w:rsidR="00F96240" w:rsidRPr="000E4F58">
        <w:rPr>
          <w:noProof/>
        </w:rPr>
        <w:t>prz</w:t>
      </w:r>
      <w:r w:rsidR="0050638B" w:rsidRPr="000E4F58">
        <w:rPr>
          <w:noProof/>
        </w:rPr>
        <w:t>yjęciu niniejszej decyzji</w:t>
      </w:r>
      <w:r w:rsidR="00F96240" w:rsidRPr="000E4F58">
        <w:rPr>
          <w:noProof/>
        </w:rPr>
        <w:t xml:space="preserve"> i</w:t>
      </w:r>
      <w:r w:rsidR="00F96240">
        <w:rPr>
          <w:noProof/>
        </w:rPr>
        <w:t> </w:t>
      </w:r>
      <w:r w:rsidR="00F96240" w:rsidRPr="000E4F58">
        <w:rPr>
          <w:noProof/>
        </w:rPr>
        <w:t>nie</w:t>
      </w:r>
      <w:r w:rsidR="0050638B" w:rsidRPr="000E4F58">
        <w:rPr>
          <w:noProof/>
        </w:rPr>
        <w:t xml:space="preserve"> jest nią związana ani jej nie stosuje.]</w:t>
      </w:r>
    </w:p>
    <w:p w14:paraId="6B8FD2C2" w14:textId="471D9DA9" w:rsidR="0050638B" w:rsidRPr="000E4F58" w:rsidRDefault="0050638B" w:rsidP="000A27F0">
      <w:pPr>
        <w:ind w:left="709"/>
        <w:rPr>
          <w:noProof/>
        </w:rPr>
      </w:pPr>
      <w:r w:rsidRPr="000E4F58">
        <w:rPr>
          <w:noProof/>
        </w:rPr>
        <w:t>[LUB]</w:t>
      </w:r>
    </w:p>
    <w:p w14:paraId="07953FAF" w14:textId="71F1BE59" w:rsidR="0050638B" w:rsidRPr="000E4F58" w:rsidRDefault="0050638B" w:rsidP="000A27F0">
      <w:pPr>
        <w:ind w:left="709"/>
        <w:rPr>
          <w:noProof/>
        </w:rPr>
      </w:pPr>
      <w:r w:rsidRPr="000E4F58">
        <w:rPr>
          <w:noProof/>
        </w:rPr>
        <w:t>[Zgodnie</w:t>
      </w:r>
      <w:r w:rsidR="00F96240" w:rsidRPr="000E4F58">
        <w:rPr>
          <w:noProof/>
        </w:rPr>
        <w:t xml:space="preserve"> z</w:t>
      </w:r>
      <w:r w:rsidR="00F96240">
        <w:rPr>
          <w:noProof/>
        </w:rPr>
        <w:t> </w:t>
      </w:r>
      <w:r w:rsidR="00F96240" w:rsidRPr="00F96240">
        <w:rPr>
          <w:noProof/>
        </w:rPr>
        <w:t>art</w:t>
      </w:r>
      <w:r w:rsidRPr="00F96240">
        <w:rPr>
          <w:noProof/>
        </w:rPr>
        <w:t>.</w:t>
      </w:r>
      <w:r w:rsidR="00F96240" w:rsidRPr="00F96240">
        <w:rPr>
          <w:noProof/>
        </w:rPr>
        <w:t> </w:t>
      </w:r>
      <w:r w:rsidRPr="00F96240">
        <w:rPr>
          <w:noProof/>
        </w:rPr>
        <w:t>1</w:t>
      </w:r>
      <w:r w:rsidR="00F96240" w:rsidRPr="000E4F58">
        <w:rPr>
          <w:noProof/>
        </w:rPr>
        <w:t xml:space="preserve"> i</w:t>
      </w:r>
      <w:r w:rsidR="00F96240">
        <w:rPr>
          <w:noProof/>
        </w:rPr>
        <w:t> </w:t>
      </w:r>
      <w:r w:rsidR="00F96240" w:rsidRPr="000E4F58">
        <w:rPr>
          <w:noProof/>
        </w:rPr>
        <w:t>2</w:t>
      </w:r>
      <w:r w:rsidRPr="000E4F58">
        <w:rPr>
          <w:noProof/>
        </w:rPr>
        <w:t xml:space="preserve"> Protokołu </w:t>
      </w:r>
      <w:r w:rsidRPr="00F96240">
        <w:rPr>
          <w:noProof/>
        </w:rPr>
        <w:t>nr</w:t>
      </w:r>
      <w:r w:rsidR="00F96240" w:rsidRPr="00F96240">
        <w:rPr>
          <w:noProof/>
        </w:rPr>
        <w:t> </w:t>
      </w:r>
      <w:r w:rsidRPr="00F96240">
        <w:rPr>
          <w:noProof/>
        </w:rPr>
        <w:t>2</w:t>
      </w:r>
      <w:r w:rsidRPr="000E4F58">
        <w:rPr>
          <w:noProof/>
        </w:rPr>
        <w:t>1</w:t>
      </w:r>
      <w:r w:rsidR="00F96240" w:rsidRPr="000E4F58">
        <w:rPr>
          <w:noProof/>
        </w:rPr>
        <w:t xml:space="preserve"> w</w:t>
      </w:r>
      <w:r w:rsidR="00F96240">
        <w:rPr>
          <w:noProof/>
        </w:rPr>
        <w:t> </w:t>
      </w:r>
      <w:r w:rsidR="00F96240" w:rsidRPr="000E4F58">
        <w:rPr>
          <w:noProof/>
        </w:rPr>
        <w:t>spr</w:t>
      </w:r>
      <w:r w:rsidRPr="000E4F58">
        <w:rPr>
          <w:noProof/>
        </w:rPr>
        <w:t>awie stanowiska Zjednoczonego Królestwa</w:t>
      </w:r>
      <w:r w:rsidR="00F96240" w:rsidRPr="000E4F58">
        <w:rPr>
          <w:noProof/>
        </w:rPr>
        <w:t xml:space="preserve"> i</w:t>
      </w:r>
      <w:r w:rsidR="00F96240">
        <w:rPr>
          <w:noProof/>
        </w:rPr>
        <w:t> </w:t>
      </w:r>
      <w:r w:rsidR="00F96240" w:rsidRPr="000E4F58">
        <w:rPr>
          <w:noProof/>
        </w:rPr>
        <w:t>Irl</w:t>
      </w:r>
      <w:r w:rsidRPr="000E4F58">
        <w:rPr>
          <w:noProof/>
        </w:rPr>
        <w:t>andii</w:t>
      </w:r>
      <w:r w:rsidR="00F96240" w:rsidRPr="000E4F58">
        <w:rPr>
          <w:noProof/>
        </w:rPr>
        <w:t xml:space="preserve"> w</w:t>
      </w:r>
      <w:r w:rsidR="00F96240">
        <w:rPr>
          <w:noProof/>
        </w:rPr>
        <w:t> </w:t>
      </w:r>
      <w:r w:rsidR="00F96240" w:rsidRPr="000E4F58">
        <w:rPr>
          <w:noProof/>
        </w:rPr>
        <w:t>odn</w:t>
      </w:r>
      <w:r w:rsidRPr="000E4F58">
        <w:rPr>
          <w:noProof/>
        </w:rPr>
        <w:t>iesieniu do przestrzeni wolności, bezpieczeństwa</w:t>
      </w:r>
      <w:r w:rsidR="00F96240" w:rsidRPr="000E4F58">
        <w:rPr>
          <w:noProof/>
        </w:rPr>
        <w:t xml:space="preserve"> i</w:t>
      </w:r>
      <w:r w:rsidR="00F96240">
        <w:rPr>
          <w:noProof/>
        </w:rPr>
        <w:t> </w:t>
      </w:r>
      <w:r w:rsidR="00F96240" w:rsidRPr="000E4F58">
        <w:rPr>
          <w:noProof/>
        </w:rPr>
        <w:t>spr</w:t>
      </w:r>
      <w:r w:rsidRPr="000E4F58">
        <w:rPr>
          <w:noProof/>
        </w:rPr>
        <w:t>awiedliwości, załączonego do Traktatu</w:t>
      </w:r>
      <w:r w:rsidR="00F96240" w:rsidRPr="000E4F58">
        <w:rPr>
          <w:noProof/>
        </w:rPr>
        <w:t xml:space="preserve"> o</w:t>
      </w:r>
      <w:r w:rsidR="00F96240">
        <w:rPr>
          <w:noProof/>
        </w:rPr>
        <w:t> </w:t>
      </w:r>
      <w:r w:rsidR="00F96240" w:rsidRPr="000E4F58">
        <w:rPr>
          <w:noProof/>
        </w:rPr>
        <w:t>Uni</w:t>
      </w:r>
      <w:r w:rsidRPr="000E4F58">
        <w:rPr>
          <w:noProof/>
        </w:rPr>
        <w:t>i Europejskiej i do Traktatu</w:t>
      </w:r>
      <w:r w:rsidR="00F96240" w:rsidRPr="000E4F58">
        <w:rPr>
          <w:noProof/>
        </w:rPr>
        <w:t xml:space="preserve"> o</w:t>
      </w:r>
      <w:r w:rsidR="00F96240">
        <w:rPr>
          <w:noProof/>
        </w:rPr>
        <w:t> </w:t>
      </w:r>
      <w:r w:rsidR="00F96240" w:rsidRPr="000E4F58">
        <w:rPr>
          <w:noProof/>
        </w:rPr>
        <w:t>fun</w:t>
      </w:r>
      <w:r w:rsidRPr="000E4F58">
        <w:rPr>
          <w:noProof/>
        </w:rPr>
        <w:t xml:space="preserve">kcjonowaniu Unii Europejskiej, bez uszczerbku dla </w:t>
      </w:r>
      <w:r w:rsidRPr="00F96240">
        <w:rPr>
          <w:noProof/>
        </w:rPr>
        <w:t>art.</w:t>
      </w:r>
      <w:r w:rsidR="00F96240" w:rsidRPr="00F96240">
        <w:rPr>
          <w:noProof/>
        </w:rPr>
        <w:t> </w:t>
      </w:r>
      <w:r w:rsidRPr="00F96240">
        <w:rPr>
          <w:noProof/>
        </w:rPr>
        <w:t>4</w:t>
      </w:r>
      <w:r w:rsidRPr="000E4F58">
        <w:rPr>
          <w:noProof/>
        </w:rPr>
        <w:t xml:space="preserve"> tego protokołu, Irlandia powiadomiła [pismem</w:t>
      </w:r>
      <w:r w:rsidR="00F96240" w:rsidRPr="000E4F58">
        <w:rPr>
          <w:noProof/>
        </w:rPr>
        <w:t xml:space="preserve"> z</w:t>
      </w:r>
      <w:r w:rsidR="00F96240">
        <w:rPr>
          <w:noProof/>
        </w:rPr>
        <w:t> </w:t>
      </w:r>
      <w:r w:rsidR="00F96240" w:rsidRPr="000E4F58">
        <w:rPr>
          <w:noProof/>
        </w:rPr>
        <w:t>dni</w:t>
      </w:r>
      <w:r w:rsidRPr="000E4F58">
        <w:rPr>
          <w:noProof/>
        </w:rPr>
        <w:t>a … r.]</w:t>
      </w:r>
      <w:r w:rsidR="00F96240" w:rsidRPr="000E4F58">
        <w:rPr>
          <w:noProof/>
        </w:rPr>
        <w:t xml:space="preserve"> o</w:t>
      </w:r>
      <w:r w:rsidR="00F96240">
        <w:rPr>
          <w:noProof/>
        </w:rPr>
        <w:t> </w:t>
      </w:r>
      <w:r w:rsidR="00F96240" w:rsidRPr="000E4F58">
        <w:rPr>
          <w:noProof/>
        </w:rPr>
        <w:t>chę</w:t>
      </w:r>
      <w:r w:rsidRPr="000E4F58">
        <w:rPr>
          <w:noProof/>
        </w:rPr>
        <w:t>ci uczestniczenia</w:t>
      </w:r>
      <w:r w:rsidR="00F96240" w:rsidRPr="000E4F58">
        <w:rPr>
          <w:noProof/>
        </w:rPr>
        <w:t xml:space="preserve"> w</w:t>
      </w:r>
      <w:r w:rsidR="00F96240">
        <w:rPr>
          <w:noProof/>
        </w:rPr>
        <w:t> </w:t>
      </w:r>
      <w:r w:rsidR="00F96240" w:rsidRPr="000E4F58">
        <w:rPr>
          <w:noProof/>
        </w:rPr>
        <w:t>prz</w:t>
      </w:r>
      <w:r w:rsidRPr="000E4F58">
        <w:rPr>
          <w:noProof/>
        </w:rPr>
        <w:t>yjęciu</w:t>
      </w:r>
      <w:r w:rsidR="00F96240" w:rsidRPr="000E4F58">
        <w:rPr>
          <w:noProof/>
        </w:rPr>
        <w:t xml:space="preserve"> i</w:t>
      </w:r>
      <w:r w:rsidR="00F96240">
        <w:rPr>
          <w:noProof/>
        </w:rPr>
        <w:t> </w:t>
      </w:r>
      <w:r w:rsidR="00F96240" w:rsidRPr="000E4F58">
        <w:rPr>
          <w:noProof/>
        </w:rPr>
        <w:t>sto</w:t>
      </w:r>
      <w:r w:rsidRPr="000E4F58">
        <w:rPr>
          <w:noProof/>
        </w:rPr>
        <w:t xml:space="preserve">sowaniu niniejszej decyzji.] </w:t>
      </w:r>
    </w:p>
    <w:p w14:paraId="03B8E2F0" w14:textId="2987F0C6" w:rsidR="0050638B" w:rsidRPr="000E4F58" w:rsidRDefault="0030768C" w:rsidP="0030768C">
      <w:pPr>
        <w:pStyle w:val="ManualConsidrant"/>
        <w:rPr>
          <w:noProof/>
        </w:rPr>
      </w:pPr>
      <w:r w:rsidRPr="0030768C">
        <w:t>(7)</w:t>
      </w:r>
      <w:r w:rsidRPr="0030768C">
        <w:tab/>
      </w:r>
      <w:r w:rsidR="0050638B" w:rsidRPr="000E4F58">
        <w:rPr>
          <w:noProof/>
        </w:rPr>
        <w:t>Zgodnie</w:t>
      </w:r>
      <w:r w:rsidR="00F96240" w:rsidRPr="000E4F58">
        <w:rPr>
          <w:noProof/>
        </w:rPr>
        <w:t xml:space="preserve"> z</w:t>
      </w:r>
      <w:r w:rsidR="00F96240">
        <w:rPr>
          <w:noProof/>
        </w:rPr>
        <w:t> </w:t>
      </w:r>
      <w:r w:rsidR="00F96240" w:rsidRPr="00F96240">
        <w:rPr>
          <w:noProof/>
        </w:rPr>
        <w:t>art</w:t>
      </w:r>
      <w:r w:rsidR="0050638B" w:rsidRPr="00F96240">
        <w:rPr>
          <w:noProof/>
        </w:rPr>
        <w:t>.</w:t>
      </w:r>
      <w:r w:rsidR="00F96240" w:rsidRPr="00F96240">
        <w:rPr>
          <w:noProof/>
        </w:rPr>
        <w:t> </w:t>
      </w:r>
      <w:r w:rsidR="0050638B" w:rsidRPr="00F96240">
        <w:rPr>
          <w:noProof/>
        </w:rPr>
        <w:t>1</w:t>
      </w:r>
      <w:r w:rsidR="00F96240" w:rsidRPr="000E4F58">
        <w:rPr>
          <w:noProof/>
        </w:rPr>
        <w:t xml:space="preserve"> i</w:t>
      </w:r>
      <w:r w:rsidR="00F96240">
        <w:rPr>
          <w:noProof/>
        </w:rPr>
        <w:t> </w:t>
      </w:r>
      <w:r w:rsidR="00F96240" w:rsidRPr="000E4F58">
        <w:rPr>
          <w:noProof/>
        </w:rPr>
        <w:t>2</w:t>
      </w:r>
      <w:r w:rsidR="0050638B" w:rsidRPr="000E4F58">
        <w:rPr>
          <w:noProof/>
        </w:rPr>
        <w:t xml:space="preserve"> Protokołu </w:t>
      </w:r>
      <w:r w:rsidR="0050638B" w:rsidRPr="00F96240">
        <w:rPr>
          <w:noProof/>
        </w:rPr>
        <w:t>nr</w:t>
      </w:r>
      <w:r w:rsidR="00F96240" w:rsidRPr="00F96240">
        <w:rPr>
          <w:noProof/>
        </w:rPr>
        <w:t> </w:t>
      </w:r>
      <w:r w:rsidR="0050638B" w:rsidRPr="00F96240">
        <w:rPr>
          <w:noProof/>
        </w:rPr>
        <w:t>2</w:t>
      </w:r>
      <w:r w:rsidR="0050638B" w:rsidRPr="000E4F58">
        <w:rPr>
          <w:noProof/>
        </w:rPr>
        <w:t>2</w:t>
      </w:r>
      <w:r w:rsidR="00F96240" w:rsidRPr="000E4F58">
        <w:rPr>
          <w:noProof/>
        </w:rPr>
        <w:t xml:space="preserve"> w</w:t>
      </w:r>
      <w:r w:rsidR="00F96240">
        <w:rPr>
          <w:noProof/>
        </w:rPr>
        <w:t> </w:t>
      </w:r>
      <w:r w:rsidR="00F96240" w:rsidRPr="000E4F58">
        <w:rPr>
          <w:noProof/>
        </w:rPr>
        <w:t>spr</w:t>
      </w:r>
      <w:r w:rsidR="0050638B" w:rsidRPr="000E4F58">
        <w:rPr>
          <w:noProof/>
        </w:rPr>
        <w:t>awie stanowiska Danii, załączonego do Traktatu</w:t>
      </w:r>
      <w:r w:rsidR="00F96240" w:rsidRPr="000E4F58">
        <w:rPr>
          <w:noProof/>
        </w:rPr>
        <w:t xml:space="preserve"> o</w:t>
      </w:r>
      <w:r w:rsidR="00F96240">
        <w:rPr>
          <w:noProof/>
        </w:rPr>
        <w:t> </w:t>
      </w:r>
      <w:r w:rsidR="00F96240" w:rsidRPr="000E4F58">
        <w:rPr>
          <w:noProof/>
        </w:rPr>
        <w:t>Uni</w:t>
      </w:r>
      <w:r w:rsidR="0050638B" w:rsidRPr="000E4F58">
        <w:rPr>
          <w:noProof/>
        </w:rPr>
        <w:t>i Europejskiej i do Traktatu</w:t>
      </w:r>
      <w:r w:rsidR="00F96240" w:rsidRPr="000E4F58">
        <w:rPr>
          <w:noProof/>
        </w:rPr>
        <w:t xml:space="preserve"> o</w:t>
      </w:r>
      <w:r w:rsidR="00F96240">
        <w:rPr>
          <w:noProof/>
        </w:rPr>
        <w:t> </w:t>
      </w:r>
      <w:r w:rsidR="00F96240" w:rsidRPr="000E4F58">
        <w:rPr>
          <w:noProof/>
        </w:rPr>
        <w:t>fun</w:t>
      </w:r>
      <w:r w:rsidR="0050638B" w:rsidRPr="000E4F58">
        <w:rPr>
          <w:noProof/>
        </w:rPr>
        <w:t>kcjonowaniu Unii Europejskiej, Dania nie uczestniczy</w:t>
      </w:r>
      <w:r w:rsidR="00F96240" w:rsidRPr="000E4F58">
        <w:rPr>
          <w:noProof/>
        </w:rPr>
        <w:t xml:space="preserve"> w</w:t>
      </w:r>
      <w:r w:rsidR="00F96240">
        <w:rPr>
          <w:noProof/>
        </w:rPr>
        <w:t> </w:t>
      </w:r>
      <w:r w:rsidR="00F96240" w:rsidRPr="000E4F58">
        <w:rPr>
          <w:noProof/>
        </w:rPr>
        <w:t>prz</w:t>
      </w:r>
      <w:r w:rsidR="0050638B" w:rsidRPr="000E4F58">
        <w:rPr>
          <w:noProof/>
        </w:rPr>
        <w:t>yjęciu niniejszej decyzji</w:t>
      </w:r>
      <w:r w:rsidR="00F96240" w:rsidRPr="000E4F58">
        <w:rPr>
          <w:noProof/>
        </w:rPr>
        <w:t xml:space="preserve"> i</w:t>
      </w:r>
      <w:r w:rsidR="00F96240">
        <w:rPr>
          <w:noProof/>
        </w:rPr>
        <w:t> </w:t>
      </w:r>
      <w:r w:rsidR="00F96240" w:rsidRPr="000E4F58">
        <w:rPr>
          <w:noProof/>
        </w:rPr>
        <w:t>nie</w:t>
      </w:r>
      <w:r w:rsidR="0050638B" w:rsidRPr="000E4F58">
        <w:rPr>
          <w:noProof/>
        </w:rPr>
        <w:t xml:space="preserve"> jest nią związana ani jej nie stosuje,</w:t>
      </w:r>
    </w:p>
    <w:p w14:paraId="66E6B3CD" w14:textId="77777777" w:rsidR="0050638B" w:rsidRPr="000E4F58" w:rsidRDefault="0050638B" w:rsidP="0050638B">
      <w:pPr>
        <w:rPr>
          <w:noProof/>
        </w:rPr>
      </w:pPr>
    </w:p>
    <w:p w14:paraId="3B8CBC87" w14:textId="77777777" w:rsidR="00B978EF" w:rsidRPr="000E4F58" w:rsidRDefault="00B978EF" w:rsidP="00EC66B3">
      <w:pPr>
        <w:pStyle w:val="Formuledadoption"/>
        <w:rPr>
          <w:noProof/>
        </w:rPr>
      </w:pPr>
      <w:r w:rsidRPr="000E4F58">
        <w:rPr>
          <w:noProof/>
        </w:rPr>
        <w:t xml:space="preserve">PRZYJMUJE NINIEJSZĄ DECYZJĘ: </w:t>
      </w:r>
    </w:p>
    <w:p w14:paraId="212966F4" w14:textId="77777777" w:rsidR="00B978EF" w:rsidRPr="000E4F58" w:rsidRDefault="00B978EF" w:rsidP="00EC66B3">
      <w:pPr>
        <w:pStyle w:val="Titrearticle"/>
        <w:rPr>
          <w:noProof/>
        </w:rPr>
      </w:pPr>
      <w:r w:rsidRPr="000E4F58">
        <w:rPr>
          <w:noProof/>
        </w:rPr>
        <w:t>Artykuł 1</w:t>
      </w:r>
    </w:p>
    <w:p w14:paraId="4C5F654C" w14:textId="7E535AAF" w:rsidR="00792BF2" w:rsidRPr="000E4F58" w:rsidRDefault="00792BF2" w:rsidP="00792BF2">
      <w:pPr>
        <w:rPr>
          <w:noProof/>
        </w:rPr>
      </w:pPr>
      <w:r w:rsidRPr="000E4F58">
        <w:rPr>
          <w:noProof/>
        </w:rPr>
        <w:t>Komisja zostaje niniejszym upoważniona do negocjowania,</w:t>
      </w:r>
      <w:r w:rsidR="00F96240" w:rsidRPr="000E4F58">
        <w:rPr>
          <w:noProof/>
        </w:rPr>
        <w:t xml:space="preserve"> w</w:t>
      </w:r>
      <w:r w:rsidR="00F96240">
        <w:rPr>
          <w:noProof/>
        </w:rPr>
        <w:t> </w:t>
      </w:r>
      <w:r w:rsidR="00F96240" w:rsidRPr="000E4F58">
        <w:rPr>
          <w:noProof/>
        </w:rPr>
        <w:t>imi</w:t>
      </w:r>
      <w:r w:rsidRPr="000E4F58">
        <w:rPr>
          <w:noProof/>
        </w:rPr>
        <w:t>eniu Unii, kompleksowej konwencji</w:t>
      </w:r>
      <w:r w:rsidR="00F96240" w:rsidRPr="000E4F58">
        <w:rPr>
          <w:noProof/>
        </w:rPr>
        <w:t xml:space="preserve"> w</w:t>
      </w:r>
      <w:r w:rsidR="00F96240">
        <w:rPr>
          <w:noProof/>
        </w:rPr>
        <w:t> </w:t>
      </w:r>
      <w:r w:rsidR="00F96240" w:rsidRPr="000E4F58">
        <w:rPr>
          <w:noProof/>
        </w:rPr>
        <w:t>spr</w:t>
      </w:r>
      <w:r w:rsidRPr="000E4F58">
        <w:rPr>
          <w:noProof/>
        </w:rPr>
        <w:t>awie przeciwdziałania wykorzystywaniu technologii informacyjno-komunikacyjnych</w:t>
      </w:r>
      <w:r w:rsidR="00F96240" w:rsidRPr="000E4F58">
        <w:rPr>
          <w:noProof/>
        </w:rPr>
        <w:t xml:space="preserve"> w</w:t>
      </w:r>
      <w:r w:rsidR="00F96240">
        <w:rPr>
          <w:noProof/>
        </w:rPr>
        <w:t> </w:t>
      </w:r>
      <w:r w:rsidR="00F96240" w:rsidRPr="000E4F58">
        <w:rPr>
          <w:noProof/>
        </w:rPr>
        <w:t>cel</w:t>
      </w:r>
      <w:r w:rsidRPr="000E4F58">
        <w:rPr>
          <w:noProof/>
        </w:rPr>
        <w:t xml:space="preserve">ach przestępczych. </w:t>
      </w:r>
    </w:p>
    <w:p w14:paraId="02BDF978" w14:textId="77777777" w:rsidR="00792BF2" w:rsidRPr="000E4F58" w:rsidRDefault="00792BF2" w:rsidP="00792BF2">
      <w:pPr>
        <w:pStyle w:val="Titrearticle"/>
        <w:rPr>
          <w:noProof/>
        </w:rPr>
      </w:pPr>
      <w:r w:rsidRPr="000E4F58">
        <w:rPr>
          <w:noProof/>
        </w:rPr>
        <w:t>Artykuł 2</w:t>
      </w:r>
    </w:p>
    <w:p w14:paraId="4D181070" w14:textId="326F260D" w:rsidR="00792BF2" w:rsidRPr="000E4F58" w:rsidRDefault="00D651A1" w:rsidP="00792BF2">
      <w:pPr>
        <w:rPr>
          <w:noProof/>
        </w:rPr>
      </w:pPr>
      <w:r w:rsidRPr="000E4F58">
        <w:rPr>
          <w:noProof/>
        </w:rPr>
        <w:t>Wytyczne negocjacyjne przedstawiono</w:t>
      </w:r>
      <w:r w:rsidR="00F96240" w:rsidRPr="000E4F58">
        <w:rPr>
          <w:noProof/>
        </w:rPr>
        <w:t xml:space="preserve"> w</w:t>
      </w:r>
      <w:r w:rsidR="00F96240">
        <w:rPr>
          <w:noProof/>
        </w:rPr>
        <w:t> </w:t>
      </w:r>
      <w:r w:rsidR="00F96240" w:rsidRPr="000E4F58">
        <w:rPr>
          <w:noProof/>
        </w:rPr>
        <w:t>zał</w:t>
      </w:r>
      <w:r w:rsidRPr="000E4F58">
        <w:rPr>
          <w:noProof/>
        </w:rPr>
        <w:t>ączniku.</w:t>
      </w:r>
    </w:p>
    <w:p w14:paraId="2F3B7A19" w14:textId="77777777" w:rsidR="00792BF2" w:rsidRPr="000E4F58" w:rsidRDefault="00792BF2" w:rsidP="00792BF2">
      <w:pPr>
        <w:pStyle w:val="Titrearticle"/>
        <w:rPr>
          <w:noProof/>
        </w:rPr>
      </w:pPr>
      <w:r w:rsidRPr="000E4F58">
        <w:rPr>
          <w:noProof/>
        </w:rPr>
        <w:t>Artykuł 3</w:t>
      </w:r>
    </w:p>
    <w:p w14:paraId="17C7E0A9" w14:textId="41537761" w:rsidR="00792BF2" w:rsidRPr="000E4F58" w:rsidRDefault="00792BF2" w:rsidP="00792BF2">
      <w:pPr>
        <w:pStyle w:val="Article"/>
        <w:rPr>
          <w:noProof/>
        </w:rPr>
      </w:pPr>
      <w:r w:rsidRPr="000E4F58">
        <w:rPr>
          <w:noProof/>
        </w:rPr>
        <w:t>Rokowania prowadzone są</w:t>
      </w:r>
      <w:r w:rsidR="00F96240" w:rsidRPr="000E4F58">
        <w:rPr>
          <w:noProof/>
        </w:rPr>
        <w:t xml:space="preserve"> w</w:t>
      </w:r>
      <w:r w:rsidR="00F96240">
        <w:rPr>
          <w:noProof/>
        </w:rPr>
        <w:t> </w:t>
      </w:r>
      <w:r w:rsidR="00F96240" w:rsidRPr="000E4F58">
        <w:rPr>
          <w:noProof/>
        </w:rPr>
        <w:t>kon</w:t>
      </w:r>
      <w:r w:rsidRPr="000E4F58">
        <w:rPr>
          <w:noProof/>
        </w:rPr>
        <w:t>sultacji ze specjalnym komitetem, który zostanie wyznaczony przez Radę.</w:t>
      </w:r>
    </w:p>
    <w:p w14:paraId="6A02631F" w14:textId="77777777" w:rsidR="00792BF2" w:rsidRPr="000E4F58" w:rsidRDefault="00792BF2" w:rsidP="00792BF2">
      <w:pPr>
        <w:pStyle w:val="Titrearticle"/>
        <w:rPr>
          <w:noProof/>
        </w:rPr>
      </w:pPr>
      <w:r w:rsidRPr="000E4F58">
        <w:rPr>
          <w:noProof/>
        </w:rPr>
        <w:t xml:space="preserve">Artykuł 4 </w:t>
      </w:r>
    </w:p>
    <w:p w14:paraId="78A19126" w14:textId="7967E6BB" w:rsidR="00792BF2" w:rsidRPr="000E4F58" w:rsidRDefault="00792BF2" w:rsidP="00792BF2">
      <w:pPr>
        <w:rPr>
          <w:noProof/>
        </w:rPr>
      </w:pPr>
      <w:r w:rsidRPr="000E4F58">
        <w:rPr>
          <w:noProof/>
        </w:rPr>
        <w:t>Niniejsza decyzja wraz</w:t>
      </w:r>
      <w:r w:rsidR="00F96240" w:rsidRPr="000E4F58">
        <w:rPr>
          <w:noProof/>
        </w:rPr>
        <w:t xml:space="preserve"> z</w:t>
      </w:r>
      <w:r w:rsidR="00F96240">
        <w:rPr>
          <w:noProof/>
        </w:rPr>
        <w:t> </w:t>
      </w:r>
      <w:r w:rsidR="00F96240" w:rsidRPr="000E4F58">
        <w:rPr>
          <w:noProof/>
        </w:rPr>
        <w:t>zał</w:t>
      </w:r>
      <w:r w:rsidRPr="000E4F58">
        <w:rPr>
          <w:noProof/>
        </w:rPr>
        <w:t xml:space="preserve">ącznikiem zostanie podana do wiadomości publicznej niezwłocznie po jej przyjęciu. </w:t>
      </w:r>
    </w:p>
    <w:p w14:paraId="694A466E" w14:textId="77777777" w:rsidR="00792BF2" w:rsidRPr="000E4F58" w:rsidRDefault="00792BF2" w:rsidP="00792BF2">
      <w:pPr>
        <w:pStyle w:val="Titrearticle"/>
        <w:rPr>
          <w:noProof/>
        </w:rPr>
      </w:pPr>
      <w:r w:rsidRPr="000E4F58">
        <w:rPr>
          <w:noProof/>
        </w:rPr>
        <w:t xml:space="preserve">Artykuł 5 </w:t>
      </w:r>
    </w:p>
    <w:p w14:paraId="617CCBE4" w14:textId="77777777" w:rsidR="00792BF2" w:rsidRPr="000E4F58" w:rsidRDefault="00792BF2" w:rsidP="00792BF2">
      <w:pPr>
        <w:rPr>
          <w:noProof/>
        </w:rPr>
      </w:pPr>
      <w:r w:rsidRPr="000E4F58">
        <w:rPr>
          <w:noProof/>
        </w:rPr>
        <w:t>Niniejsza decyzja skierowana jest do Komisji.</w:t>
      </w:r>
    </w:p>
    <w:p w14:paraId="0BA6D32E" w14:textId="77777777" w:rsidR="00B978EF" w:rsidRPr="000E4F58" w:rsidRDefault="00B978EF" w:rsidP="00792BF2">
      <w:pPr>
        <w:rPr>
          <w:noProof/>
        </w:rPr>
      </w:pPr>
      <w:bookmarkStart w:id="1" w:name="_CopyToNewDocument_"/>
      <w:bookmarkEnd w:id="1"/>
    </w:p>
    <w:p w14:paraId="1A004E06" w14:textId="7D79DDA9" w:rsidR="00B978EF" w:rsidRPr="000E4F58" w:rsidRDefault="001C0440" w:rsidP="00431E0E">
      <w:pPr>
        <w:pStyle w:val="Fait"/>
        <w:rPr>
          <w:noProof/>
        </w:rPr>
      </w:pPr>
      <w:r w:rsidRPr="001C0440">
        <w:t xml:space="preserve">Sporządzono w Brukseli dnia </w:t>
      </w:r>
      <w:r w:rsidRPr="001C0440">
        <w:rPr>
          <w:rStyle w:val="Marker"/>
        </w:rPr>
        <w:t>[…]</w:t>
      </w:r>
      <w:r w:rsidRPr="001C0440">
        <w:t xml:space="preserve"> r.</w:t>
      </w:r>
    </w:p>
    <w:p w14:paraId="18BE0C81" w14:textId="77777777" w:rsidR="00B978EF" w:rsidRPr="000E4F58" w:rsidRDefault="00B978EF" w:rsidP="00431E0E">
      <w:pPr>
        <w:pStyle w:val="Institutionquisigne"/>
        <w:rPr>
          <w:noProof/>
        </w:rPr>
      </w:pPr>
      <w:r w:rsidRPr="000E4F58">
        <w:rPr>
          <w:noProof/>
        </w:rPr>
        <w:tab/>
        <w:t>W imieniu Rady</w:t>
      </w:r>
    </w:p>
    <w:p w14:paraId="4DF27FE9" w14:textId="77777777" w:rsidR="00B978EF" w:rsidRPr="000E4F58" w:rsidRDefault="00B978EF" w:rsidP="00B978EF">
      <w:pPr>
        <w:pStyle w:val="Personnequisigne"/>
        <w:rPr>
          <w:noProof/>
        </w:rPr>
      </w:pPr>
      <w:r w:rsidRPr="000E4F58">
        <w:rPr>
          <w:noProof/>
        </w:rPr>
        <w:tab/>
        <w:t>Przewodniczący</w:t>
      </w:r>
    </w:p>
    <w:sectPr w:rsidR="00B978EF" w:rsidRPr="000E4F58" w:rsidSect="00891131">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1D6F" w16cex:dateUtc="2022-01-31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B269E" w16cid:durableId="25A21CDC"/>
  <w16cid:commentId w16cid:paraId="380852DB" w16cid:durableId="25A21CDD"/>
  <w16cid:commentId w16cid:paraId="68A8DE1F" w16cid:durableId="25A21CDE"/>
  <w16cid:commentId w16cid:paraId="4C8C9927" w16cid:durableId="25A21D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7E262" w14:textId="77777777" w:rsidR="00BC2AAA" w:rsidRDefault="00BC2AAA" w:rsidP="00B978EF">
      <w:pPr>
        <w:spacing w:before="0" w:after="0"/>
      </w:pPr>
      <w:r>
        <w:separator/>
      </w:r>
    </w:p>
  </w:endnote>
  <w:endnote w:type="continuationSeparator" w:id="0">
    <w:p w14:paraId="665D0034" w14:textId="77777777" w:rsidR="00BC2AAA" w:rsidRDefault="00BC2AAA" w:rsidP="00B978EF">
      <w:pPr>
        <w:spacing w:before="0" w:after="0"/>
      </w:pPr>
      <w:r>
        <w:continuationSeparator/>
      </w:r>
    </w:p>
  </w:endnote>
  <w:endnote w:type="continuationNotice" w:id="1">
    <w:p w14:paraId="0E01DDB3" w14:textId="77777777" w:rsidR="00BC2AAA" w:rsidRDefault="00BC2A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534FA" w14:textId="418D0C55" w:rsidR="007C034E" w:rsidRPr="00891131" w:rsidRDefault="00891131" w:rsidP="00891131">
    <w:pPr>
      <w:pStyle w:val="Footer"/>
      <w:rPr>
        <w:rFonts w:ascii="Arial" w:hAnsi="Arial" w:cs="Arial"/>
        <w:b/>
        <w:sz w:val="48"/>
      </w:rPr>
    </w:pPr>
    <w:r w:rsidRPr="00891131">
      <w:rPr>
        <w:rFonts w:ascii="Arial" w:hAnsi="Arial" w:cs="Arial"/>
        <w:b/>
        <w:sz w:val="48"/>
      </w:rPr>
      <w:t>PL</w:t>
    </w:r>
    <w:r w:rsidRPr="00891131">
      <w:rPr>
        <w:rFonts w:ascii="Arial" w:hAnsi="Arial" w:cs="Arial"/>
        <w:b/>
        <w:sz w:val="48"/>
      </w:rPr>
      <w:tab/>
    </w:r>
    <w:r w:rsidRPr="00891131">
      <w:rPr>
        <w:rFonts w:ascii="Arial" w:hAnsi="Arial" w:cs="Arial"/>
        <w:b/>
        <w:sz w:val="48"/>
      </w:rPr>
      <w:tab/>
    </w:r>
    <w:r w:rsidRPr="00891131">
      <w:tab/>
    </w:r>
    <w:r w:rsidRPr="00891131">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4EEE" w14:textId="55F6DBEB" w:rsidR="00891131" w:rsidRPr="00891131" w:rsidRDefault="00891131" w:rsidP="00891131">
    <w:pPr>
      <w:pStyle w:val="Footer"/>
      <w:rPr>
        <w:rFonts w:ascii="Arial" w:hAnsi="Arial" w:cs="Arial"/>
        <w:b/>
        <w:sz w:val="48"/>
      </w:rPr>
    </w:pPr>
    <w:r w:rsidRPr="00891131">
      <w:rPr>
        <w:rFonts w:ascii="Arial" w:hAnsi="Arial" w:cs="Arial"/>
        <w:b/>
        <w:sz w:val="48"/>
      </w:rPr>
      <w:t>PL</w:t>
    </w:r>
    <w:r w:rsidRPr="00891131">
      <w:rPr>
        <w:rFonts w:ascii="Arial" w:hAnsi="Arial" w:cs="Arial"/>
        <w:b/>
        <w:sz w:val="48"/>
      </w:rPr>
      <w:tab/>
    </w:r>
    <w:r>
      <w:fldChar w:fldCharType="begin"/>
    </w:r>
    <w:r>
      <w:instrText xml:space="preserve"> PAGE  \* MERGEFORMAT </w:instrText>
    </w:r>
    <w:r>
      <w:fldChar w:fldCharType="separate"/>
    </w:r>
    <w:r w:rsidR="00431E0E">
      <w:rPr>
        <w:noProof/>
      </w:rPr>
      <w:t>10</w:t>
    </w:r>
    <w:r>
      <w:fldChar w:fldCharType="end"/>
    </w:r>
    <w:r>
      <w:tab/>
    </w:r>
    <w:r w:rsidRPr="00891131">
      <w:tab/>
    </w:r>
    <w:r w:rsidRPr="00891131">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C3181" w14:textId="77777777" w:rsidR="00891131" w:rsidRPr="00891131" w:rsidRDefault="00891131" w:rsidP="00891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6CAA4" w14:textId="77777777" w:rsidR="00BC2AAA" w:rsidRDefault="00BC2AAA" w:rsidP="00B978EF">
      <w:pPr>
        <w:spacing w:before="0" w:after="0"/>
      </w:pPr>
      <w:r>
        <w:separator/>
      </w:r>
    </w:p>
  </w:footnote>
  <w:footnote w:type="continuationSeparator" w:id="0">
    <w:p w14:paraId="4442E4F8" w14:textId="77777777" w:rsidR="00BC2AAA" w:rsidRDefault="00BC2AAA" w:rsidP="00B978EF">
      <w:pPr>
        <w:spacing w:before="0" w:after="0"/>
      </w:pPr>
      <w:r>
        <w:continuationSeparator/>
      </w:r>
    </w:p>
  </w:footnote>
  <w:footnote w:type="continuationNotice" w:id="1">
    <w:p w14:paraId="7D62179E" w14:textId="77777777" w:rsidR="00BC2AAA" w:rsidRDefault="00BC2AAA">
      <w:pPr>
        <w:spacing w:before="0" w:after="0"/>
      </w:pPr>
    </w:p>
  </w:footnote>
  <w:footnote w:id="2">
    <w:p w14:paraId="20590DC9" w14:textId="77777777" w:rsidR="00BC2AAA" w:rsidRPr="000E4F58" w:rsidRDefault="00BC2AAA" w:rsidP="00D90C58">
      <w:pPr>
        <w:pStyle w:val="FootnoteText"/>
      </w:pPr>
      <w:r>
        <w:rPr>
          <w:rStyle w:val="FootnoteReference"/>
        </w:rPr>
        <w:footnoteRef/>
      </w:r>
      <w:r w:rsidRPr="000E4F58">
        <w:tab/>
        <w:t xml:space="preserve">2021 Europol, Internet organised crime threat assessment (IOCTA) (Ocena zagrożenia wykorzystaniem internetu przez zorganizowane grupy przestępcze (IOCTA)), </w:t>
      </w:r>
      <w:hyperlink r:id="rId1" w:history="1">
        <w:r w:rsidRPr="000E4F58">
          <w:rPr>
            <w:rStyle w:val="Hyperlink"/>
          </w:rPr>
          <w:t>www.europol.eu</w:t>
        </w:r>
      </w:hyperlink>
      <w:r w:rsidRPr="000E4F58">
        <w:t xml:space="preserve"> </w:t>
      </w:r>
    </w:p>
  </w:footnote>
  <w:footnote w:id="3">
    <w:p w14:paraId="1372AC9E" w14:textId="1C74C011" w:rsidR="00BC2AAA" w:rsidRPr="000E4F58" w:rsidRDefault="00BC2AAA" w:rsidP="00D90C58">
      <w:pPr>
        <w:pStyle w:val="FootnoteText"/>
      </w:pPr>
      <w:r>
        <w:rPr>
          <w:rStyle w:val="FootnoteReference"/>
        </w:rPr>
        <w:footnoteRef/>
      </w:r>
      <w:r w:rsidRPr="000E4F58">
        <w:tab/>
        <w:t>Konwencja budapeszteńska Rady Europy</w:t>
      </w:r>
      <w:r w:rsidR="00F96240" w:rsidRPr="000E4F58">
        <w:t xml:space="preserve"> o</w:t>
      </w:r>
      <w:r w:rsidR="00F96240">
        <w:t> </w:t>
      </w:r>
      <w:r w:rsidR="00F96240" w:rsidRPr="000E4F58">
        <w:t>cyb</w:t>
      </w:r>
      <w:r w:rsidRPr="000E4F58">
        <w:t xml:space="preserve">erprzestępczości (CETS </w:t>
      </w:r>
      <w:r w:rsidRPr="00F96240">
        <w:t>nr</w:t>
      </w:r>
      <w:r w:rsidR="00F96240" w:rsidRPr="00F96240">
        <w:t> </w:t>
      </w:r>
      <w:r w:rsidRPr="00F96240">
        <w:t>1</w:t>
      </w:r>
      <w:r w:rsidRPr="000E4F58">
        <w:t>85), 23 listopada 20</w:t>
      </w:r>
      <w:r w:rsidRPr="00F96240">
        <w:t>01</w:t>
      </w:r>
      <w:r w:rsidR="00F96240" w:rsidRPr="00F96240">
        <w:t> </w:t>
      </w:r>
      <w:r w:rsidRPr="00F96240">
        <w:t>r.</w:t>
      </w:r>
      <w:r w:rsidRPr="000E4F58">
        <w:t xml:space="preserve">, </w:t>
      </w:r>
      <w:hyperlink r:id="rId2" w:history="1">
        <w:r w:rsidRPr="000E4F58">
          <w:rPr>
            <w:rStyle w:val="Hyperlink"/>
          </w:rPr>
          <w:t>https://rm.coe.int/CoERMPublicCommonSearchServices/DisplayDCTMContent?documentId=0900001680081561</w:t>
        </w:r>
      </w:hyperlink>
    </w:p>
  </w:footnote>
  <w:footnote w:id="4">
    <w:p w14:paraId="3154DFA6" w14:textId="48B8B6BD" w:rsidR="00BC2AAA" w:rsidRPr="000E4F58" w:rsidRDefault="00BC2AAA">
      <w:pPr>
        <w:pStyle w:val="FootnoteText"/>
      </w:pPr>
      <w:r>
        <w:rPr>
          <w:rStyle w:val="FootnoteReference"/>
        </w:rPr>
        <w:footnoteRef/>
      </w:r>
      <w:r w:rsidRPr="000E4F58">
        <w:tab/>
      </w:r>
      <w:hyperlink r:id="rId3" w:history="1">
        <w:r w:rsidRPr="000E4F58">
          <w:rPr>
            <w:rStyle w:val="Hyperlink"/>
          </w:rPr>
          <w:t>Szczegóły wyniku (coe.int)</w:t>
        </w:r>
      </w:hyperlink>
      <w:r w:rsidRPr="000E4F58">
        <w:t>.</w:t>
      </w:r>
    </w:p>
    <w:p w14:paraId="2014AA44" w14:textId="712783D1" w:rsidR="00BC2AAA" w:rsidRPr="000E4F58" w:rsidRDefault="008A5475" w:rsidP="00532DB0">
      <w:pPr>
        <w:pStyle w:val="FootnoteText"/>
        <w:ind w:hanging="11"/>
      </w:pPr>
      <w:hyperlink r:id="rId4" w:history="1">
        <w:r w:rsidR="00071F6E" w:rsidRPr="000E4F58">
          <w:rPr>
            <w:rStyle w:val="Hyperlink"/>
          </w:rPr>
          <w:t>Drugi protokół dodatkowy do konwencji</w:t>
        </w:r>
        <w:r w:rsidR="00F96240" w:rsidRPr="000E4F58">
          <w:rPr>
            <w:rStyle w:val="Hyperlink"/>
          </w:rPr>
          <w:t xml:space="preserve"> o</w:t>
        </w:r>
        <w:r w:rsidR="00F96240">
          <w:rPr>
            <w:rStyle w:val="Hyperlink"/>
          </w:rPr>
          <w:t> </w:t>
        </w:r>
        <w:r w:rsidR="00F96240" w:rsidRPr="000E4F58">
          <w:rPr>
            <w:rStyle w:val="Hyperlink"/>
          </w:rPr>
          <w:t>cyb</w:t>
        </w:r>
        <w:r w:rsidR="00071F6E" w:rsidRPr="000E4F58">
          <w:rPr>
            <w:rStyle w:val="Hyperlink"/>
          </w:rPr>
          <w:t>erprzestępczości przyjęty przez Komitet Ministrów Rady Europy – Aktualności (coe.int)</w:t>
        </w:r>
      </w:hyperlink>
      <w:r w:rsidR="00071F6E" w:rsidRPr="000E4F58">
        <w:rPr>
          <w:rStyle w:val="Hyperlink"/>
        </w:rPr>
        <w:t>.</w:t>
      </w:r>
    </w:p>
  </w:footnote>
  <w:footnote w:id="5">
    <w:p w14:paraId="53D4A6B4" w14:textId="20815984" w:rsidR="00BC2AAA" w:rsidRPr="000E4F58" w:rsidRDefault="00BC2AAA" w:rsidP="00C411AD">
      <w:pPr>
        <w:pStyle w:val="FootnoteText"/>
      </w:pPr>
      <w:r>
        <w:rPr>
          <w:rStyle w:val="FootnoteReference"/>
        </w:rPr>
        <w:footnoteRef/>
      </w:r>
      <w:r w:rsidRPr="000E4F58">
        <w:tab/>
        <w:t>Rezolucja Zgromadzenia Ogólnego Organizacji Narodów Zjednoczonych</w:t>
      </w:r>
      <w:r w:rsidR="00F96240" w:rsidRPr="000E4F58">
        <w:t xml:space="preserve"> z</w:t>
      </w:r>
      <w:r w:rsidR="00F96240">
        <w:t> </w:t>
      </w:r>
      <w:r w:rsidR="00F96240" w:rsidRPr="000E4F58">
        <w:t>2</w:t>
      </w:r>
      <w:r w:rsidRPr="000E4F58">
        <w:t>1 grudnia 20</w:t>
      </w:r>
      <w:r w:rsidRPr="00F96240">
        <w:t>10</w:t>
      </w:r>
      <w:r w:rsidR="00F96240" w:rsidRPr="00F96240">
        <w:t> </w:t>
      </w:r>
      <w:r w:rsidRPr="00F96240">
        <w:t>r.</w:t>
      </w:r>
      <w:r w:rsidRPr="000E4F58">
        <w:t xml:space="preserve">, </w:t>
      </w:r>
      <w:hyperlink r:id="rId5" w:history="1">
        <w:r w:rsidRPr="000E4F58">
          <w:rPr>
            <w:color w:val="0000FF"/>
            <w:u w:val="single"/>
          </w:rPr>
          <w:t>A/Res/65/230 - E - A/Res/65/230 -Desktop (undocs.org)</w:t>
        </w:r>
      </w:hyperlink>
      <w:r w:rsidRPr="000E4F58">
        <w:rPr>
          <w:color w:val="0000FF"/>
          <w:u w:val="single"/>
        </w:rPr>
        <w:t>.</w:t>
      </w:r>
    </w:p>
  </w:footnote>
  <w:footnote w:id="6">
    <w:p w14:paraId="200C237B" w14:textId="2BB49847" w:rsidR="00BC2AAA" w:rsidRPr="000E4F58" w:rsidRDefault="00BC2AAA">
      <w:pPr>
        <w:pStyle w:val="FootnoteText"/>
      </w:pPr>
      <w:r>
        <w:rPr>
          <w:rStyle w:val="FootnoteReference"/>
        </w:rPr>
        <w:footnoteRef/>
      </w:r>
      <w:r w:rsidRPr="000E4F58">
        <w:tab/>
        <w:t>Kompilacja wszystkich wstępnych wniosków</w:t>
      </w:r>
      <w:r w:rsidR="00F96240" w:rsidRPr="000E4F58">
        <w:t xml:space="preserve"> i</w:t>
      </w:r>
      <w:r w:rsidR="00F96240">
        <w:t> </w:t>
      </w:r>
      <w:r w:rsidR="00F96240" w:rsidRPr="000E4F58">
        <w:t>zal</w:t>
      </w:r>
      <w:r w:rsidRPr="000E4F58">
        <w:t>eceń zaproponowanych przez państwa członkowskie podczas posiedzeń grupy ekspertów ds. kompleksowego badania cyberprzestępczości, które odbyły się</w:t>
      </w:r>
      <w:r w:rsidR="00F96240" w:rsidRPr="000E4F58">
        <w:t xml:space="preserve"> w</w:t>
      </w:r>
      <w:r w:rsidR="00F96240">
        <w:t> </w:t>
      </w:r>
      <w:r w:rsidR="00F96240" w:rsidRPr="000E4F58">
        <w:t>lat</w:t>
      </w:r>
      <w:r w:rsidRPr="000E4F58">
        <w:t>ach 2018, 2019</w:t>
      </w:r>
      <w:r w:rsidR="00F96240" w:rsidRPr="000E4F58">
        <w:t xml:space="preserve"> i</w:t>
      </w:r>
      <w:r w:rsidR="00F96240">
        <w:t> </w:t>
      </w:r>
      <w:r w:rsidR="00F96240" w:rsidRPr="000E4F58">
        <w:t>2</w:t>
      </w:r>
      <w:r w:rsidRPr="000E4F58">
        <w:t xml:space="preserve">020: </w:t>
      </w:r>
      <w:hyperlink r:id="rId6" w:history="1">
        <w:r w:rsidRPr="000E4F58">
          <w:rPr>
            <w:rStyle w:val="Hyperlink"/>
          </w:rPr>
          <w:t>V2101012.pdf (unodc.org)</w:t>
        </w:r>
      </w:hyperlink>
      <w:r w:rsidRPr="000E4F58">
        <w:rPr>
          <w:rStyle w:val="Hyperlink"/>
        </w:rPr>
        <w:t>.</w:t>
      </w:r>
    </w:p>
  </w:footnote>
  <w:footnote w:id="7">
    <w:p w14:paraId="0CB9E23B" w14:textId="72F930A8" w:rsidR="00BC2AAA" w:rsidRPr="000E4F58" w:rsidRDefault="00BC2AAA" w:rsidP="00D90C58">
      <w:pPr>
        <w:pStyle w:val="FootnoteText"/>
      </w:pPr>
      <w:r>
        <w:rPr>
          <w:rStyle w:val="FootnoteReference"/>
        </w:rPr>
        <w:footnoteRef/>
      </w:r>
      <w:r w:rsidRPr="000E4F58">
        <w:tab/>
        <w:t>Sprawozdanie</w:t>
      </w:r>
      <w:r w:rsidR="00F96240" w:rsidRPr="000E4F58">
        <w:t xml:space="preserve"> z</w:t>
      </w:r>
      <w:r w:rsidR="00F96240">
        <w:t> </w:t>
      </w:r>
      <w:r w:rsidR="00F96240" w:rsidRPr="000E4F58">
        <w:t>pos</w:t>
      </w:r>
      <w:r w:rsidRPr="000E4F58">
        <w:t>iedzenia grupy ekspertów ds. kompleksowego badania cyberprzestępczości, które odbyło się</w:t>
      </w:r>
      <w:r w:rsidR="00F96240" w:rsidRPr="000E4F58">
        <w:t xml:space="preserve"> w</w:t>
      </w:r>
      <w:r w:rsidR="00F96240">
        <w:t> </w:t>
      </w:r>
      <w:r w:rsidR="00F96240" w:rsidRPr="000E4F58">
        <w:t>Wie</w:t>
      </w:r>
      <w:r w:rsidRPr="000E4F58">
        <w:t>dniu</w:t>
      </w:r>
      <w:r w:rsidR="00F96240" w:rsidRPr="000E4F58">
        <w:t xml:space="preserve"> w</w:t>
      </w:r>
      <w:r w:rsidR="00F96240">
        <w:t> </w:t>
      </w:r>
      <w:r w:rsidR="00F96240" w:rsidRPr="000E4F58">
        <w:t>dni</w:t>
      </w:r>
      <w:r w:rsidRPr="000E4F58">
        <w:t>ach 6–8 kwietnia 20</w:t>
      </w:r>
      <w:r w:rsidRPr="00F96240">
        <w:t>21</w:t>
      </w:r>
      <w:r w:rsidR="00F96240" w:rsidRPr="00F96240">
        <w:t> </w:t>
      </w:r>
      <w:r w:rsidRPr="00F96240">
        <w:t>r.</w:t>
      </w:r>
      <w:r w:rsidRPr="000E4F58">
        <w:t xml:space="preserve">: </w:t>
      </w:r>
      <w:hyperlink r:id="rId7" w:history="1">
        <w:r w:rsidRPr="000E4F58">
          <w:rPr>
            <w:rStyle w:val="Hyperlink"/>
          </w:rPr>
          <w:t>V2102595.pdf (unodc.org)</w:t>
        </w:r>
      </w:hyperlink>
      <w:r w:rsidRPr="000E4F58">
        <w:rPr>
          <w:rStyle w:val="Hyperlink"/>
        </w:rPr>
        <w:t>.</w:t>
      </w:r>
    </w:p>
  </w:footnote>
  <w:footnote w:id="8">
    <w:p w14:paraId="52289BEB" w14:textId="12048C42" w:rsidR="00BC2AAA" w:rsidRPr="000E4F58" w:rsidRDefault="00BC2AAA" w:rsidP="00C411AD">
      <w:pPr>
        <w:pStyle w:val="FootnoteText"/>
      </w:pPr>
      <w:r>
        <w:rPr>
          <w:rStyle w:val="FootnoteReference"/>
        </w:rPr>
        <w:footnoteRef/>
      </w:r>
      <w:r w:rsidRPr="000E4F58">
        <w:tab/>
        <w:t>Rezolucja Zgromadzenia Ogólnego Organizacji Narodów Zjednoczonych</w:t>
      </w:r>
      <w:r w:rsidR="00F96240" w:rsidRPr="000E4F58">
        <w:t xml:space="preserve"> z</w:t>
      </w:r>
      <w:r w:rsidR="00F96240">
        <w:t> </w:t>
      </w:r>
      <w:r w:rsidR="00F96240" w:rsidRPr="000E4F58">
        <w:t>1</w:t>
      </w:r>
      <w:r w:rsidRPr="000E4F58">
        <w:t>7 grudnia 20</w:t>
      </w:r>
      <w:r w:rsidRPr="00F96240">
        <w:t>18</w:t>
      </w:r>
      <w:r w:rsidR="00F96240" w:rsidRPr="00F96240">
        <w:t> </w:t>
      </w:r>
      <w:r w:rsidRPr="00F96240">
        <w:t>r.</w:t>
      </w:r>
      <w:r w:rsidRPr="000E4F58">
        <w:t xml:space="preserve">, </w:t>
      </w:r>
      <w:hyperlink r:id="rId8" w:history="1">
        <w:r w:rsidRPr="000E4F58">
          <w:rPr>
            <w:rStyle w:val="Hyperlink"/>
          </w:rPr>
          <w:t>A/RES/73/187</w:t>
        </w:r>
      </w:hyperlink>
      <w:r w:rsidRPr="000E4F58">
        <w:rPr>
          <w:rStyle w:val="Hyperlink"/>
        </w:rPr>
        <w:t>.</w:t>
      </w:r>
    </w:p>
  </w:footnote>
  <w:footnote w:id="9">
    <w:p w14:paraId="7AF25FD5" w14:textId="1798F928" w:rsidR="00BC2AAA" w:rsidRPr="000E4F58" w:rsidRDefault="00BC2AAA" w:rsidP="00532DB0">
      <w:pPr>
        <w:pStyle w:val="FootnoteText"/>
      </w:pPr>
      <w:r>
        <w:rPr>
          <w:rStyle w:val="FootnoteReference"/>
        </w:rPr>
        <w:footnoteRef/>
      </w:r>
      <w:r w:rsidRPr="000E4F58">
        <w:tab/>
        <w:t>Rezolucja Zgromadzenia Ogólnego Organizacji Narodów Zjednoczonych</w:t>
      </w:r>
      <w:r w:rsidR="00F96240" w:rsidRPr="000E4F58">
        <w:t xml:space="preserve"> z</w:t>
      </w:r>
      <w:r w:rsidR="00F96240">
        <w:t> </w:t>
      </w:r>
      <w:r w:rsidR="00F96240" w:rsidRPr="000E4F58">
        <w:t>2</w:t>
      </w:r>
      <w:r w:rsidRPr="000E4F58">
        <w:t>7 grudnia 20</w:t>
      </w:r>
      <w:r w:rsidRPr="00F96240">
        <w:t>19</w:t>
      </w:r>
      <w:r w:rsidR="00F96240" w:rsidRPr="00F96240">
        <w:t> </w:t>
      </w:r>
      <w:r w:rsidRPr="00F96240">
        <w:t>r.</w:t>
      </w:r>
      <w:r w:rsidRPr="000E4F58">
        <w:t xml:space="preserve">, </w:t>
      </w:r>
      <w:hyperlink r:id="rId9" w:history="1">
        <w:r w:rsidRPr="000E4F58">
          <w:rPr>
            <w:rStyle w:val="Hyperlink"/>
          </w:rPr>
          <w:t>A/RES/74/247</w:t>
        </w:r>
      </w:hyperlink>
      <w:r w:rsidRPr="000E4F58">
        <w:rPr>
          <w:rStyle w:val="Hyperlink"/>
        </w:rPr>
        <w:t>.</w:t>
      </w:r>
    </w:p>
  </w:footnote>
  <w:footnote w:id="10">
    <w:p w14:paraId="3F5369F0" w14:textId="693E97C7" w:rsidR="00BC2AAA" w:rsidRPr="000E4F58" w:rsidRDefault="00BC2AAA" w:rsidP="00532DB0">
      <w:pPr>
        <w:pStyle w:val="FootnoteText"/>
      </w:pPr>
      <w:r>
        <w:rPr>
          <w:rStyle w:val="FootnoteReference"/>
        </w:rPr>
        <w:footnoteRef/>
      </w:r>
      <w:r w:rsidRPr="000E4F58">
        <w:tab/>
        <w:t>Rezolucja Zgromadzenia Ogólnego Organizacji Narodów Zjednoczonych</w:t>
      </w:r>
      <w:r w:rsidR="00F96240" w:rsidRPr="000E4F58">
        <w:t xml:space="preserve"> z</w:t>
      </w:r>
      <w:r w:rsidR="00F96240">
        <w:t> </w:t>
      </w:r>
      <w:r w:rsidR="00F96240" w:rsidRPr="000E4F58">
        <w:t>2</w:t>
      </w:r>
      <w:r w:rsidRPr="000E4F58">
        <w:t>6 maja 20</w:t>
      </w:r>
      <w:r w:rsidRPr="00F96240">
        <w:t>21</w:t>
      </w:r>
      <w:r w:rsidR="00F96240" w:rsidRPr="00F96240">
        <w:t> </w:t>
      </w:r>
      <w:r w:rsidRPr="00F96240">
        <w:t>r.</w:t>
      </w:r>
      <w:r w:rsidRPr="000E4F58">
        <w:t xml:space="preserve">, </w:t>
      </w:r>
      <w:hyperlink r:id="rId10" w:history="1">
        <w:r w:rsidRPr="000E4F58">
          <w:rPr>
            <w:rStyle w:val="Hyperlink"/>
          </w:rPr>
          <w:t>A/RES/75/282*</w:t>
        </w:r>
      </w:hyperlink>
      <w:r w:rsidRPr="000E4F58">
        <w:t>.</w:t>
      </w:r>
    </w:p>
  </w:footnote>
  <w:footnote w:id="11">
    <w:p w14:paraId="7E13E3E4" w14:textId="77777777" w:rsidR="00BC2AAA" w:rsidRPr="00926D44" w:rsidRDefault="00BC2AAA" w:rsidP="00036D62">
      <w:pPr>
        <w:pStyle w:val="FootnoteText"/>
      </w:pPr>
      <w:r>
        <w:rPr>
          <w:rStyle w:val="FootnoteReference"/>
        </w:rPr>
        <w:footnoteRef/>
      </w:r>
      <w:r>
        <w:tab/>
      </w:r>
      <w:hyperlink r:id="rId11" w:history="1">
        <w:r>
          <w:rPr>
            <w:rStyle w:val="Hyperlink"/>
          </w:rPr>
          <w:t>COM(2020) 605 final</w:t>
        </w:r>
      </w:hyperlink>
      <w:r>
        <w:rPr>
          <w:rStyle w:val="Hyperlink"/>
        </w:rPr>
        <w:t xml:space="preserve"> (27.7.2020).</w:t>
      </w:r>
    </w:p>
  </w:footnote>
  <w:footnote w:id="12">
    <w:p w14:paraId="5C1A9B83" w14:textId="77777777" w:rsidR="00BC2AAA" w:rsidRPr="00926D44" w:rsidRDefault="00BC2AAA" w:rsidP="00036D62">
      <w:pPr>
        <w:pStyle w:val="FootnoteText"/>
      </w:pPr>
      <w:r>
        <w:rPr>
          <w:rStyle w:val="FootnoteReference"/>
        </w:rPr>
        <w:footnoteRef/>
      </w:r>
      <w:r>
        <w:tab/>
      </w:r>
      <w:hyperlink r:id="rId12" w:history="1">
        <w:r>
          <w:rPr>
            <w:rStyle w:val="Hyperlink"/>
          </w:rPr>
          <w:t>COM(2021) 170 final</w:t>
        </w:r>
      </w:hyperlink>
      <w:r>
        <w:t xml:space="preserve"> (14.4.2021).</w:t>
      </w:r>
    </w:p>
  </w:footnote>
  <w:footnote w:id="13">
    <w:p w14:paraId="03CCC9D5" w14:textId="77777777" w:rsidR="00BC2AAA" w:rsidRPr="00926D44" w:rsidRDefault="00BC2AAA" w:rsidP="00F84B00">
      <w:pPr>
        <w:pStyle w:val="FootnoteText"/>
      </w:pPr>
      <w:r>
        <w:rPr>
          <w:rStyle w:val="FootnoteReference"/>
        </w:rPr>
        <w:footnoteRef/>
      </w:r>
      <w:r>
        <w:tab/>
      </w:r>
      <w:hyperlink r:id="rId13" w:history="1">
        <w:r>
          <w:rPr>
            <w:rStyle w:val="Hyperlink"/>
          </w:rPr>
          <w:t>COM(2021) 799 final</w:t>
        </w:r>
      </w:hyperlink>
      <w:r>
        <w:rPr>
          <w:rStyle w:val="Hyperlink"/>
        </w:rPr>
        <w:t xml:space="preserve"> (8.12.2021).</w:t>
      </w:r>
    </w:p>
  </w:footnote>
  <w:footnote w:id="14">
    <w:p w14:paraId="6267B0AA" w14:textId="7E3549AF" w:rsidR="00BC2AAA" w:rsidRPr="000E4F58" w:rsidDel="00AB11E2" w:rsidRDefault="00BC2AAA" w:rsidP="00D90C58">
      <w:pPr>
        <w:pStyle w:val="FootnoteText"/>
      </w:pPr>
      <w:r>
        <w:rPr>
          <w:rStyle w:val="FootnoteReference"/>
        </w:rPr>
        <w:footnoteRef/>
      </w:r>
      <w:r w:rsidRPr="000E4F58">
        <w:tab/>
        <w:t>Należą do nich takie programy, jak GLACY+, CyberEast</w:t>
      </w:r>
      <w:r w:rsidR="00F96240" w:rsidRPr="000E4F58">
        <w:t xml:space="preserve"> i</w:t>
      </w:r>
      <w:r w:rsidR="00F96240">
        <w:t> </w:t>
      </w:r>
      <w:r w:rsidR="00F96240" w:rsidRPr="000E4F58">
        <w:t>Cyb</w:t>
      </w:r>
      <w:r w:rsidRPr="000E4F58">
        <w:t>erSouth, współfinansowane przez UE</w:t>
      </w:r>
      <w:r w:rsidR="00F96240" w:rsidRPr="000E4F58">
        <w:t xml:space="preserve"> i</w:t>
      </w:r>
      <w:r w:rsidR="00F96240">
        <w:t> </w:t>
      </w:r>
      <w:r w:rsidR="00F96240" w:rsidRPr="000E4F58">
        <w:t>Rad</w:t>
      </w:r>
      <w:r w:rsidRPr="000E4F58">
        <w:t>ę Europy</w:t>
      </w:r>
      <w:r w:rsidR="00F96240" w:rsidRPr="000E4F58">
        <w:t xml:space="preserve"> i</w:t>
      </w:r>
      <w:r w:rsidR="00F96240">
        <w:t> </w:t>
      </w:r>
      <w:r w:rsidR="00F96240" w:rsidRPr="000E4F58">
        <w:t>zar</w:t>
      </w:r>
      <w:r w:rsidRPr="000E4F58">
        <w:t xml:space="preserve">ządzane przez Radę Europy. </w:t>
      </w:r>
    </w:p>
  </w:footnote>
  <w:footnote w:id="15">
    <w:p w14:paraId="3EF1641E" w14:textId="099FF882" w:rsidR="00BC2AAA" w:rsidRPr="000E4F58" w:rsidRDefault="00BC2AAA">
      <w:pPr>
        <w:pStyle w:val="FootnoteText"/>
      </w:pPr>
      <w:r>
        <w:rPr>
          <w:rStyle w:val="FootnoteReference"/>
        </w:rPr>
        <w:footnoteRef/>
      </w:r>
      <w:r w:rsidRPr="000E4F58">
        <w:tab/>
        <w:t>Dyrektywa 2011/93/UE (13.12.2011).</w:t>
      </w:r>
    </w:p>
  </w:footnote>
  <w:footnote w:id="16">
    <w:p w14:paraId="4D9A9E20" w14:textId="61B9C88B" w:rsidR="00BC2AAA" w:rsidRPr="000E4F58" w:rsidRDefault="00BC2AAA" w:rsidP="003D7311">
      <w:pPr>
        <w:pStyle w:val="FootnoteText"/>
      </w:pPr>
      <w:r>
        <w:rPr>
          <w:rStyle w:val="FootnoteReference"/>
        </w:rPr>
        <w:footnoteRef/>
      </w:r>
      <w:r w:rsidRPr="000E4F58">
        <w:tab/>
        <w:t>Dyrektywa 2013/40/UE (12.8.2013).</w:t>
      </w:r>
    </w:p>
  </w:footnote>
  <w:footnote w:id="17">
    <w:p w14:paraId="3FB1198D" w14:textId="5BF59E02" w:rsidR="00BC2AAA" w:rsidRPr="000E4F58" w:rsidRDefault="00BC2AAA" w:rsidP="003D7311">
      <w:pPr>
        <w:pStyle w:val="FootnoteText"/>
      </w:pPr>
      <w:r>
        <w:rPr>
          <w:rStyle w:val="FootnoteReference"/>
        </w:rPr>
        <w:footnoteRef/>
      </w:r>
      <w:r w:rsidRPr="000E4F58">
        <w:tab/>
        <w:t xml:space="preserve">Dyrektywa (UE) 2019/713 (17.4.2019). </w:t>
      </w:r>
    </w:p>
  </w:footnote>
  <w:footnote w:id="18">
    <w:p w14:paraId="082E0D98" w14:textId="1592862C" w:rsidR="00BC2AAA" w:rsidRPr="000E4F58" w:rsidRDefault="00BC2AAA" w:rsidP="003D7311">
      <w:pPr>
        <w:pStyle w:val="FootnoteText"/>
      </w:pPr>
      <w:r>
        <w:rPr>
          <w:rStyle w:val="FootnoteReference"/>
        </w:rPr>
        <w:footnoteRef/>
      </w:r>
      <w:r w:rsidRPr="000E4F58">
        <w:tab/>
        <w:t>Dyrektywa 2014/41/UE (3.4.2014).</w:t>
      </w:r>
    </w:p>
  </w:footnote>
  <w:footnote w:id="19">
    <w:p w14:paraId="69CC2BC0" w14:textId="37561924" w:rsidR="00BC2AAA" w:rsidRPr="000E4F58" w:rsidRDefault="00BC2AAA" w:rsidP="003D7311">
      <w:pPr>
        <w:pStyle w:val="FootnoteText"/>
      </w:pPr>
      <w:r>
        <w:rPr>
          <w:rStyle w:val="FootnoteReference"/>
        </w:rPr>
        <w:footnoteRef/>
      </w:r>
      <w:r w:rsidRPr="000E4F58">
        <w:tab/>
        <w:t>Konwencja</w:t>
      </w:r>
      <w:r w:rsidR="00F96240" w:rsidRPr="000E4F58">
        <w:t xml:space="preserve"> o</w:t>
      </w:r>
      <w:r w:rsidR="00F96240">
        <w:t> </w:t>
      </w:r>
      <w:r w:rsidR="00F96240" w:rsidRPr="000E4F58">
        <w:t>pom</w:t>
      </w:r>
      <w:r w:rsidRPr="000E4F58">
        <w:t>ocy prawnej</w:t>
      </w:r>
      <w:r w:rsidR="00F96240" w:rsidRPr="000E4F58">
        <w:t xml:space="preserve"> w</w:t>
      </w:r>
      <w:r w:rsidR="00F96240">
        <w:t> </w:t>
      </w:r>
      <w:r w:rsidR="00F96240" w:rsidRPr="000E4F58">
        <w:t>spr</w:t>
      </w:r>
      <w:r w:rsidRPr="000E4F58">
        <w:t xml:space="preserve">awach karnych pomiędzy państwami członkowskimi Unii Europejskiej (29.5.2020). </w:t>
      </w:r>
    </w:p>
  </w:footnote>
  <w:footnote w:id="20">
    <w:p w14:paraId="58B7530B" w14:textId="1B4683DB" w:rsidR="00BC2AAA" w:rsidRPr="000E4F58" w:rsidRDefault="00BC2AAA" w:rsidP="003D7311">
      <w:pPr>
        <w:pStyle w:val="FootnoteText"/>
      </w:pPr>
      <w:r>
        <w:rPr>
          <w:rStyle w:val="FootnoteReference"/>
        </w:rPr>
        <w:footnoteRef/>
      </w:r>
      <w:r w:rsidRPr="000E4F58">
        <w:tab/>
        <w:t>Rozporządzenie (UE) 2018/1727 (14.11.2018).</w:t>
      </w:r>
    </w:p>
  </w:footnote>
  <w:footnote w:id="21">
    <w:p w14:paraId="0BF9B53A" w14:textId="7668A8E6" w:rsidR="00BC2AAA" w:rsidRPr="000E4F58" w:rsidRDefault="00BC2AAA">
      <w:pPr>
        <w:pStyle w:val="FootnoteText"/>
      </w:pPr>
      <w:r>
        <w:rPr>
          <w:rStyle w:val="FootnoteReference"/>
          <w:lang w:val="en-IE"/>
        </w:rPr>
        <w:footnoteRef/>
      </w:r>
      <w:r w:rsidRPr="000E4F58">
        <w:tab/>
        <w:t xml:space="preserve">Rozporządzenie (UE) 2016/794 (11.5.2016). </w:t>
      </w:r>
    </w:p>
  </w:footnote>
  <w:footnote w:id="22">
    <w:p w14:paraId="05AA1896" w14:textId="19D617C8" w:rsidR="00BC2AAA" w:rsidRPr="000E4F58" w:rsidRDefault="00BC2AAA" w:rsidP="003D7311">
      <w:pPr>
        <w:pStyle w:val="FootnoteText"/>
      </w:pPr>
      <w:r>
        <w:rPr>
          <w:rStyle w:val="FootnoteReference"/>
          <w:lang w:val="en-IE"/>
        </w:rPr>
        <w:footnoteRef/>
      </w:r>
      <w:r w:rsidRPr="000E4F58">
        <w:tab/>
        <w:t>Rozporządzenie Rady (UE) 2017/1939 (12.10.2017).</w:t>
      </w:r>
    </w:p>
  </w:footnote>
  <w:footnote w:id="23">
    <w:p w14:paraId="697DF3E7" w14:textId="4FB79A53" w:rsidR="00BC2AAA" w:rsidRPr="000E4F58" w:rsidRDefault="00BC2AAA" w:rsidP="003D7311">
      <w:pPr>
        <w:pStyle w:val="FootnoteText"/>
      </w:pPr>
      <w:r>
        <w:rPr>
          <w:rStyle w:val="FootnoteReference"/>
        </w:rPr>
        <w:footnoteRef/>
      </w:r>
      <w:r w:rsidRPr="000E4F58">
        <w:tab/>
        <w:t xml:space="preserve">Decyzja ramowa Rady 2002/465/WSiSW (13.6.2022). </w:t>
      </w:r>
    </w:p>
  </w:footnote>
  <w:footnote w:id="24">
    <w:p w14:paraId="2002D4B7" w14:textId="405416F3" w:rsidR="00BC2AAA" w:rsidRPr="000E4F58" w:rsidRDefault="00BC2AAA" w:rsidP="00C747F1">
      <w:pPr>
        <w:pStyle w:val="FootnoteText"/>
      </w:pPr>
      <w:r>
        <w:rPr>
          <w:rStyle w:val="FootnoteReference"/>
        </w:rPr>
        <w:footnoteRef/>
      </w:r>
      <w:r w:rsidRPr="000E4F58">
        <w:tab/>
        <w:t xml:space="preserve">Decyzja ramowa Rady 2009/948/WSiSW (30.11.2009). </w:t>
      </w:r>
    </w:p>
  </w:footnote>
  <w:footnote w:id="25">
    <w:p w14:paraId="27A72442" w14:textId="6895688C" w:rsidR="00BC2AAA" w:rsidRPr="000E4F58" w:rsidRDefault="00BC2AAA" w:rsidP="0010023A">
      <w:pPr>
        <w:pStyle w:val="FootnoteText"/>
      </w:pPr>
      <w:r>
        <w:rPr>
          <w:rStyle w:val="FootnoteReference"/>
        </w:rPr>
        <w:footnoteRef/>
      </w:r>
      <w:r w:rsidRPr="000E4F58">
        <w:tab/>
        <w:t>Wniosek dotyczący rozporządzenia</w:t>
      </w:r>
      <w:r w:rsidR="00F96240" w:rsidRPr="000E4F58">
        <w:t xml:space="preserve"> w</w:t>
      </w:r>
      <w:r w:rsidR="00F96240">
        <w:t> </w:t>
      </w:r>
      <w:r w:rsidR="00F96240" w:rsidRPr="000E4F58">
        <w:t>spr</w:t>
      </w:r>
      <w:r w:rsidRPr="000E4F58">
        <w:t>awie europejskiego nakazu wydania dowodów dotyczącego elektronicznego materiału dowodowego</w:t>
      </w:r>
      <w:r w:rsidR="00F96240" w:rsidRPr="000E4F58">
        <w:t xml:space="preserve"> w</w:t>
      </w:r>
      <w:r w:rsidR="00F96240">
        <w:t> </w:t>
      </w:r>
      <w:r w:rsidR="00F96240" w:rsidRPr="000E4F58">
        <w:t>spr</w:t>
      </w:r>
      <w:r w:rsidRPr="000E4F58">
        <w:t>awach karnych</w:t>
      </w:r>
      <w:r w:rsidR="00F96240" w:rsidRPr="000E4F58">
        <w:t xml:space="preserve"> i</w:t>
      </w:r>
      <w:r w:rsidR="00F96240">
        <w:t> </w:t>
      </w:r>
      <w:r w:rsidR="00F96240" w:rsidRPr="000E4F58">
        <w:t>eur</w:t>
      </w:r>
      <w:r w:rsidRPr="000E4F58">
        <w:t>opejskiego nakazu zabezpieczenia dowodów dotyczącego elektronicznego materiału dowodowego</w:t>
      </w:r>
      <w:r w:rsidR="00F96240" w:rsidRPr="000E4F58">
        <w:t xml:space="preserve"> w</w:t>
      </w:r>
      <w:r w:rsidR="00F96240">
        <w:t> </w:t>
      </w:r>
      <w:r w:rsidR="00F96240" w:rsidRPr="000E4F58">
        <w:t>spr</w:t>
      </w:r>
      <w:r w:rsidRPr="000E4F58">
        <w:t xml:space="preserve">awach karnych </w:t>
      </w:r>
      <w:hyperlink r:id="rId14" w:history="1">
        <w:r w:rsidRPr="000E4F58">
          <w:t>COM/2018/225 final</w:t>
        </w:r>
      </w:hyperlink>
      <w:r w:rsidRPr="000E4F58">
        <w:t xml:space="preserve"> oraz wniosek dotyczący dyrektywy ustanawiającej zharmonizowane przepisy dotyczące mianowania przedstawicieli prawnych</w:t>
      </w:r>
      <w:r w:rsidR="00F96240" w:rsidRPr="000E4F58">
        <w:t xml:space="preserve"> w</w:t>
      </w:r>
      <w:r w:rsidR="00F96240">
        <w:t> </w:t>
      </w:r>
      <w:r w:rsidR="00F96240" w:rsidRPr="000E4F58">
        <w:t>cel</w:t>
      </w:r>
      <w:r w:rsidRPr="000E4F58">
        <w:t xml:space="preserve">u gromadzenia dowodów na potrzeby postępowań karnych </w:t>
      </w:r>
      <w:hyperlink r:id="rId15" w:history="1">
        <w:r w:rsidRPr="000E4F58">
          <w:t xml:space="preserve">COM/2018/226 final </w:t>
        </w:r>
      </w:hyperlink>
      <w:r w:rsidRPr="000E4F58">
        <w:t>(17.4.2018).</w:t>
      </w:r>
    </w:p>
  </w:footnote>
  <w:footnote w:id="26">
    <w:p w14:paraId="5226BF28" w14:textId="6FC4225A" w:rsidR="00BC2AAA" w:rsidRPr="000E4F58" w:rsidRDefault="00BC2AAA" w:rsidP="0010023A">
      <w:pPr>
        <w:pStyle w:val="FootnoteText"/>
      </w:pPr>
      <w:r>
        <w:rPr>
          <w:rStyle w:val="FootnoteReference"/>
        </w:rPr>
        <w:footnoteRef/>
      </w:r>
      <w:r w:rsidRPr="000E4F58">
        <w:tab/>
        <w:t>Wniosek dotyczący zalecenia Rady</w:t>
      </w:r>
      <w:r w:rsidR="00F96240" w:rsidRPr="000E4F58">
        <w:t xml:space="preserve"> w</w:t>
      </w:r>
      <w:r w:rsidR="00F96240">
        <w:t> </w:t>
      </w:r>
      <w:r w:rsidR="00F96240" w:rsidRPr="000E4F58">
        <w:t>spr</w:t>
      </w:r>
      <w:r w:rsidRPr="000E4F58">
        <w:t>awie współpracy policyjnej, COM(2021) 780, wniosek dotyczący dyrektywy</w:t>
      </w:r>
      <w:r w:rsidR="00F96240" w:rsidRPr="000E4F58">
        <w:t xml:space="preserve"> w</w:t>
      </w:r>
      <w:r w:rsidR="00F96240">
        <w:t> </w:t>
      </w:r>
      <w:r w:rsidR="00F96240" w:rsidRPr="000E4F58">
        <w:t>spr</w:t>
      </w:r>
      <w:r w:rsidRPr="000E4F58">
        <w:t>awie wymiany informacji między organami ścigania państw członkowskich, uchylającej decyzję ramową Rady 2006/960/WSiSW, COM(2021) 782, oraz wniosek dotyczący rozporządzenia</w:t>
      </w:r>
      <w:r w:rsidR="00F96240" w:rsidRPr="000E4F58">
        <w:t xml:space="preserve"> w</w:t>
      </w:r>
      <w:r w:rsidR="00F96240">
        <w:t> </w:t>
      </w:r>
      <w:r w:rsidR="00F96240" w:rsidRPr="000E4F58">
        <w:t>spr</w:t>
      </w:r>
      <w:r w:rsidRPr="000E4F58">
        <w:t>awie zautomatyzowanej wymiany danych na potrzeby współpracy policyjnej („Prüm II”</w:t>
      </w:r>
      <w:r w:rsidR="0022113D">
        <w:t>), COM(2021) 784, (8.12.2021).</w:t>
      </w:r>
    </w:p>
  </w:footnote>
  <w:footnote w:id="27">
    <w:p w14:paraId="338050CD" w14:textId="09041219" w:rsidR="00BC2AAA" w:rsidRPr="000E4F58" w:rsidRDefault="00BC2AAA" w:rsidP="00D90C58">
      <w:pPr>
        <w:pStyle w:val="FootnoteText"/>
      </w:pPr>
      <w:r>
        <w:rPr>
          <w:rStyle w:val="FootnoteReference"/>
        </w:rPr>
        <w:footnoteRef/>
      </w:r>
      <w:r w:rsidRPr="000E4F58">
        <w:tab/>
        <w:t>Porozumienie między Unią Europejską</w:t>
      </w:r>
      <w:r w:rsidR="00F96240" w:rsidRPr="000E4F58">
        <w:t xml:space="preserve"> a</w:t>
      </w:r>
      <w:r w:rsidR="00F96240">
        <w:t> </w:t>
      </w:r>
      <w:r w:rsidR="00F96240" w:rsidRPr="000E4F58">
        <w:t>Sta</w:t>
      </w:r>
      <w:r w:rsidRPr="000E4F58">
        <w:t>nami Zjednoczonymi Ameryki</w:t>
      </w:r>
      <w:r w:rsidR="00F96240" w:rsidRPr="000E4F58">
        <w:t xml:space="preserve"> o</w:t>
      </w:r>
      <w:r w:rsidR="00F96240">
        <w:t> </w:t>
      </w:r>
      <w:r w:rsidR="00F96240" w:rsidRPr="000E4F58">
        <w:t>wza</w:t>
      </w:r>
      <w:r w:rsidRPr="000E4F58">
        <w:t>jemnej pomocy prawnej (25.6.2003).</w:t>
      </w:r>
    </w:p>
    <w:p w14:paraId="5CA89832" w14:textId="7A814B69" w:rsidR="00BC2AAA" w:rsidRPr="000E4F58" w:rsidRDefault="00BC2AAA" w:rsidP="00532DB0">
      <w:pPr>
        <w:pStyle w:val="FootnoteText"/>
        <w:ind w:hanging="11"/>
      </w:pPr>
      <w:r w:rsidRPr="000E4F58">
        <w:t>Umowa między Unią Europejską</w:t>
      </w:r>
      <w:r w:rsidR="00F96240" w:rsidRPr="000E4F58">
        <w:t xml:space="preserve"> a</w:t>
      </w:r>
      <w:r w:rsidR="00F96240">
        <w:t> </w:t>
      </w:r>
      <w:r w:rsidR="00F96240" w:rsidRPr="000E4F58">
        <w:t>Jap</w:t>
      </w:r>
      <w:r w:rsidRPr="000E4F58">
        <w:t>onią</w:t>
      </w:r>
      <w:r w:rsidR="00F96240" w:rsidRPr="000E4F58">
        <w:t xml:space="preserve"> w</w:t>
      </w:r>
      <w:r w:rsidR="00F96240">
        <w:t> </w:t>
      </w:r>
      <w:r w:rsidR="00F96240" w:rsidRPr="000E4F58">
        <w:t>spr</w:t>
      </w:r>
      <w:r w:rsidRPr="000E4F58">
        <w:t>awie wzajemnej pomocy prawnej</w:t>
      </w:r>
      <w:r w:rsidR="00F96240" w:rsidRPr="000E4F58">
        <w:t xml:space="preserve"> w</w:t>
      </w:r>
      <w:r w:rsidR="00F96240">
        <w:t> </w:t>
      </w:r>
      <w:r w:rsidR="00F96240" w:rsidRPr="000E4F58">
        <w:t>spr</w:t>
      </w:r>
      <w:r w:rsidRPr="000E4F58">
        <w:t>awach karnych (2009).</w:t>
      </w:r>
    </w:p>
  </w:footnote>
  <w:footnote w:id="28">
    <w:p w14:paraId="4AE39A31" w14:textId="77777777" w:rsidR="00BC2AAA" w:rsidRPr="000E4F58" w:rsidRDefault="00BC2AAA" w:rsidP="00D90C58">
      <w:pPr>
        <w:pStyle w:val="FootnoteText"/>
      </w:pPr>
      <w:r>
        <w:rPr>
          <w:rStyle w:val="FootnoteReference"/>
        </w:rPr>
        <w:footnoteRef/>
      </w:r>
      <w:r w:rsidRPr="000E4F58">
        <w:tab/>
        <w:t>Dyrektywa 2010/64/UE (20.10.2010); dyrektywa 2012/13/UE (22.5.2012); dyrektywa 2013/48/UE (22.10.2013); dyrektywa (UE) 2016/1919 (26.10.2016); dyrektywa (UE) 2016/800 (11.5.2016); dyrektywa (UE) 2016/343 (9.3.2016).</w:t>
      </w:r>
    </w:p>
  </w:footnote>
  <w:footnote w:id="29">
    <w:p w14:paraId="189F3673" w14:textId="1F1B6F38" w:rsidR="00BC2AAA" w:rsidRPr="000E4F58" w:rsidRDefault="00BC2AAA" w:rsidP="00C747F1">
      <w:pPr>
        <w:pStyle w:val="FootnoteText"/>
      </w:pPr>
      <w:r>
        <w:rPr>
          <w:rStyle w:val="FootnoteReference"/>
        </w:rPr>
        <w:footnoteRef/>
      </w:r>
      <w:r w:rsidRPr="000E4F58">
        <w:tab/>
        <w:t>Rozporządzenie (UE) 2016/679 (27.4.2016).</w:t>
      </w:r>
    </w:p>
  </w:footnote>
  <w:footnote w:id="30">
    <w:p w14:paraId="2EF89BCA" w14:textId="014BFDE9" w:rsidR="00BC2AAA" w:rsidRPr="000E4F58" w:rsidRDefault="00BC2AAA" w:rsidP="00C747F1">
      <w:pPr>
        <w:pStyle w:val="FootnoteText"/>
      </w:pPr>
      <w:r>
        <w:rPr>
          <w:rStyle w:val="FootnoteReference"/>
          <w:lang w:val="en-IE"/>
        </w:rPr>
        <w:footnoteRef/>
      </w:r>
      <w:r w:rsidRPr="000E4F58">
        <w:tab/>
        <w:t>Dyrektywa (UE) 2016/680 (27.4.2016).</w:t>
      </w:r>
    </w:p>
  </w:footnote>
  <w:footnote w:id="31">
    <w:p w14:paraId="127D6F33" w14:textId="6BBAED88" w:rsidR="00BC2AAA" w:rsidRPr="000E4F58" w:rsidRDefault="00BC2AAA" w:rsidP="00C747F1">
      <w:pPr>
        <w:pStyle w:val="FootnoteText"/>
      </w:pPr>
      <w:r>
        <w:rPr>
          <w:rStyle w:val="FootnoteReference"/>
          <w:lang w:val="en-IE"/>
        </w:rPr>
        <w:footnoteRef/>
      </w:r>
      <w:r w:rsidRPr="000E4F58">
        <w:tab/>
        <w:t>Dyrektywa 2002/58/WE (12.7.2002), zmieniona dyrektywą 2009/136/WE (25.11.2009).</w:t>
      </w:r>
    </w:p>
  </w:footnote>
  <w:footnote w:id="32">
    <w:p w14:paraId="711FB0B2" w14:textId="2E6B0FC8" w:rsidR="00BC2AAA" w:rsidRPr="000E4F58" w:rsidRDefault="00BC2AAA">
      <w:pPr>
        <w:pStyle w:val="FootnoteText"/>
      </w:pPr>
      <w:r>
        <w:rPr>
          <w:rStyle w:val="FootnoteReference"/>
        </w:rPr>
        <w:footnoteRef/>
      </w:r>
      <w:r w:rsidRPr="000E4F58">
        <w:tab/>
        <w:t>Zob. np. konkluzje Rady</w:t>
      </w:r>
      <w:r w:rsidR="00F96240" w:rsidRPr="000E4F58">
        <w:t xml:space="preserve"> w</w:t>
      </w:r>
      <w:r w:rsidR="00F96240">
        <w:t> </w:t>
      </w:r>
      <w:r w:rsidR="00F96240" w:rsidRPr="000E4F58">
        <w:t>spr</w:t>
      </w:r>
      <w:r w:rsidRPr="000E4F58">
        <w:t>awie dyplomacji elektronicznej, 10 lutego 20</w:t>
      </w:r>
      <w:r w:rsidRPr="00F96240">
        <w:t>15</w:t>
      </w:r>
      <w:r w:rsidR="00F96240" w:rsidRPr="00F96240">
        <w:t> </w:t>
      </w:r>
      <w:r w:rsidRPr="00F96240">
        <w:t>r.</w:t>
      </w:r>
      <w:r w:rsidRPr="000E4F58">
        <w:t>, dokument 6122/15.</w:t>
      </w:r>
    </w:p>
  </w:footnote>
  <w:footnote w:id="33">
    <w:p w14:paraId="67CA8D34" w14:textId="6B8D651A" w:rsidR="00BC2AAA" w:rsidRPr="000E4F58" w:rsidRDefault="00BC2AAA" w:rsidP="00B9419F">
      <w:pPr>
        <w:pStyle w:val="FootnoteText"/>
      </w:pPr>
      <w:r>
        <w:rPr>
          <w:rStyle w:val="FootnoteReference"/>
        </w:rPr>
        <w:footnoteRef/>
      </w:r>
      <w:r w:rsidRPr="000E4F58">
        <w:tab/>
        <w:t>Decyzja Rady upoważniająca Komisję Europejską do uczestnictwa,</w:t>
      </w:r>
      <w:r w:rsidR="00F96240" w:rsidRPr="000E4F58">
        <w:t xml:space="preserve"> w</w:t>
      </w:r>
      <w:r w:rsidR="00F96240">
        <w:t> </w:t>
      </w:r>
      <w:r w:rsidR="00F96240" w:rsidRPr="000E4F58">
        <w:t>imi</w:t>
      </w:r>
      <w:r w:rsidRPr="000E4F58">
        <w:t>eniu Unii Europejskiej,</w:t>
      </w:r>
      <w:r w:rsidR="00F96240" w:rsidRPr="000E4F58">
        <w:t xml:space="preserve"> w</w:t>
      </w:r>
      <w:r w:rsidR="00F96240">
        <w:t> </w:t>
      </w:r>
      <w:r w:rsidR="00F96240" w:rsidRPr="000E4F58">
        <w:t>neg</w:t>
      </w:r>
      <w:r w:rsidRPr="000E4F58">
        <w:t>ocjacjach</w:t>
      </w:r>
      <w:r w:rsidR="00F96240" w:rsidRPr="000E4F58">
        <w:t xml:space="preserve"> w</w:t>
      </w:r>
      <w:r w:rsidR="00F96240">
        <w:t> </w:t>
      </w:r>
      <w:r w:rsidR="00F96240" w:rsidRPr="000E4F58">
        <w:t>spr</w:t>
      </w:r>
      <w:r w:rsidRPr="000E4F58">
        <w:t>awie drugiego protokołu dodatkowego do Konwencji Rady Europy</w:t>
      </w:r>
      <w:r w:rsidR="00F96240" w:rsidRPr="000E4F58">
        <w:t xml:space="preserve"> o</w:t>
      </w:r>
      <w:r w:rsidR="00F96240">
        <w:t> </w:t>
      </w:r>
      <w:r w:rsidR="00F96240" w:rsidRPr="000E4F58">
        <w:t>cyb</w:t>
      </w:r>
      <w:r w:rsidRPr="000E4F58">
        <w:t xml:space="preserve">erprzestępczości, nr </w:t>
      </w:r>
      <w:r w:rsidRPr="00F96240">
        <w:t>ref.</w:t>
      </w:r>
      <w:r w:rsidR="00F96240" w:rsidRPr="00F96240">
        <w:t> </w:t>
      </w:r>
      <w:r w:rsidRPr="00F96240">
        <w:t>9</w:t>
      </w:r>
      <w:r w:rsidRPr="000E4F58">
        <w:t>116/19.</w:t>
      </w:r>
    </w:p>
  </w:footnote>
  <w:footnote w:id="34">
    <w:p w14:paraId="6097FD7F" w14:textId="482B4DC1" w:rsidR="00BC2AAA" w:rsidRPr="000E4F58" w:rsidRDefault="00BC2AAA" w:rsidP="00C411AD">
      <w:pPr>
        <w:pStyle w:val="FootnoteText"/>
      </w:pPr>
      <w:r>
        <w:rPr>
          <w:rStyle w:val="FootnoteReference"/>
        </w:rPr>
        <w:footnoteRef/>
      </w:r>
      <w:r w:rsidRPr="000E4F58">
        <w:tab/>
        <w:t>Wniosek dotyczący decyzji Rady upoważniającej państwa członkowskie do podpisania,</w:t>
      </w:r>
      <w:r w:rsidR="00F96240" w:rsidRPr="000E4F58">
        <w:t xml:space="preserve"> w</w:t>
      </w:r>
      <w:r w:rsidR="00F96240">
        <w:t> </w:t>
      </w:r>
      <w:r w:rsidR="00F96240" w:rsidRPr="000E4F58">
        <w:t>int</w:t>
      </w:r>
      <w:r w:rsidRPr="000E4F58">
        <w:t>eresie Unii Europejskiej, drugiego protokołu dodatkowego do Konwencji</w:t>
      </w:r>
      <w:r w:rsidR="00F96240" w:rsidRPr="000E4F58">
        <w:t xml:space="preserve"> o</w:t>
      </w:r>
      <w:r w:rsidR="00F96240">
        <w:t> </w:t>
      </w:r>
      <w:r w:rsidR="00F96240" w:rsidRPr="000E4F58">
        <w:t>cyb</w:t>
      </w:r>
      <w:r w:rsidRPr="000E4F58">
        <w:t>erprzestępczości</w:t>
      </w:r>
      <w:r w:rsidR="00F96240" w:rsidRPr="000E4F58">
        <w:t xml:space="preserve"> w</w:t>
      </w:r>
      <w:r w:rsidR="00F96240">
        <w:t> </w:t>
      </w:r>
      <w:r w:rsidR="00F96240" w:rsidRPr="000E4F58">
        <w:t>spr</w:t>
      </w:r>
      <w:r w:rsidRPr="000E4F58">
        <w:t>awie wzmocnionej współpracy</w:t>
      </w:r>
      <w:r w:rsidR="00F96240" w:rsidRPr="000E4F58">
        <w:t xml:space="preserve"> i</w:t>
      </w:r>
      <w:r w:rsidR="00F96240">
        <w:t> </w:t>
      </w:r>
      <w:r w:rsidR="00F96240" w:rsidRPr="000E4F58">
        <w:t>uja</w:t>
      </w:r>
      <w:r w:rsidRPr="000E4F58">
        <w:t>wniania elektronicznego materiału dowodowego, COM/2021/718 final (25.11.2021).</w:t>
      </w:r>
    </w:p>
  </w:footnote>
  <w:footnote w:id="35">
    <w:p w14:paraId="41E4E9C5" w14:textId="5E152099" w:rsidR="00BC2AAA" w:rsidRPr="000E4F58" w:rsidRDefault="00BC2AAA" w:rsidP="00C411AD">
      <w:pPr>
        <w:pStyle w:val="FootnoteText"/>
      </w:pPr>
      <w:r>
        <w:rPr>
          <w:rStyle w:val="FootnoteReference"/>
        </w:rPr>
        <w:footnoteRef/>
      </w:r>
      <w:r w:rsidRPr="000E4F58">
        <w:tab/>
        <w:t>Wniosek dotyczący decyzji Rady upoważniającej państwa członkowskie do ratyfikowania,</w:t>
      </w:r>
      <w:r w:rsidR="00F96240" w:rsidRPr="000E4F58">
        <w:t xml:space="preserve"> w</w:t>
      </w:r>
      <w:r w:rsidR="00F96240">
        <w:t> </w:t>
      </w:r>
      <w:r w:rsidR="00F96240" w:rsidRPr="000E4F58">
        <w:t>int</w:t>
      </w:r>
      <w:r w:rsidRPr="000E4F58">
        <w:t>eresie Unii Europejskiej, drugiego protokołu dodatkowego do Konwencji</w:t>
      </w:r>
      <w:r w:rsidR="00F96240" w:rsidRPr="000E4F58">
        <w:t xml:space="preserve"> o</w:t>
      </w:r>
      <w:r w:rsidR="00F96240">
        <w:t> </w:t>
      </w:r>
      <w:r w:rsidR="00F96240" w:rsidRPr="000E4F58">
        <w:t>cyb</w:t>
      </w:r>
      <w:r w:rsidRPr="000E4F58">
        <w:t>erprzestępczości</w:t>
      </w:r>
      <w:r w:rsidR="00F96240" w:rsidRPr="000E4F58">
        <w:t xml:space="preserve"> w</w:t>
      </w:r>
      <w:r w:rsidR="00F96240">
        <w:t> </w:t>
      </w:r>
      <w:r w:rsidR="00F96240" w:rsidRPr="000E4F58">
        <w:t>spr</w:t>
      </w:r>
      <w:r w:rsidRPr="000E4F58">
        <w:t>awie wzmocnionej współpracy</w:t>
      </w:r>
      <w:r w:rsidR="00F96240" w:rsidRPr="000E4F58">
        <w:t xml:space="preserve"> i</w:t>
      </w:r>
      <w:r w:rsidR="00F96240">
        <w:t> </w:t>
      </w:r>
      <w:r w:rsidR="00F96240" w:rsidRPr="000E4F58">
        <w:t>uja</w:t>
      </w:r>
      <w:r w:rsidRPr="000E4F58">
        <w:t xml:space="preserve">wniania elektronicznego materiału dowodowego </w:t>
      </w:r>
      <w:hyperlink r:id="rId16" w:history="1">
        <w:r w:rsidRPr="000E4F58">
          <w:t>COM/2021/719 final</w:t>
        </w:r>
      </w:hyperlink>
      <w:r w:rsidRPr="000E4F58">
        <w:t xml:space="preserve"> (25.11.2021).</w:t>
      </w:r>
    </w:p>
  </w:footnote>
  <w:footnote w:id="36">
    <w:p w14:paraId="05E91558" w14:textId="1996D82F" w:rsidR="00BC2AAA" w:rsidRPr="000E4F58" w:rsidRDefault="00BC2AAA">
      <w:pPr>
        <w:pStyle w:val="FootnoteText"/>
      </w:pPr>
      <w:r>
        <w:rPr>
          <w:rStyle w:val="FootnoteReference"/>
        </w:rPr>
        <w:footnoteRef/>
      </w:r>
      <w:r w:rsidRPr="000E4F58">
        <w:tab/>
        <w:t>Rezolucja Zgromadzenia Ogólnego ONZ</w:t>
      </w:r>
      <w:r w:rsidR="00F96240" w:rsidRPr="000E4F58">
        <w:t xml:space="preserve"> z</w:t>
      </w:r>
      <w:r w:rsidR="00F96240">
        <w:t> </w:t>
      </w:r>
      <w:r w:rsidR="00F96240" w:rsidRPr="000E4F58">
        <w:t>dni</w:t>
      </w:r>
      <w:r w:rsidRPr="000E4F58">
        <w:t>a 27 grudnia 20</w:t>
      </w:r>
      <w:r w:rsidRPr="00F96240">
        <w:t>19</w:t>
      </w:r>
      <w:r w:rsidR="00F96240" w:rsidRPr="00F96240">
        <w:t> </w:t>
      </w:r>
      <w:r w:rsidRPr="00F96240">
        <w:t>r.</w:t>
      </w:r>
      <w:r w:rsidRPr="000E4F58">
        <w:t xml:space="preserve"> dotycząca sprawozdania Trzeciego Komitetu (A/74/401), „Przeciwdziałanie wykorzystywaniu technologii informacyjno-komunikacyjnych</w:t>
      </w:r>
      <w:r w:rsidR="00F96240" w:rsidRPr="000E4F58">
        <w:t xml:space="preserve"> w</w:t>
      </w:r>
      <w:r w:rsidR="00F96240">
        <w:t> </w:t>
      </w:r>
      <w:r w:rsidR="00F96240" w:rsidRPr="000E4F58">
        <w:t>cel</w:t>
      </w:r>
      <w:r w:rsidRPr="000E4F58">
        <w:t xml:space="preserve">ach przestępczych”, </w:t>
      </w:r>
      <w:hyperlink r:id="rId17" w:history="1">
        <w:r w:rsidRPr="000E4F58">
          <w:rPr>
            <w:rStyle w:val="Hyperlink"/>
          </w:rPr>
          <w:t>A/RES/74/247</w:t>
        </w:r>
      </w:hyperlink>
      <w:r w:rsidRPr="000E4F58">
        <w:t>.</w:t>
      </w:r>
    </w:p>
  </w:footnote>
  <w:footnote w:id="37">
    <w:p w14:paraId="59E47E39" w14:textId="6E13B962" w:rsidR="00BC2AAA" w:rsidRPr="000E4F58" w:rsidRDefault="00BC2AAA" w:rsidP="002318A9">
      <w:pPr>
        <w:pStyle w:val="FootnoteText"/>
      </w:pPr>
      <w:r>
        <w:rPr>
          <w:rStyle w:val="FootnoteReference"/>
        </w:rPr>
        <w:footnoteRef/>
      </w:r>
      <w:r w:rsidRPr="000E4F58">
        <w:tab/>
        <w:t>Dyrektywa Parlamentu Europejskiego</w:t>
      </w:r>
      <w:r w:rsidR="00F96240" w:rsidRPr="000E4F58">
        <w:t xml:space="preserve"> i</w:t>
      </w:r>
      <w:r w:rsidR="00F96240">
        <w:t> </w:t>
      </w:r>
      <w:r w:rsidR="00F96240" w:rsidRPr="000E4F58">
        <w:t>Rad</w:t>
      </w:r>
      <w:r w:rsidRPr="000E4F58">
        <w:t>y 2011/93/UE</w:t>
      </w:r>
      <w:r w:rsidR="00F96240" w:rsidRPr="000E4F58">
        <w:t xml:space="preserve"> z</w:t>
      </w:r>
      <w:r w:rsidR="00F96240">
        <w:t> </w:t>
      </w:r>
      <w:r w:rsidR="00F96240" w:rsidRPr="000E4F58">
        <w:t>dni</w:t>
      </w:r>
      <w:r w:rsidRPr="000E4F58">
        <w:t>a 13 grudnia 20</w:t>
      </w:r>
      <w:r w:rsidRPr="00F96240">
        <w:t>11</w:t>
      </w:r>
      <w:r w:rsidR="00F96240" w:rsidRPr="00F96240">
        <w:t> </w:t>
      </w:r>
      <w:r w:rsidRPr="00F96240">
        <w:t>r.</w:t>
      </w:r>
      <w:r w:rsidR="00F96240" w:rsidRPr="000E4F58">
        <w:t xml:space="preserve"> w</w:t>
      </w:r>
      <w:r w:rsidR="00F96240">
        <w:t> </w:t>
      </w:r>
      <w:r w:rsidR="00F96240" w:rsidRPr="000E4F58">
        <w:t>spr</w:t>
      </w:r>
      <w:r w:rsidRPr="000E4F58">
        <w:t>awie zwalczania niegodziwego traktowania</w:t>
      </w:r>
      <w:r w:rsidR="00F96240" w:rsidRPr="000E4F58">
        <w:t xml:space="preserve"> w</w:t>
      </w:r>
      <w:r w:rsidR="00F96240">
        <w:t> </w:t>
      </w:r>
      <w:r w:rsidR="00F96240" w:rsidRPr="000E4F58">
        <w:t>cel</w:t>
      </w:r>
      <w:r w:rsidRPr="000E4F58">
        <w:t>ach seksualnych</w:t>
      </w:r>
      <w:r w:rsidR="00F96240" w:rsidRPr="000E4F58">
        <w:t xml:space="preserve"> i</w:t>
      </w:r>
      <w:r w:rsidR="00F96240">
        <w:t> </w:t>
      </w:r>
      <w:r w:rsidR="00F96240" w:rsidRPr="000E4F58">
        <w:t>wyk</w:t>
      </w:r>
      <w:r w:rsidRPr="000E4F58">
        <w:t xml:space="preserve">orzystywania seksualnego dzieci oraz pornografii dziecięcej, zastępująca decyzję ramową Rady 2004/68/WSiSW, </w:t>
      </w:r>
      <w:hyperlink r:id="rId18" w:history="1">
        <w:r w:rsidRPr="000E4F58">
          <w:rPr>
            <w:color w:val="0000FF" w:themeColor="hyperlink"/>
            <w:u w:val="single"/>
          </w:rPr>
          <w:t>Dz.U. L 335</w:t>
        </w:r>
        <w:r w:rsidR="00F96240" w:rsidRPr="000E4F58">
          <w:rPr>
            <w:color w:val="0000FF" w:themeColor="hyperlink"/>
            <w:u w:val="single"/>
          </w:rPr>
          <w:t xml:space="preserve"> z</w:t>
        </w:r>
        <w:r w:rsidR="00F96240">
          <w:rPr>
            <w:color w:val="0000FF" w:themeColor="hyperlink"/>
            <w:u w:val="single"/>
          </w:rPr>
          <w:t> </w:t>
        </w:r>
        <w:r w:rsidR="00F96240" w:rsidRPr="000E4F58">
          <w:rPr>
            <w:color w:val="0000FF" w:themeColor="hyperlink"/>
            <w:u w:val="single"/>
          </w:rPr>
          <w:t>1</w:t>
        </w:r>
        <w:r w:rsidRPr="000E4F58">
          <w:rPr>
            <w:color w:val="0000FF" w:themeColor="hyperlink"/>
            <w:u w:val="single"/>
          </w:rPr>
          <w:t>7.12.2011, s. 1</w:t>
        </w:r>
      </w:hyperlink>
      <w:r w:rsidRPr="000E4F58">
        <w:rPr>
          <w:color w:val="0000FF" w:themeColor="hyperlink"/>
          <w:u w:val="single"/>
        </w:rPr>
        <w:t xml:space="preserve">; </w:t>
      </w:r>
      <w:r w:rsidRPr="000E4F58">
        <w:t>dyrektywa Parlamentu Europejskiego</w:t>
      </w:r>
      <w:r w:rsidR="00F96240" w:rsidRPr="000E4F58">
        <w:t xml:space="preserve"> i</w:t>
      </w:r>
      <w:r w:rsidR="00F96240">
        <w:t> </w:t>
      </w:r>
      <w:r w:rsidR="00F96240" w:rsidRPr="000E4F58">
        <w:t>Rad</w:t>
      </w:r>
      <w:r w:rsidRPr="000E4F58">
        <w:t>y 2013/40/UE</w:t>
      </w:r>
      <w:r w:rsidR="00F96240" w:rsidRPr="000E4F58">
        <w:t xml:space="preserve"> z</w:t>
      </w:r>
      <w:r w:rsidR="00F96240">
        <w:t> </w:t>
      </w:r>
      <w:r w:rsidR="00F96240" w:rsidRPr="000E4F58">
        <w:t>dni</w:t>
      </w:r>
      <w:r w:rsidRPr="000E4F58">
        <w:t>a 12 sierpnia 20</w:t>
      </w:r>
      <w:r w:rsidRPr="00F96240">
        <w:t>13</w:t>
      </w:r>
      <w:r w:rsidR="00F96240" w:rsidRPr="00F96240">
        <w:t> </w:t>
      </w:r>
      <w:r w:rsidRPr="00F96240">
        <w:t>r.</w:t>
      </w:r>
      <w:r w:rsidRPr="000E4F58">
        <w:t xml:space="preserve"> dotycząca ataków na systemy informatyczne</w:t>
      </w:r>
      <w:r w:rsidR="00F96240" w:rsidRPr="000E4F58">
        <w:t xml:space="preserve"> i</w:t>
      </w:r>
      <w:r w:rsidR="00F96240">
        <w:t> </w:t>
      </w:r>
      <w:r w:rsidR="00F96240" w:rsidRPr="000E4F58">
        <w:t>zas</w:t>
      </w:r>
      <w:r w:rsidRPr="000E4F58">
        <w:t xml:space="preserve">tępująca decyzję ramową Rady 2005/222/WSiSW, </w:t>
      </w:r>
      <w:hyperlink r:id="rId19" w:history="1">
        <w:r w:rsidRPr="000E4F58">
          <w:rPr>
            <w:color w:val="0000FF" w:themeColor="hyperlink"/>
            <w:u w:val="single"/>
          </w:rPr>
          <w:t>Dz.U. L 218</w:t>
        </w:r>
        <w:r w:rsidR="00F96240" w:rsidRPr="000E4F58">
          <w:rPr>
            <w:color w:val="0000FF" w:themeColor="hyperlink"/>
            <w:u w:val="single"/>
          </w:rPr>
          <w:t xml:space="preserve"> z</w:t>
        </w:r>
        <w:r w:rsidR="00F96240">
          <w:rPr>
            <w:color w:val="0000FF" w:themeColor="hyperlink"/>
            <w:u w:val="single"/>
          </w:rPr>
          <w:t> </w:t>
        </w:r>
        <w:r w:rsidR="00F96240" w:rsidRPr="000E4F58">
          <w:rPr>
            <w:color w:val="0000FF" w:themeColor="hyperlink"/>
            <w:u w:val="single"/>
          </w:rPr>
          <w:t>1</w:t>
        </w:r>
        <w:r w:rsidRPr="000E4F58">
          <w:rPr>
            <w:color w:val="0000FF" w:themeColor="hyperlink"/>
            <w:u w:val="single"/>
          </w:rPr>
          <w:t>4.8.2013, s. 8</w:t>
        </w:r>
      </w:hyperlink>
      <w:r w:rsidRPr="000E4F58">
        <w:t>; dyrektywa Parlamentu Europejskiego</w:t>
      </w:r>
      <w:r w:rsidR="00F96240" w:rsidRPr="000E4F58">
        <w:t xml:space="preserve"> i</w:t>
      </w:r>
      <w:r w:rsidR="00F96240">
        <w:t> </w:t>
      </w:r>
      <w:r w:rsidR="00F96240" w:rsidRPr="000E4F58">
        <w:t>Rad</w:t>
      </w:r>
      <w:r w:rsidRPr="000E4F58">
        <w:t>y (UE) 2019/713</w:t>
      </w:r>
      <w:r w:rsidR="00F96240" w:rsidRPr="000E4F58">
        <w:t xml:space="preserve"> z</w:t>
      </w:r>
      <w:r w:rsidR="00F96240">
        <w:t> </w:t>
      </w:r>
      <w:r w:rsidR="00F96240" w:rsidRPr="000E4F58">
        <w:t>dni</w:t>
      </w:r>
      <w:r w:rsidRPr="000E4F58">
        <w:t>a 17 kwietnia 20</w:t>
      </w:r>
      <w:r w:rsidRPr="00F96240">
        <w:t>19</w:t>
      </w:r>
      <w:r w:rsidR="00F96240" w:rsidRPr="00F96240">
        <w:t> </w:t>
      </w:r>
      <w:r w:rsidRPr="00F96240">
        <w:t>r.</w:t>
      </w:r>
      <w:r w:rsidR="00F96240" w:rsidRPr="000E4F58">
        <w:t xml:space="preserve"> w</w:t>
      </w:r>
      <w:r w:rsidR="00F96240">
        <w:t> </w:t>
      </w:r>
      <w:r w:rsidR="00F96240" w:rsidRPr="000E4F58">
        <w:t>spr</w:t>
      </w:r>
      <w:r w:rsidRPr="000E4F58">
        <w:t>awie zwalczania fałszowania</w:t>
      </w:r>
      <w:r w:rsidR="00F96240" w:rsidRPr="000E4F58">
        <w:t xml:space="preserve"> i</w:t>
      </w:r>
      <w:r w:rsidR="00F96240">
        <w:t> </w:t>
      </w:r>
      <w:r w:rsidR="00F96240" w:rsidRPr="000E4F58">
        <w:t>osz</w:t>
      </w:r>
      <w:r w:rsidRPr="000E4F58">
        <w:t>ustw związanych</w:t>
      </w:r>
      <w:r w:rsidR="00F96240" w:rsidRPr="000E4F58">
        <w:t xml:space="preserve"> z</w:t>
      </w:r>
      <w:r w:rsidR="00F96240">
        <w:t> </w:t>
      </w:r>
      <w:r w:rsidR="00F96240" w:rsidRPr="000E4F58">
        <w:t>bez</w:t>
      </w:r>
      <w:r w:rsidRPr="000E4F58">
        <w:t xml:space="preserve">gotówkowymi środkami płatniczymi, zastępująca decyzję ramową Rady 2001/413/WSiSW, PE/89/2018/REV/3, </w:t>
      </w:r>
      <w:hyperlink r:id="rId20" w:history="1">
        <w:r w:rsidRPr="000E4F58">
          <w:rPr>
            <w:color w:val="0000FF" w:themeColor="hyperlink"/>
            <w:u w:val="single"/>
          </w:rPr>
          <w:t>Dz.U. L 123</w:t>
        </w:r>
        <w:r w:rsidR="00F96240" w:rsidRPr="000E4F58">
          <w:rPr>
            <w:color w:val="0000FF" w:themeColor="hyperlink"/>
            <w:u w:val="single"/>
          </w:rPr>
          <w:t xml:space="preserve"> z</w:t>
        </w:r>
        <w:r w:rsidR="00F96240">
          <w:rPr>
            <w:color w:val="0000FF" w:themeColor="hyperlink"/>
            <w:u w:val="single"/>
          </w:rPr>
          <w:t> </w:t>
        </w:r>
        <w:r w:rsidR="00F96240" w:rsidRPr="000E4F58">
          <w:rPr>
            <w:color w:val="0000FF" w:themeColor="hyperlink"/>
            <w:u w:val="single"/>
          </w:rPr>
          <w:t>1</w:t>
        </w:r>
        <w:r w:rsidRPr="000E4F58">
          <w:rPr>
            <w:color w:val="0000FF" w:themeColor="hyperlink"/>
            <w:u w:val="single"/>
          </w:rPr>
          <w:t>0.5.2019, s. 18</w:t>
        </w:r>
      </w:hyperlink>
      <w:r w:rsidRPr="000E4F58">
        <w:rPr>
          <w:color w:val="0000FF" w:themeColor="hyperlink"/>
          <w:u w:val="single"/>
        </w:rPr>
        <w:t>.</w:t>
      </w:r>
    </w:p>
  </w:footnote>
  <w:footnote w:id="38">
    <w:p w14:paraId="2DCB45D2" w14:textId="07022A11" w:rsidR="00BC2AAA" w:rsidRPr="000E4F58" w:rsidRDefault="00BC2AAA" w:rsidP="002318A9">
      <w:pPr>
        <w:pStyle w:val="FootnoteText"/>
        <w:rPr>
          <w:shd w:val="clear" w:color="auto" w:fill="FFFFFF"/>
        </w:rPr>
      </w:pPr>
      <w:r>
        <w:rPr>
          <w:rStyle w:val="FootnoteReference"/>
        </w:rPr>
        <w:footnoteRef/>
      </w:r>
      <w:r w:rsidRPr="000E4F58">
        <w:tab/>
      </w:r>
      <w:r w:rsidRPr="000E4F58">
        <w:rPr>
          <w:shd w:val="clear" w:color="auto" w:fill="FFFFFF"/>
        </w:rPr>
        <w:t>Akt Rady</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29 maja 20</w:t>
      </w:r>
      <w:r w:rsidRPr="00F96240">
        <w:rPr>
          <w:shd w:val="clear" w:color="auto" w:fill="FFFFFF"/>
        </w:rPr>
        <w:t>00</w:t>
      </w:r>
      <w:r w:rsidR="00F96240" w:rsidRPr="00F96240">
        <w:rPr>
          <w:shd w:val="clear" w:color="auto" w:fill="FFFFFF"/>
        </w:rPr>
        <w:t> </w:t>
      </w:r>
      <w:r w:rsidRPr="00F96240">
        <w:rPr>
          <w:shd w:val="clear" w:color="auto" w:fill="FFFFFF"/>
        </w:rPr>
        <w:t>r.</w:t>
      </w:r>
      <w:r w:rsidRPr="000E4F58">
        <w:rPr>
          <w:shd w:val="clear" w:color="auto" w:fill="FFFFFF"/>
        </w:rPr>
        <w:t xml:space="preserve"> ustanawiający Konwencję</w:t>
      </w:r>
      <w:r w:rsidR="00F96240" w:rsidRPr="000E4F58">
        <w:rPr>
          <w:shd w:val="clear" w:color="auto" w:fill="FFFFFF"/>
        </w:rPr>
        <w:t xml:space="preserve"> o</w:t>
      </w:r>
      <w:r w:rsidR="00F96240">
        <w:rPr>
          <w:shd w:val="clear" w:color="auto" w:fill="FFFFFF"/>
        </w:rPr>
        <w:t> </w:t>
      </w:r>
      <w:r w:rsidR="00F96240" w:rsidRPr="000E4F58">
        <w:rPr>
          <w:shd w:val="clear" w:color="auto" w:fill="FFFFFF"/>
        </w:rPr>
        <w:t>wza</w:t>
      </w:r>
      <w:r w:rsidRPr="000E4F58">
        <w:rPr>
          <w:shd w:val="clear" w:color="auto" w:fill="FFFFFF"/>
        </w:rPr>
        <w:t>jemnej pomocy</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awach karnych pomiędzy państwami członkowskimi Unii Europejskiej, Dz.U. C 197</w:t>
      </w:r>
      <w:r w:rsidR="00F96240" w:rsidRPr="000E4F58">
        <w:rPr>
          <w:shd w:val="clear" w:color="auto" w:fill="FFFFFF"/>
        </w:rPr>
        <w:t xml:space="preserve"> z</w:t>
      </w:r>
      <w:r w:rsidR="00F96240">
        <w:rPr>
          <w:shd w:val="clear" w:color="auto" w:fill="FFFFFF"/>
        </w:rPr>
        <w:t> </w:t>
      </w:r>
      <w:r w:rsidR="00F96240" w:rsidRPr="000E4F58">
        <w:rPr>
          <w:shd w:val="clear" w:color="auto" w:fill="FFFFFF"/>
        </w:rPr>
        <w:t>1</w:t>
      </w:r>
      <w:r w:rsidRPr="000E4F58">
        <w:rPr>
          <w:shd w:val="clear" w:color="auto" w:fill="FFFFFF"/>
        </w:rPr>
        <w:t>2.7.2000, s. 1; rozporządzenie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(UE) 2018/1727</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Agencji Unii Europejskiej ds. Współpracy Wymiarów Sprawiedliwości</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awach Karnych (Eurojust) oraz uchylenia decyzji Rady 2002/187/WSiSW, Dz.U. L 295</w:t>
      </w:r>
      <w:r w:rsidR="00F96240" w:rsidRPr="000E4F58">
        <w:rPr>
          <w:shd w:val="clear" w:color="auto" w:fill="FFFFFF"/>
        </w:rPr>
        <w:t xml:space="preserve"> z</w:t>
      </w:r>
      <w:r w:rsidR="00F96240">
        <w:rPr>
          <w:shd w:val="clear" w:color="auto" w:fill="FFFFFF"/>
        </w:rPr>
        <w:t> </w:t>
      </w:r>
      <w:r w:rsidR="00F96240" w:rsidRPr="000E4F58">
        <w:rPr>
          <w:shd w:val="clear" w:color="auto" w:fill="FFFFFF"/>
        </w:rPr>
        <w:t>2</w:t>
      </w:r>
      <w:r w:rsidRPr="000E4F58">
        <w:rPr>
          <w:shd w:val="clear" w:color="auto" w:fill="FFFFFF"/>
        </w:rPr>
        <w:t>1.11.2018; rozporządzenie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(UE) 2016/794</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11 maja 20</w:t>
      </w:r>
      <w:r w:rsidRPr="00F96240">
        <w:rPr>
          <w:shd w:val="clear" w:color="auto" w:fill="FFFFFF"/>
        </w:rPr>
        <w:t>16</w:t>
      </w:r>
      <w:r w:rsidR="00F96240" w:rsidRPr="00F96240">
        <w:rPr>
          <w:shd w:val="clear" w:color="auto" w:fill="FFFFFF"/>
        </w:rPr>
        <w:t> </w:t>
      </w:r>
      <w:r w:rsidRPr="00F96240">
        <w:rPr>
          <w:shd w:val="clear" w:color="auto" w:fill="FFFFFF"/>
        </w:rPr>
        <w:t>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Agencji Unii Europejskiej ds. Współpracy Organów Ścigania (Europol), zastępujące</w:t>
      </w:r>
      <w:r w:rsidR="00F96240" w:rsidRPr="000E4F58">
        <w:rPr>
          <w:shd w:val="clear" w:color="auto" w:fill="FFFFFF"/>
        </w:rPr>
        <w:t xml:space="preserve"> i</w:t>
      </w:r>
      <w:r w:rsidR="00F96240">
        <w:rPr>
          <w:shd w:val="clear" w:color="auto" w:fill="FFFFFF"/>
        </w:rPr>
        <w:t> </w:t>
      </w:r>
      <w:r w:rsidR="00F96240" w:rsidRPr="000E4F58">
        <w:rPr>
          <w:shd w:val="clear" w:color="auto" w:fill="FFFFFF"/>
        </w:rPr>
        <w:t>uch</w:t>
      </w:r>
      <w:r w:rsidRPr="000E4F58">
        <w:rPr>
          <w:shd w:val="clear" w:color="auto" w:fill="FFFFFF"/>
        </w:rPr>
        <w:t>ylające decyzje Rady 2009/371/WSiSW, 2009/934/WSiSW, 2009/935/WSiSW, 2009/936/WSiSW</w:t>
      </w:r>
      <w:r w:rsidR="00F96240" w:rsidRPr="000E4F58">
        <w:rPr>
          <w:shd w:val="clear" w:color="auto" w:fill="FFFFFF"/>
        </w:rPr>
        <w:t xml:space="preserve"> i</w:t>
      </w:r>
      <w:r w:rsidR="00F96240">
        <w:rPr>
          <w:shd w:val="clear" w:color="auto" w:fill="FFFFFF"/>
        </w:rPr>
        <w:t> </w:t>
      </w:r>
      <w:r w:rsidR="00F96240" w:rsidRPr="000E4F58">
        <w:rPr>
          <w:shd w:val="clear" w:color="auto" w:fill="FFFFFF"/>
        </w:rPr>
        <w:t>2</w:t>
      </w:r>
      <w:r w:rsidRPr="000E4F58">
        <w:rPr>
          <w:shd w:val="clear" w:color="auto" w:fill="FFFFFF"/>
        </w:rPr>
        <w:t>009/968/WSiSW, Dz.U. L 135</w:t>
      </w:r>
      <w:r w:rsidR="00F96240" w:rsidRPr="000E4F58">
        <w:rPr>
          <w:shd w:val="clear" w:color="auto" w:fill="FFFFFF"/>
        </w:rPr>
        <w:t xml:space="preserve"> z</w:t>
      </w:r>
      <w:r w:rsidR="00F96240">
        <w:rPr>
          <w:shd w:val="clear" w:color="auto" w:fill="FFFFFF"/>
        </w:rPr>
        <w:t> </w:t>
      </w:r>
      <w:r w:rsidR="00F96240" w:rsidRPr="000E4F58">
        <w:rPr>
          <w:shd w:val="clear" w:color="auto" w:fill="FFFFFF"/>
        </w:rPr>
        <w:t>2</w:t>
      </w:r>
      <w:r w:rsidRPr="000E4F58">
        <w:rPr>
          <w:shd w:val="clear" w:color="auto" w:fill="FFFFFF"/>
        </w:rPr>
        <w:t>4.5.2016, s. 53; decyzja ramowa Rady 2002/465/WSiSW</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13 czerwca 20</w:t>
      </w:r>
      <w:r w:rsidRPr="00F96240">
        <w:rPr>
          <w:shd w:val="clear" w:color="auto" w:fill="FFFFFF"/>
        </w:rPr>
        <w:t>02</w:t>
      </w:r>
      <w:r w:rsidR="00F96240" w:rsidRPr="00F96240">
        <w:rPr>
          <w:shd w:val="clear" w:color="auto" w:fill="FFFFFF"/>
        </w:rPr>
        <w:t> </w:t>
      </w:r>
      <w:r w:rsidRPr="00F96240">
        <w:rPr>
          <w:shd w:val="clear" w:color="auto" w:fill="FFFFFF"/>
        </w:rPr>
        <w:t>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wspólnych zespołów dochodzeniowo-śledczych, Dz.U. L 162</w:t>
      </w:r>
      <w:r w:rsidR="00F96240" w:rsidRPr="000E4F58">
        <w:rPr>
          <w:shd w:val="clear" w:color="auto" w:fill="FFFFFF"/>
        </w:rPr>
        <w:t xml:space="preserve"> z</w:t>
      </w:r>
      <w:r w:rsidR="00F96240">
        <w:rPr>
          <w:shd w:val="clear" w:color="auto" w:fill="FFFFFF"/>
        </w:rPr>
        <w:t> </w:t>
      </w:r>
      <w:r w:rsidR="00F96240" w:rsidRPr="000E4F58">
        <w:rPr>
          <w:shd w:val="clear" w:color="auto" w:fill="FFFFFF"/>
        </w:rPr>
        <w:t>2</w:t>
      </w:r>
      <w:r w:rsidRPr="000E4F58">
        <w:rPr>
          <w:shd w:val="clear" w:color="auto" w:fill="FFFFFF"/>
        </w:rPr>
        <w:t>0.6.2002, s. 1; decyzja ramowa Rady 2009/948/WSiSW</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zapobiegania konfliktom jurysdykcji</w:t>
      </w:r>
      <w:r w:rsidR="00F96240" w:rsidRPr="000E4F58">
        <w:rPr>
          <w:shd w:val="clear" w:color="auto" w:fill="FFFFFF"/>
        </w:rPr>
        <w:t xml:space="preserve"> w</w:t>
      </w:r>
      <w:r w:rsidR="00F96240">
        <w:rPr>
          <w:shd w:val="clear" w:color="auto" w:fill="FFFFFF"/>
        </w:rPr>
        <w:t> </w:t>
      </w:r>
      <w:r w:rsidR="00F96240" w:rsidRPr="000E4F58">
        <w:rPr>
          <w:shd w:val="clear" w:color="auto" w:fill="FFFFFF"/>
        </w:rPr>
        <w:t>pos</w:t>
      </w:r>
      <w:r w:rsidRPr="000E4F58">
        <w:rPr>
          <w:shd w:val="clear" w:color="auto" w:fill="FFFFFF"/>
        </w:rPr>
        <w:t>tępowaniu karnym</w:t>
      </w:r>
      <w:r w:rsidR="00F96240" w:rsidRPr="000E4F58">
        <w:rPr>
          <w:shd w:val="clear" w:color="auto" w:fill="FFFFFF"/>
        </w:rPr>
        <w:t xml:space="preserve"> i</w:t>
      </w:r>
      <w:r w:rsidR="00F96240">
        <w:rPr>
          <w:shd w:val="clear" w:color="auto" w:fill="FFFFFF"/>
        </w:rPr>
        <w:t> </w:t>
      </w:r>
      <w:r w:rsidR="00F96240" w:rsidRPr="000E4F58">
        <w:rPr>
          <w:shd w:val="clear" w:color="auto" w:fill="FFFFFF"/>
        </w:rPr>
        <w:t>w</w:t>
      </w:r>
      <w:r w:rsidR="00F96240">
        <w:rPr>
          <w:shd w:val="clear" w:color="auto" w:fill="FFFFFF"/>
        </w:rPr>
        <w:t> </w:t>
      </w:r>
      <w:r w:rsidR="00F96240" w:rsidRPr="000E4F58">
        <w:rPr>
          <w:shd w:val="clear" w:color="auto" w:fill="FFFFFF"/>
        </w:rPr>
        <w:t>spr</w:t>
      </w:r>
      <w:r w:rsidRPr="000E4F58">
        <w:rPr>
          <w:shd w:val="clear" w:color="auto" w:fill="FFFFFF"/>
        </w:rPr>
        <w:t>awie rozstrzygania takich konfliktów, Dz.U. L 328</w:t>
      </w:r>
      <w:r w:rsidR="00F96240" w:rsidRPr="000E4F58">
        <w:rPr>
          <w:shd w:val="clear" w:color="auto" w:fill="FFFFFF"/>
        </w:rPr>
        <w:t xml:space="preserve"> z</w:t>
      </w:r>
      <w:r w:rsidR="00F96240">
        <w:rPr>
          <w:shd w:val="clear" w:color="auto" w:fill="FFFFFF"/>
        </w:rPr>
        <w:t> </w:t>
      </w:r>
      <w:r w:rsidR="00F96240" w:rsidRPr="000E4F58">
        <w:rPr>
          <w:shd w:val="clear" w:color="auto" w:fill="FFFFFF"/>
        </w:rPr>
        <w:t>1</w:t>
      </w:r>
      <w:r w:rsidRPr="000E4F58">
        <w:rPr>
          <w:shd w:val="clear" w:color="auto" w:fill="FFFFFF"/>
        </w:rPr>
        <w:t xml:space="preserve">5.12.2009, s. 42; dyrektywa </w:t>
      </w:r>
      <w:r w:rsidRPr="00F96240">
        <w:rPr>
          <w:shd w:val="clear" w:color="auto" w:fill="FFFFFF"/>
        </w:rPr>
        <w:t>nr</w:t>
      </w:r>
      <w:r w:rsidR="00F96240" w:rsidRPr="00F96240">
        <w:rPr>
          <w:shd w:val="clear" w:color="auto" w:fill="FFFFFF"/>
        </w:rPr>
        <w:t> </w:t>
      </w:r>
      <w:r w:rsidRPr="00F96240">
        <w:rPr>
          <w:shd w:val="clear" w:color="auto" w:fill="FFFFFF"/>
        </w:rPr>
        <w:t>2</w:t>
      </w:r>
      <w:r w:rsidRPr="000E4F58">
        <w:rPr>
          <w:shd w:val="clear" w:color="auto" w:fill="FFFFFF"/>
        </w:rPr>
        <w:t>014/41/UE</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europejskiego nakazu dochodzeniowego</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awach karnych, Dz.U. L 130</w:t>
      </w:r>
      <w:r w:rsidR="00F96240" w:rsidRPr="000E4F58">
        <w:rPr>
          <w:shd w:val="clear" w:color="auto" w:fill="FFFFFF"/>
        </w:rPr>
        <w:t xml:space="preserve"> z</w:t>
      </w:r>
      <w:r w:rsidR="00F96240">
        <w:rPr>
          <w:shd w:val="clear" w:color="auto" w:fill="FFFFFF"/>
        </w:rPr>
        <w:t> </w:t>
      </w:r>
      <w:r w:rsidR="00F96240" w:rsidRPr="000E4F58">
        <w:rPr>
          <w:shd w:val="clear" w:color="auto" w:fill="FFFFFF"/>
        </w:rPr>
        <w:t>1</w:t>
      </w:r>
      <w:r w:rsidRPr="000E4F58">
        <w:rPr>
          <w:shd w:val="clear" w:color="auto" w:fill="FFFFFF"/>
        </w:rPr>
        <w:t xml:space="preserve">.5.2014, s. 1. </w:t>
      </w:r>
    </w:p>
  </w:footnote>
  <w:footnote w:id="39">
    <w:p w14:paraId="6A425F74" w14:textId="7B95EBB2" w:rsidR="00BC2AAA" w:rsidRPr="000E4F58" w:rsidRDefault="00BC2AAA">
      <w:pPr>
        <w:pStyle w:val="FootnoteText"/>
      </w:pPr>
      <w:r>
        <w:rPr>
          <w:rStyle w:val="FootnoteReference"/>
        </w:rPr>
        <w:footnoteRef/>
      </w:r>
      <w:r w:rsidRPr="000E4F58">
        <w:tab/>
      </w:r>
      <w:r w:rsidRPr="000E4F58">
        <w:rPr>
          <w:shd w:val="clear" w:color="auto" w:fill="FFFFFF"/>
        </w:rPr>
        <w:t>Dyrektywa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2010/64/UE</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20 października 20</w:t>
      </w:r>
      <w:r w:rsidRPr="00F96240">
        <w:rPr>
          <w:shd w:val="clear" w:color="auto" w:fill="FFFFFF"/>
        </w:rPr>
        <w:t>10</w:t>
      </w:r>
      <w:r w:rsidR="00F96240" w:rsidRPr="00F96240">
        <w:rPr>
          <w:shd w:val="clear" w:color="auto" w:fill="FFFFFF"/>
        </w:rPr>
        <w:t> </w:t>
      </w:r>
      <w:r w:rsidRPr="00F96240">
        <w:rPr>
          <w:shd w:val="clear" w:color="auto" w:fill="FFFFFF"/>
        </w:rPr>
        <w:t>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prawa do tłumaczenia ustnego</w:t>
      </w:r>
      <w:r w:rsidR="00F96240" w:rsidRPr="000E4F58">
        <w:rPr>
          <w:shd w:val="clear" w:color="auto" w:fill="FFFFFF"/>
        </w:rPr>
        <w:t xml:space="preserve"> i</w:t>
      </w:r>
      <w:r w:rsidR="00F96240">
        <w:rPr>
          <w:shd w:val="clear" w:color="auto" w:fill="FFFFFF"/>
        </w:rPr>
        <w:t> </w:t>
      </w:r>
      <w:r w:rsidR="00F96240" w:rsidRPr="000E4F58">
        <w:rPr>
          <w:shd w:val="clear" w:color="auto" w:fill="FFFFFF"/>
        </w:rPr>
        <w:t>tłu</w:t>
      </w:r>
      <w:r w:rsidRPr="000E4F58">
        <w:rPr>
          <w:shd w:val="clear" w:color="auto" w:fill="FFFFFF"/>
        </w:rPr>
        <w:t>maczenia pisemnego</w:t>
      </w:r>
      <w:r w:rsidR="00F96240" w:rsidRPr="000E4F58">
        <w:rPr>
          <w:shd w:val="clear" w:color="auto" w:fill="FFFFFF"/>
        </w:rPr>
        <w:t xml:space="preserve"> w</w:t>
      </w:r>
      <w:r w:rsidR="00F96240">
        <w:rPr>
          <w:shd w:val="clear" w:color="auto" w:fill="FFFFFF"/>
        </w:rPr>
        <w:t> </w:t>
      </w:r>
      <w:r w:rsidR="00F96240" w:rsidRPr="000E4F58">
        <w:rPr>
          <w:shd w:val="clear" w:color="auto" w:fill="FFFFFF"/>
        </w:rPr>
        <w:t>pos</w:t>
      </w:r>
      <w:r w:rsidRPr="000E4F58">
        <w:rPr>
          <w:shd w:val="clear" w:color="auto" w:fill="FFFFFF"/>
        </w:rPr>
        <w:t>tępowaniu karnym, Dz.U. L 280</w:t>
      </w:r>
      <w:r w:rsidR="00F96240" w:rsidRPr="000E4F58">
        <w:rPr>
          <w:shd w:val="clear" w:color="auto" w:fill="FFFFFF"/>
        </w:rPr>
        <w:t xml:space="preserve"> z</w:t>
      </w:r>
      <w:r w:rsidR="00F96240">
        <w:rPr>
          <w:shd w:val="clear" w:color="auto" w:fill="FFFFFF"/>
        </w:rPr>
        <w:t> </w:t>
      </w:r>
      <w:r w:rsidR="00F96240" w:rsidRPr="000E4F58">
        <w:rPr>
          <w:shd w:val="clear" w:color="auto" w:fill="FFFFFF"/>
        </w:rPr>
        <w:t>2</w:t>
      </w:r>
      <w:r w:rsidRPr="000E4F58">
        <w:rPr>
          <w:shd w:val="clear" w:color="auto" w:fill="FFFFFF"/>
        </w:rPr>
        <w:t>6.10.2010, s. 1; dyrektywa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2012/13/UE</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22 maja 20</w:t>
      </w:r>
      <w:r w:rsidRPr="00F96240">
        <w:rPr>
          <w:shd w:val="clear" w:color="auto" w:fill="FFFFFF"/>
        </w:rPr>
        <w:t>12</w:t>
      </w:r>
      <w:r w:rsidR="00F96240" w:rsidRPr="00F96240">
        <w:rPr>
          <w:shd w:val="clear" w:color="auto" w:fill="FFFFFF"/>
        </w:rPr>
        <w:t> </w:t>
      </w:r>
      <w:r w:rsidRPr="00F96240">
        <w:rPr>
          <w:shd w:val="clear" w:color="auto" w:fill="FFFFFF"/>
        </w:rPr>
        <w:t>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prawa do informacji</w:t>
      </w:r>
      <w:r w:rsidR="00F96240" w:rsidRPr="000E4F58">
        <w:rPr>
          <w:shd w:val="clear" w:color="auto" w:fill="FFFFFF"/>
        </w:rPr>
        <w:t xml:space="preserve"> w</w:t>
      </w:r>
      <w:r w:rsidR="00F96240">
        <w:rPr>
          <w:shd w:val="clear" w:color="auto" w:fill="FFFFFF"/>
        </w:rPr>
        <w:t> </w:t>
      </w:r>
      <w:r w:rsidR="00F96240" w:rsidRPr="000E4F58">
        <w:rPr>
          <w:shd w:val="clear" w:color="auto" w:fill="FFFFFF"/>
        </w:rPr>
        <w:t>pos</w:t>
      </w:r>
      <w:r w:rsidRPr="000E4F58">
        <w:rPr>
          <w:shd w:val="clear" w:color="auto" w:fill="FFFFFF"/>
        </w:rPr>
        <w:t>tępowaniu karnym, Dz.U. L 142</w:t>
      </w:r>
      <w:r w:rsidR="00F96240" w:rsidRPr="000E4F58">
        <w:rPr>
          <w:shd w:val="clear" w:color="auto" w:fill="FFFFFF"/>
        </w:rPr>
        <w:t xml:space="preserve"> z</w:t>
      </w:r>
      <w:r w:rsidR="00F96240">
        <w:rPr>
          <w:shd w:val="clear" w:color="auto" w:fill="FFFFFF"/>
        </w:rPr>
        <w:t> </w:t>
      </w:r>
      <w:r w:rsidR="00F96240" w:rsidRPr="000E4F58">
        <w:rPr>
          <w:shd w:val="clear" w:color="auto" w:fill="FFFFFF"/>
        </w:rPr>
        <w:t>1</w:t>
      </w:r>
      <w:r w:rsidRPr="000E4F58">
        <w:rPr>
          <w:shd w:val="clear" w:color="auto" w:fill="FFFFFF"/>
        </w:rPr>
        <w:t>.6.2012, s. 1; dyrektywa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2013/48/UE</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22 października 20</w:t>
      </w:r>
      <w:r w:rsidRPr="00F96240">
        <w:rPr>
          <w:shd w:val="clear" w:color="auto" w:fill="FFFFFF"/>
        </w:rPr>
        <w:t>13</w:t>
      </w:r>
      <w:r w:rsidR="00F96240" w:rsidRPr="00F96240">
        <w:rPr>
          <w:shd w:val="clear" w:color="auto" w:fill="FFFFFF"/>
        </w:rPr>
        <w:t> </w:t>
      </w:r>
      <w:r w:rsidRPr="00F96240">
        <w:rPr>
          <w:shd w:val="clear" w:color="auto" w:fill="FFFFFF"/>
        </w:rPr>
        <w:t>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prawa dostępu do adwokata</w:t>
      </w:r>
      <w:r w:rsidR="00F96240" w:rsidRPr="000E4F58">
        <w:rPr>
          <w:shd w:val="clear" w:color="auto" w:fill="FFFFFF"/>
        </w:rPr>
        <w:t xml:space="preserve"> w</w:t>
      </w:r>
      <w:r w:rsidR="00F96240">
        <w:rPr>
          <w:shd w:val="clear" w:color="auto" w:fill="FFFFFF"/>
        </w:rPr>
        <w:t> </w:t>
      </w:r>
      <w:r w:rsidR="00F96240" w:rsidRPr="000E4F58">
        <w:rPr>
          <w:shd w:val="clear" w:color="auto" w:fill="FFFFFF"/>
        </w:rPr>
        <w:t>pos</w:t>
      </w:r>
      <w:r w:rsidRPr="000E4F58">
        <w:rPr>
          <w:shd w:val="clear" w:color="auto" w:fill="FFFFFF"/>
        </w:rPr>
        <w:t>tępowaniu karnym</w:t>
      </w:r>
      <w:r w:rsidR="00F96240" w:rsidRPr="000E4F58">
        <w:rPr>
          <w:shd w:val="clear" w:color="auto" w:fill="FFFFFF"/>
        </w:rPr>
        <w:t xml:space="preserve"> i</w:t>
      </w:r>
      <w:r w:rsidR="00F96240">
        <w:rPr>
          <w:shd w:val="clear" w:color="auto" w:fill="FFFFFF"/>
        </w:rPr>
        <w:t> </w:t>
      </w:r>
      <w:r w:rsidR="00F96240" w:rsidRPr="000E4F58">
        <w:rPr>
          <w:shd w:val="clear" w:color="auto" w:fill="FFFFFF"/>
        </w:rPr>
        <w:t>w</w:t>
      </w:r>
      <w:r w:rsidR="00F96240">
        <w:rPr>
          <w:shd w:val="clear" w:color="auto" w:fill="FFFFFF"/>
        </w:rPr>
        <w:t> </w:t>
      </w:r>
      <w:r w:rsidR="00F96240" w:rsidRPr="000E4F58">
        <w:rPr>
          <w:shd w:val="clear" w:color="auto" w:fill="FFFFFF"/>
        </w:rPr>
        <w:t>pos</w:t>
      </w:r>
      <w:r w:rsidRPr="000E4F58">
        <w:rPr>
          <w:shd w:val="clear" w:color="auto" w:fill="FFFFFF"/>
        </w:rPr>
        <w:t>tępowaniu dotyczącym europejskiego nakazu aresztowania oraz</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prawa do poinformowania osoby trzeciej</w:t>
      </w:r>
      <w:r w:rsidR="00F96240" w:rsidRPr="000E4F58">
        <w:rPr>
          <w:shd w:val="clear" w:color="auto" w:fill="FFFFFF"/>
        </w:rPr>
        <w:t xml:space="preserve"> o</w:t>
      </w:r>
      <w:r w:rsidR="00F96240">
        <w:rPr>
          <w:shd w:val="clear" w:color="auto" w:fill="FFFFFF"/>
        </w:rPr>
        <w:t> </w:t>
      </w:r>
      <w:r w:rsidR="00F96240" w:rsidRPr="000E4F58">
        <w:rPr>
          <w:shd w:val="clear" w:color="auto" w:fill="FFFFFF"/>
        </w:rPr>
        <w:t>poz</w:t>
      </w:r>
      <w:r w:rsidRPr="000E4F58">
        <w:rPr>
          <w:shd w:val="clear" w:color="auto" w:fill="FFFFFF"/>
        </w:rPr>
        <w:t>bawieniu wolności</w:t>
      </w:r>
      <w:r w:rsidR="00F96240" w:rsidRPr="000E4F58">
        <w:rPr>
          <w:shd w:val="clear" w:color="auto" w:fill="FFFFFF"/>
        </w:rPr>
        <w:t xml:space="preserve"> i</w:t>
      </w:r>
      <w:r w:rsidR="00F96240">
        <w:rPr>
          <w:shd w:val="clear" w:color="auto" w:fill="FFFFFF"/>
        </w:rPr>
        <w:t> </w:t>
      </w:r>
      <w:r w:rsidR="00F96240" w:rsidRPr="000E4F58">
        <w:rPr>
          <w:shd w:val="clear" w:color="auto" w:fill="FFFFFF"/>
        </w:rPr>
        <w:t>pra</w:t>
      </w:r>
      <w:r w:rsidRPr="000E4F58">
        <w:rPr>
          <w:shd w:val="clear" w:color="auto" w:fill="FFFFFF"/>
        </w:rPr>
        <w:t>wa do porozumiewania się</w:t>
      </w:r>
      <w:r w:rsidR="00F96240" w:rsidRPr="000E4F58">
        <w:rPr>
          <w:shd w:val="clear" w:color="auto" w:fill="FFFFFF"/>
        </w:rPr>
        <w:t xml:space="preserve"> z</w:t>
      </w:r>
      <w:r w:rsidR="00F96240">
        <w:rPr>
          <w:shd w:val="clear" w:color="auto" w:fill="FFFFFF"/>
        </w:rPr>
        <w:t> </w:t>
      </w:r>
      <w:r w:rsidR="00F96240" w:rsidRPr="000E4F58">
        <w:rPr>
          <w:shd w:val="clear" w:color="auto" w:fill="FFFFFF"/>
        </w:rPr>
        <w:t>oso</w:t>
      </w:r>
      <w:r w:rsidRPr="000E4F58">
        <w:rPr>
          <w:shd w:val="clear" w:color="auto" w:fill="FFFFFF"/>
        </w:rPr>
        <w:t>bami trzecimi</w:t>
      </w:r>
      <w:r w:rsidR="00F96240" w:rsidRPr="000E4F58">
        <w:rPr>
          <w:shd w:val="clear" w:color="auto" w:fill="FFFFFF"/>
        </w:rPr>
        <w:t xml:space="preserve"> i</w:t>
      </w:r>
      <w:r w:rsidR="00F96240">
        <w:rPr>
          <w:shd w:val="clear" w:color="auto" w:fill="FFFFFF"/>
        </w:rPr>
        <w:t> </w:t>
      </w:r>
      <w:r w:rsidR="00F96240" w:rsidRPr="000E4F58">
        <w:rPr>
          <w:shd w:val="clear" w:color="auto" w:fill="FFFFFF"/>
        </w:rPr>
        <w:t>org</w:t>
      </w:r>
      <w:r w:rsidRPr="000E4F58">
        <w:rPr>
          <w:shd w:val="clear" w:color="auto" w:fill="FFFFFF"/>
        </w:rPr>
        <w:t>anami konsularnymi</w:t>
      </w:r>
      <w:r w:rsidR="00F96240" w:rsidRPr="000E4F58">
        <w:rPr>
          <w:shd w:val="clear" w:color="auto" w:fill="FFFFFF"/>
        </w:rPr>
        <w:t xml:space="preserve"> w</w:t>
      </w:r>
      <w:r w:rsidR="00F96240">
        <w:rPr>
          <w:shd w:val="clear" w:color="auto" w:fill="FFFFFF"/>
        </w:rPr>
        <w:t> </w:t>
      </w:r>
      <w:r w:rsidR="00F96240" w:rsidRPr="000E4F58">
        <w:rPr>
          <w:shd w:val="clear" w:color="auto" w:fill="FFFFFF"/>
        </w:rPr>
        <w:t>cza</w:t>
      </w:r>
      <w:r w:rsidRPr="000E4F58">
        <w:rPr>
          <w:shd w:val="clear" w:color="auto" w:fill="FFFFFF"/>
        </w:rPr>
        <w:t>sie pozbawienia wolności, Dz.U. L 294</w:t>
      </w:r>
      <w:r w:rsidR="00F96240" w:rsidRPr="000E4F58">
        <w:rPr>
          <w:shd w:val="clear" w:color="auto" w:fill="FFFFFF"/>
        </w:rPr>
        <w:t xml:space="preserve"> z</w:t>
      </w:r>
      <w:r w:rsidR="00F96240">
        <w:rPr>
          <w:shd w:val="clear" w:color="auto" w:fill="FFFFFF"/>
        </w:rPr>
        <w:t> </w:t>
      </w:r>
      <w:r w:rsidR="00F96240" w:rsidRPr="000E4F58">
        <w:rPr>
          <w:shd w:val="clear" w:color="auto" w:fill="FFFFFF"/>
        </w:rPr>
        <w:t>6</w:t>
      </w:r>
      <w:r w:rsidRPr="000E4F58">
        <w:rPr>
          <w:shd w:val="clear" w:color="auto" w:fill="FFFFFF"/>
        </w:rPr>
        <w:t>.11.2013, s. 1; dyrektywa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(UE) 2016/1919</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26 października 20</w:t>
      </w:r>
      <w:r w:rsidRPr="00F96240">
        <w:rPr>
          <w:shd w:val="clear" w:color="auto" w:fill="FFFFFF"/>
        </w:rPr>
        <w:t>16</w:t>
      </w:r>
      <w:r w:rsidR="00F96240" w:rsidRPr="00F96240">
        <w:rPr>
          <w:shd w:val="clear" w:color="auto" w:fill="FFFFFF"/>
        </w:rPr>
        <w:t> </w:t>
      </w:r>
      <w:r w:rsidRPr="00F96240">
        <w:rPr>
          <w:shd w:val="clear" w:color="auto" w:fill="FFFFFF"/>
        </w:rPr>
        <w:t>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pomocy prawnej</w:t>
      </w:r>
      <w:r w:rsidR="00F96240" w:rsidRPr="000E4F58">
        <w:rPr>
          <w:shd w:val="clear" w:color="auto" w:fill="FFFFFF"/>
        </w:rPr>
        <w:t xml:space="preserve"> z</w:t>
      </w:r>
      <w:r w:rsidR="00F96240">
        <w:rPr>
          <w:shd w:val="clear" w:color="auto" w:fill="FFFFFF"/>
        </w:rPr>
        <w:t> </w:t>
      </w:r>
      <w:r w:rsidR="00F96240" w:rsidRPr="000E4F58">
        <w:rPr>
          <w:shd w:val="clear" w:color="auto" w:fill="FFFFFF"/>
        </w:rPr>
        <w:t>urz</w:t>
      </w:r>
      <w:r w:rsidRPr="000E4F58">
        <w:rPr>
          <w:shd w:val="clear" w:color="auto" w:fill="FFFFFF"/>
        </w:rPr>
        <w:t>ędu dla podejrzanych</w:t>
      </w:r>
      <w:r w:rsidR="00F96240" w:rsidRPr="000E4F58">
        <w:rPr>
          <w:shd w:val="clear" w:color="auto" w:fill="FFFFFF"/>
        </w:rPr>
        <w:t xml:space="preserve"> i</w:t>
      </w:r>
      <w:r w:rsidR="00F96240">
        <w:rPr>
          <w:shd w:val="clear" w:color="auto" w:fill="FFFFFF"/>
        </w:rPr>
        <w:t> </w:t>
      </w:r>
      <w:r w:rsidR="00F96240" w:rsidRPr="000E4F58">
        <w:rPr>
          <w:shd w:val="clear" w:color="auto" w:fill="FFFFFF"/>
        </w:rPr>
        <w:t>osk</w:t>
      </w:r>
      <w:r w:rsidRPr="000E4F58">
        <w:rPr>
          <w:shd w:val="clear" w:color="auto" w:fill="FFFFFF"/>
        </w:rPr>
        <w:t>arżonych</w:t>
      </w:r>
      <w:r w:rsidR="00F96240" w:rsidRPr="000E4F58">
        <w:rPr>
          <w:shd w:val="clear" w:color="auto" w:fill="FFFFFF"/>
        </w:rPr>
        <w:t xml:space="preserve"> w</w:t>
      </w:r>
      <w:r w:rsidR="00F96240">
        <w:rPr>
          <w:shd w:val="clear" w:color="auto" w:fill="FFFFFF"/>
        </w:rPr>
        <w:t> </w:t>
      </w:r>
      <w:r w:rsidR="00F96240" w:rsidRPr="000E4F58">
        <w:rPr>
          <w:shd w:val="clear" w:color="auto" w:fill="FFFFFF"/>
        </w:rPr>
        <w:t>pos</w:t>
      </w:r>
      <w:r w:rsidRPr="000E4F58">
        <w:rPr>
          <w:shd w:val="clear" w:color="auto" w:fill="FFFFFF"/>
        </w:rPr>
        <w:t>tępowaniu karnym oraz dla osób, których dotyczy wniosek</w:t>
      </w:r>
      <w:r w:rsidR="00F96240" w:rsidRPr="000E4F58">
        <w:rPr>
          <w:shd w:val="clear" w:color="auto" w:fill="FFFFFF"/>
        </w:rPr>
        <w:t xml:space="preserve"> w</w:t>
      </w:r>
      <w:r w:rsidR="00F96240">
        <w:rPr>
          <w:shd w:val="clear" w:color="auto" w:fill="FFFFFF"/>
        </w:rPr>
        <w:t> </w:t>
      </w:r>
      <w:r w:rsidR="00F96240" w:rsidRPr="000E4F58">
        <w:rPr>
          <w:shd w:val="clear" w:color="auto" w:fill="FFFFFF"/>
        </w:rPr>
        <w:t>pos</w:t>
      </w:r>
      <w:r w:rsidRPr="000E4F58">
        <w:rPr>
          <w:shd w:val="clear" w:color="auto" w:fill="FFFFFF"/>
        </w:rPr>
        <w:t>tępowaniu dotyczącym europejskiego nakazu aresztowania, Dz.U. L 297</w:t>
      </w:r>
      <w:r w:rsidR="00F96240" w:rsidRPr="000E4F58">
        <w:rPr>
          <w:shd w:val="clear" w:color="auto" w:fill="FFFFFF"/>
        </w:rPr>
        <w:t xml:space="preserve"> z</w:t>
      </w:r>
      <w:r w:rsidR="00F96240">
        <w:rPr>
          <w:shd w:val="clear" w:color="auto" w:fill="FFFFFF"/>
        </w:rPr>
        <w:t> </w:t>
      </w:r>
      <w:r w:rsidR="00F96240" w:rsidRPr="000E4F58">
        <w:rPr>
          <w:shd w:val="clear" w:color="auto" w:fill="FFFFFF"/>
        </w:rPr>
        <w:t>4</w:t>
      </w:r>
      <w:r w:rsidRPr="000E4F58">
        <w:rPr>
          <w:shd w:val="clear" w:color="auto" w:fill="FFFFFF"/>
        </w:rPr>
        <w:t>.11.2016, s. 1; dyrektywa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(UE) 2016/800</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11 maja 20</w:t>
      </w:r>
      <w:r w:rsidRPr="00F96240">
        <w:rPr>
          <w:shd w:val="clear" w:color="auto" w:fill="FFFFFF"/>
        </w:rPr>
        <w:t>16</w:t>
      </w:r>
      <w:r w:rsidR="00F96240" w:rsidRPr="00F96240">
        <w:rPr>
          <w:shd w:val="clear" w:color="auto" w:fill="FFFFFF"/>
        </w:rPr>
        <w:t> </w:t>
      </w:r>
      <w:r w:rsidRPr="00F96240">
        <w:rPr>
          <w:shd w:val="clear" w:color="auto" w:fill="FFFFFF"/>
        </w:rPr>
        <w:t>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gwarancji procesowych dla dzieci będących podejrzanymi lub oskarżonymi</w:t>
      </w:r>
      <w:r w:rsidR="00F96240" w:rsidRPr="000E4F58">
        <w:rPr>
          <w:shd w:val="clear" w:color="auto" w:fill="FFFFFF"/>
        </w:rPr>
        <w:t xml:space="preserve"> w</w:t>
      </w:r>
      <w:r w:rsidR="00F96240">
        <w:rPr>
          <w:shd w:val="clear" w:color="auto" w:fill="FFFFFF"/>
        </w:rPr>
        <w:t> </w:t>
      </w:r>
      <w:r w:rsidR="00F96240" w:rsidRPr="000E4F58">
        <w:rPr>
          <w:shd w:val="clear" w:color="auto" w:fill="FFFFFF"/>
        </w:rPr>
        <w:t>pos</w:t>
      </w:r>
      <w:r w:rsidRPr="000E4F58">
        <w:rPr>
          <w:shd w:val="clear" w:color="auto" w:fill="FFFFFF"/>
        </w:rPr>
        <w:t>tępowaniu karnym, Dz.U. L 132</w:t>
      </w:r>
      <w:r w:rsidR="00F96240" w:rsidRPr="000E4F58">
        <w:rPr>
          <w:shd w:val="clear" w:color="auto" w:fill="FFFFFF"/>
        </w:rPr>
        <w:t xml:space="preserve"> z</w:t>
      </w:r>
      <w:r w:rsidR="00F96240">
        <w:rPr>
          <w:shd w:val="clear" w:color="auto" w:fill="FFFFFF"/>
        </w:rPr>
        <w:t> </w:t>
      </w:r>
      <w:r w:rsidR="00F96240" w:rsidRPr="000E4F58">
        <w:rPr>
          <w:shd w:val="clear" w:color="auto" w:fill="FFFFFF"/>
        </w:rPr>
        <w:t>2</w:t>
      </w:r>
      <w:r w:rsidRPr="000E4F58">
        <w:rPr>
          <w:shd w:val="clear" w:color="auto" w:fill="FFFFFF"/>
        </w:rPr>
        <w:t>1.5.2016, s. 1; dyrektywa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(UE) 2016/343</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9 marca 20</w:t>
      </w:r>
      <w:r w:rsidRPr="00F96240">
        <w:rPr>
          <w:shd w:val="clear" w:color="auto" w:fill="FFFFFF"/>
        </w:rPr>
        <w:t>16</w:t>
      </w:r>
      <w:r w:rsidR="00F96240" w:rsidRPr="00F96240">
        <w:rPr>
          <w:shd w:val="clear" w:color="auto" w:fill="FFFFFF"/>
        </w:rPr>
        <w:t> </w:t>
      </w:r>
      <w:r w:rsidRPr="00F96240">
        <w:rPr>
          <w:shd w:val="clear" w:color="auto" w:fill="FFFFFF"/>
        </w:rPr>
        <w:t>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wzmocnienia niektórych aspektów domniemania niewinności</w:t>
      </w:r>
      <w:r w:rsidR="00F96240" w:rsidRPr="000E4F58">
        <w:rPr>
          <w:shd w:val="clear" w:color="auto" w:fill="FFFFFF"/>
        </w:rPr>
        <w:t xml:space="preserve"> i</w:t>
      </w:r>
      <w:r w:rsidR="00F96240">
        <w:rPr>
          <w:shd w:val="clear" w:color="auto" w:fill="FFFFFF"/>
        </w:rPr>
        <w:t> </w:t>
      </w:r>
      <w:r w:rsidR="00F96240" w:rsidRPr="000E4F58">
        <w:rPr>
          <w:shd w:val="clear" w:color="auto" w:fill="FFFFFF"/>
        </w:rPr>
        <w:t>pra</w:t>
      </w:r>
      <w:r w:rsidRPr="000E4F58">
        <w:rPr>
          <w:shd w:val="clear" w:color="auto" w:fill="FFFFFF"/>
        </w:rPr>
        <w:t>wa do obecności na rozprawie</w:t>
      </w:r>
      <w:r w:rsidR="00F96240" w:rsidRPr="000E4F58">
        <w:rPr>
          <w:shd w:val="clear" w:color="auto" w:fill="FFFFFF"/>
        </w:rPr>
        <w:t xml:space="preserve"> w</w:t>
      </w:r>
      <w:r w:rsidR="00F96240">
        <w:rPr>
          <w:shd w:val="clear" w:color="auto" w:fill="FFFFFF"/>
        </w:rPr>
        <w:t> </w:t>
      </w:r>
      <w:r w:rsidR="00F96240" w:rsidRPr="000E4F58">
        <w:rPr>
          <w:shd w:val="clear" w:color="auto" w:fill="FFFFFF"/>
        </w:rPr>
        <w:t>pos</w:t>
      </w:r>
      <w:r w:rsidRPr="000E4F58">
        <w:rPr>
          <w:shd w:val="clear" w:color="auto" w:fill="FFFFFF"/>
        </w:rPr>
        <w:t>tępowaniu karnym, Dz.U. L 65</w:t>
      </w:r>
      <w:r w:rsidR="00F96240" w:rsidRPr="000E4F58">
        <w:rPr>
          <w:shd w:val="clear" w:color="auto" w:fill="FFFFFF"/>
        </w:rPr>
        <w:t xml:space="preserve"> z</w:t>
      </w:r>
      <w:r w:rsidR="00F96240">
        <w:rPr>
          <w:shd w:val="clear" w:color="auto" w:fill="FFFFFF"/>
        </w:rPr>
        <w:t> </w:t>
      </w:r>
      <w:r w:rsidR="00F96240" w:rsidRPr="000E4F58">
        <w:rPr>
          <w:shd w:val="clear" w:color="auto" w:fill="FFFFFF"/>
        </w:rPr>
        <w:t>1</w:t>
      </w:r>
      <w:r w:rsidRPr="000E4F58">
        <w:rPr>
          <w:shd w:val="clear" w:color="auto" w:fill="FFFFFF"/>
        </w:rPr>
        <w:t>1.3.2016, s. 1.</w:t>
      </w:r>
    </w:p>
  </w:footnote>
  <w:footnote w:id="40">
    <w:p w14:paraId="0F54E100" w14:textId="4DDCF761" w:rsidR="004761D8" w:rsidRPr="000E4F58" w:rsidRDefault="004761D8" w:rsidP="0083480C">
      <w:pPr>
        <w:pStyle w:val="FootnoteText"/>
      </w:pPr>
      <w:r>
        <w:rPr>
          <w:rStyle w:val="FootnoteReference"/>
        </w:rPr>
        <w:footnoteRef/>
      </w:r>
      <w:r w:rsidRPr="000E4F58">
        <w:tab/>
      </w:r>
      <w:r w:rsidRPr="000E4F58">
        <w:rPr>
          <w:shd w:val="clear" w:color="auto" w:fill="FFFFFF"/>
        </w:rPr>
        <w:t>Rozporządzenie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(UE) 2016/679</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27 kwietnia 20</w:t>
      </w:r>
      <w:r w:rsidRPr="00F96240">
        <w:rPr>
          <w:shd w:val="clear" w:color="auto" w:fill="FFFFFF"/>
        </w:rPr>
        <w:t>16</w:t>
      </w:r>
      <w:r w:rsidR="00F96240" w:rsidRPr="00F96240">
        <w:rPr>
          <w:shd w:val="clear" w:color="auto" w:fill="FFFFFF"/>
        </w:rPr>
        <w:t> </w:t>
      </w:r>
      <w:r w:rsidRPr="00F96240">
        <w:rPr>
          <w:shd w:val="clear" w:color="auto" w:fill="FFFFFF"/>
        </w:rPr>
        <w:t>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ochrony osób fizycznych</w:t>
      </w:r>
      <w:r w:rsidR="00F96240" w:rsidRPr="000E4F58">
        <w:rPr>
          <w:shd w:val="clear" w:color="auto" w:fill="FFFFFF"/>
        </w:rPr>
        <w:t xml:space="preserve"> w</w:t>
      </w:r>
      <w:r w:rsidR="00F96240">
        <w:rPr>
          <w:shd w:val="clear" w:color="auto" w:fill="FFFFFF"/>
        </w:rPr>
        <w:t> </w:t>
      </w:r>
      <w:r w:rsidR="00F96240" w:rsidRPr="000E4F58">
        <w:rPr>
          <w:shd w:val="clear" w:color="auto" w:fill="FFFFFF"/>
        </w:rPr>
        <w:t>zwi</w:t>
      </w:r>
      <w:r w:rsidRPr="000E4F58">
        <w:rPr>
          <w:shd w:val="clear" w:color="auto" w:fill="FFFFFF"/>
        </w:rPr>
        <w:t>ązku</w:t>
      </w:r>
      <w:r w:rsidR="00F96240" w:rsidRPr="000E4F58">
        <w:rPr>
          <w:shd w:val="clear" w:color="auto" w:fill="FFFFFF"/>
        </w:rPr>
        <w:t xml:space="preserve"> z</w:t>
      </w:r>
      <w:r w:rsidR="00F96240">
        <w:rPr>
          <w:shd w:val="clear" w:color="auto" w:fill="FFFFFF"/>
        </w:rPr>
        <w:t> </w:t>
      </w:r>
      <w:r w:rsidR="00F96240" w:rsidRPr="000E4F58">
        <w:rPr>
          <w:shd w:val="clear" w:color="auto" w:fill="FFFFFF"/>
        </w:rPr>
        <w:t>prz</w:t>
      </w:r>
      <w:r w:rsidRPr="000E4F58">
        <w:rPr>
          <w:shd w:val="clear" w:color="auto" w:fill="FFFFFF"/>
        </w:rPr>
        <w:t>etwarzaniem danych osobowych</w:t>
      </w:r>
      <w:r w:rsidR="00F96240" w:rsidRPr="000E4F58">
        <w:rPr>
          <w:shd w:val="clear" w:color="auto" w:fill="FFFFFF"/>
        </w:rPr>
        <w:t xml:space="preserve"> i</w:t>
      </w:r>
      <w:r w:rsidR="00F96240">
        <w:rPr>
          <w:shd w:val="clear" w:color="auto" w:fill="FFFFFF"/>
        </w:rPr>
        <w:t> </w:t>
      </w:r>
      <w:r w:rsidR="00F96240" w:rsidRPr="000E4F58">
        <w:rPr>
          <w:shd w:val="clear" w:color="auto" w:fill="FFFFFF"/>
        </w:rPr>
        <w:t>w</w:t>
      </w:r>
      <w:r w:rsidR="00F96240">
        <w:rPr>
          <w:shd w:val="clear" w:color="auto" w:fill="FFFFFF"/>
        </w:rPr>
        <w:t> </w:t>
      </w:r>
      <w:r w:rsidR="00F96240" w:rsidRPr="000E4F58">
        <w:rPr>
          <w:shd w:val="clear" w:color="auto" w:fill="FFFFFF"/>
        </w:rPr>
        <w:t>spr</w:t>
      </w:r>
      <w:r w:rsidRPr="000E4F58">
        <w:rPr>
          <w:shd w:val="clear" w:color="auto" w:fill="FFFFFF"/>
        </w:rPr>
        <w:t>awie swobodnego przepływu takich danych oraz uchylenia dyrektywy 95/46/WE; dyrektywa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(UE) 2016/680</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27 kwietnia 20</w:t>
      </w:r>
      <w:r w:rsidRPr="00F96240">
        <w:rPr>
          <w:shd w:val="clear" w:color="auto" w:fill="FFFFFF"/>
        </w:rPr>
        <w:t>16</w:t>
      </w:r>
      <w:r w:rsidR="00F96240" w:rsidRPr="00F96240">
        <w:rPr>
          <w:shd w:val="clear" w:color="auto" w:fill="FFFFFF"/>
        </w:rPr>
        <w:t> </w:t>
      </w:r>
      <w:r w:rsidRPr="00F96240">
        <w:rPr>
          <w:shd w:val="clear" w:color="auto" w:fill="FFFFFF"/>
        </w:rPr>
        <w:t>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ochrony osób fizycznych</w:t>
      </w:r>
      <w:r w:rsidR="00F96240" w:rsidRPr="000E4F58">
        <w:rPr>
          <w:shd w:val="clear" w:color="auto" w:fill="FFFFFF"/>
        </w:rPr>
        <w:t xml:space="preserve"> w</w:t>
      </w:r>
      <w:r w:rsidR="00F96240">
        <w:rPr>
          <w:shd w:val="clear" w:color="auto" w:fill="FFFFFF"/>
        </w:rPr>
        <w:t> </w:t>
      </w:r>
      <w:r w:rsidR="00F96240" w:rsidRPr="000E4F58">
        <w:rPr>
          <w:shd w:val="clear" w:color="auto" w:fill="FFFFFF"/>
        </w:rPr>
        <w:t>zwi</w:t>
      </w:r>
      <w:r w:rsidRPr="000E4F58">
        <w:rPr>
          <w:shd w:val="clear" w:color="auto" w:fill="FFFFFF"/>
        </w:rPr>
        <w:t>ązku</w:t>
      </w:r>
      <w:r w:rsidR="00F96240" w:rsidRPr="000E4F58">
        <w:rPr>
          <w:shd w:val="clear" w:color="auto" w:fill="FFFFFF"/>
        </w:rPr>
        <w:t xml:space="preserve"> z</w:t>
      </w:r>
      <w:r w:rsidR="00F96240">
        <w:rPr>
          <w:shd w:val="clear" w:color="auto" w:fill="FFFFFF"/>
        </w:rPr>
        <w:t> </w:t>
      </w:r>
      <w:r w:rsidR="00F96240" w:rsidRPr="000E4F58">
        <w:rPr>
          <w:shd w:val="clear" w:color="auto" w:fill="FFFFFF"/>
        </w:rPr>
        <w:t>prz</w:t>
      </w:r>
      <w:r w:rsidRPr="000E4F58">
        <w:rPr>
          <w:shd w:val="clear" w:color="auto" w:fill="FFFFFF"/>
        </w:rPr>
        <w:t>etwarzaniem danych osobowych przez właściwe organy do celów zapobiegania przestępczości, prowadzenia postępowań przygotowawczych, wykrywania</w:t>
      </w:r>
      <w:r w:rsidR="00F96240" w:rsidRPr="000E4F58">
        <w:rPr>
          <w:shd w:val="clear" w:color="auto" w:fill="FFFFFF"/>
        </w:rPr>
        <w:t xml:space="preserve"> i</w:t>
      </w:r>
      <w:r w:rsidR="00F96240">
        <w:rPr>
          <w:shd w:val="clear" w:color="auto" w:fill="FFFFFF"/>
        </w:rPr>
        <w:t> </w:t>
      </w:r>
      <w:r w:rsidR="00F96240" w:rsidRPr="000E4F58">
        <w:rPr>
          <w:shd w:val="clear" w:color="auto" w:fill="FFFFFF"/>
        </w:rPr>
        <w:t>ści</w:t>
      </w:r>
      <w:r w:rsidRPr="000E4F58">
        <w:rPr>
          <w:shd w:val="clear" w:color="auto" w:fill="FFFFFF"/>
        </w:rPr>
        <w:t>gania czynów zabronionych</w:t>
      </w:r>
      <w:r w:rsidR="00F96240" w:rsidRPr="000E4F58">
        <w:rPr>
          <w:shd w:val="clear" w:color="auto" w:fill="FFFFFF"/>
        </w:rPr>
        <w:t xml:space="preserve"> i</w:t>
      </w:r>
      <w:r w:rsidR="00F96240">
        <w:rPr>
          <w:shd w:val="clear" w:color="auto" w:fill="FFFFFF"/>
        </w:rPr>
        <w:t> </w:t>
      </w:r>
      <w:r w:rsidR="00F96240" w:rsidRPr="000E4F58">
        <w:rPr>
          <w:shd w:val="clear" w:color="auto" w:fill="FFFFFF"/>
        </w:rPr>
        <w:t>wyk</w:t>
      </w:r>
      <w:r w:rsidRPr="000E4F58">
        <w:rPr>
          <w:shd w:val="clear" w:color="auto" w:fill="FFFFFF"/>
        </w:rPr>
        <w:t>onywania kar,</w:t>
      </w:r>
      <w:r w:rsidR="00F96240" w:rsidRPr="000E4F58">
        <w:rPr>
          <w:shd w:val="clear" w:color="auto" w:fill="FFFFFF"/>
        </w:rPr>
        <w:t xml:space="preserve"> w</w:t>
      </w:r>
      <w:r w:rsidR="00F96240">
        <w:rPr>
          <w:shd w:val="clear" w:color="auto" w:fill="FFFFFF"/>
        </w:rPr>
        <w:t> </w:t>
      </w:r>
      <w:r w:rsidR="00F96240" w:rsidRPr="000E4F58">
        <w:rPr>
          <w:shd w:val="clear" w:color="auto" w:fill="FFFFFF"/>
        </w:rPr>
        <w:t>spr</w:t>
      </w:r>
      <w:r w:rsidRPr="000E4F58">
        <w:rPr>
          <w:shd w:val="clear" w:color="auto" w:fill="FFFFFF"/>
        </w:rPr>
        <w:t>awie swobodnego przepływu takich danych oraz uchylająca decyzję ramową Rady 2008/977/WSiSW; dyrektywa 2002/58/WE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12 lipca 20</w:t>
      </w:r>
      <w:r w:rsidRPr="00F96240">
        <w:rPr>
          <w:shd w:val="clear" w:color="auto" w:fill="FFFFFF"/>
        </w:rPr>
        <w:t>02</w:t>
      </w:r>
      <w:r w:rsidR="00F96240" w:rsidRPr="00F96240">
        <w:rPr>
          <w:shd w:val="clear" w:color="auto" w:fill="FFFFFF"/>
        </w:rPr>
        <w:t> </w:t>
      </w:r>
      <w:r w:rsidRPr="00F96240">
        <w:rPr>
          <w:shd w:val="clear" w:color="auto" w:fill="FFFFFF"/>
        </w:rPr>
        <w:t>r.</w:t>
      </w:r>
      <w:r w:rsidRPr="000E4F58">
        <w:rPr>
          <w:shd w:val="clear" w:color="auto" w:fill="FFFFFF"/>
        </w:rPr>
        <w:t xml:space="preserve"> dotycząca przetwarzania danych osobowych</w:t>
      </w:r>
      <w:r w:rsidR="00F96240" w:rsidRPr="000E4F58">
        <w:rPr>
          <w:shd w:val="clear" w:color="auto" w:fill="FFFFFF"/>
        </w:rPr>
        <w:t xml:space="preserve"> i</w:t>
      </w:r>
      <w:r w:rsidR="00F96240">
        <w:rPr>
          <w:shd w:val="clear" w:color="auto" w:fill="FFFFFF"/>
        </w:rPr>
        <w:t> </w:t>
      </w:r>
      <w:r w:rsidR="00F96240" w:rsidRPr="000E4F58">
        <w:rPr>
          <w:shd w:val="clear" w:color="auto" w:fill="FFFFFF"/>
        </w:rPr>
        <w:t>och</w:t>
      </w:r>
      <w:r w:rsidRPr="000E4F58">
        <w:rPr>
          <w:shd w:val="clear" w:color="auto" w:fill="FFFFFF"/>
        </w:rPr>
        <w:t>rony prywatności</w:t>
      </w:r>
      <w:r w:rsidR="00F96240" w:rsidRPr="000E4F58">
        <w:rPr>
          <w:shd w:val="clear" w:color="auto" w:fill="FFFFFF"/>
        </w:rPr>
        <w:t xml:space="preserve"> w</w:t>
      </w:r>
      <w:r w:rsidR="00F96240">
        <w:rPr>
          <w:shd w:val="clear" w:color="auto" w:fill="FFFFFF"/>
        </w:rPr>
        <w:t> </w:t>
      </w:r>
      <w:r w:rsidR="00F96240" w:rsidRPr="000E4F58">
        <w:rPr>
          <w:shd w:val="clear" w:color="auto" w:fill="FFFFFF"/>
        </w:rPr>
        <w:t>sek</w:t>
      </w:r>
      <w:r w:rsidRPr="000E4F58">
        <w:rPr>
          <w:shd w:val="clear" w:color="auto" w:fill="FFFFFF"/>
        </w:rPr>
        <w:t>torze łączności elektronicznej (dyrektywa</w:t>
      </w:r>
      <w:r w:rsidR="00F96240" w:rsidRPr="000E4F58">
        <w:rPr>
          <w:shd w:val="clear" w:color="auto" w:fill="FFFFFF"/>
        </w:rPr>
        <w:t xml:space="preserve"> o</w:t>
      </w:r>
      <w:r w:rsidR="00F96240">
        <w:rPr>
          <w:shd w:val="clear" w:color="auto" w:fill="FFFFFF"/>
        </w:rPr>
        <w:t> </w:t>
      </w:r>
      <w:r w:rsidR="00F96240" w:rsidRPr="000E4F58">
        <w:rPr>
          <w:shd w:val="clear" w:color="auto" w:fill="FFFFFF"/>
        </w:rPr>
        <w:t>pry</w:t>
      </w:r>
      <w:r w:rsidRPr="000E4F58">
        <w:rPr>
          <w:shd w:val="clear" w:color="auto" w:fill="FFFFFF"/>
        </w:rPr>
        <w:t>watności</w:t>
      </w:r>
      <w:r w:rsidR="00F96240" w:rsidRPr="000E4F58">
        <w:rPr>
          <w:shd w:val="clear" w:color="auto" w:fill="FFFFFF"/>
        </w:rPr>
        <w:t xml:space="preserve"> i</w:t>
      </w:r>
      <w:r w:rsidR="00F96240">
        <w:rPr>
          <w:shd w:val="clear" w:color="auto" w:fill="FFFFFF"/>
        </w:rPr>
        <w:t> </w:t>
      </w:r>
      <w:r w:rsidR="00F96240" w:rsidRPr="000E4F58">
        <w:rPr>
          <w:shd w:val="clear" w:color="auto" w:fill="FFFFFF"/>
        </w:rPr>
        <w:t>łąc</w:t>
      </w:r>
      <w:r w:rsidRPr="000E4F58">
        <w:rPr>
          <w:shd w:val="clear" w:color="auto" w:fill="FFFFFF"/>
        </w:rPr>
        <w:t>zności elektronicznej), Dz.U. L 201</w:t>
      </w:r>
      <w:r w:rsidR="00F96240" w:rsidRPr="000E4F58">
        <w:rPr>
          <w:shd w:val="clear" w:color="auto" w:fill="FFFFFF"/>
        </w:rPr>
        <w:t xml:space="preserve"> z</w:t>
      </w:r>
      <w:r w:rsidR="00F96240">
        <w:rPr>
          <w:shd w:val="clear" w:color="auto" w:fill="FFFFFF"/>
        </w:rPr>
        <w:t> </w:t>
      </w:r>
      <w:r w:rsidR="00F96240" w:rsidRPr="000E4F58">
        <w:rPr>
          <w:shd w:val="clear" w:color="auto" w:fill="FFFFFF"/>
        </w:rPr>
        <w:t>3</w:t>
      </w:r>
      <w:r w:rsidRPr="000E4F58">
        <w:rPr>
          <w:shd w:val="clear" w:color="auto" w:fill="FFFFFF"/>
        </w:rPr>
        <w:t>1.7.2002, s. 37, zmieniona dyrektywą Parlamentu Europejskiego</w:t>
      </w:r>
      <w:r w:rsidR="00F96240" w:rsidRPr="000E4F58">
        <w:rPr>
          <w:shd w:val="clear" w:color="auto" w:fill="FFFFFF"/>
        </w:rPr>
        <w:t xml:space="preserve"> i</w:t>
      </w:r>
      <w:r w:rsidR="00F96240">
        <w:rPr>
          <w:shd w:val="clear" w:color="auto" w:fill="FFFFFF"/>
        </w:rPr>
        <w:t> </w:t>
      </w:r>
      <w:r w:rsidR="00F96240" w:rsidRPr="000E4F58">
        <w:rPr>
          <w:shd w:val="clear" w:color="auto" w:fill="FFFFFF"/>
        </w:rPr>
        <w:t>Rad</w:t>
      </w:r>
      <w:r w:rsidRPr="000E4F58">
        <w:rPr>
          <w:shd w:val="clear" w:color="auto" w:fill="FFFFFF"/>
        </w:rPr>
        <w:t>y 2009/136/WE</w:t>
      </w:r>
      <w:r w:rsidR="00F96240" w:rsidRPr="000E4F58">
        <w:rPr>
          <w:shd w:val="clear" w:color="auto" w:fill="FFFFFF"/>
        </w:rPr>
        <w:t xml:space="preserve"> z</w:t>
      </w:r>
      <w:r w:rsidR="00F96240">
        <w:rPr>
          <w:shd w:val="clear" w:color="auto" w:fill="FFFFFF"/>
        </w:rPr>
        <w:t> </w:t>
      </w:r>
      <w:r w:rsidR="00F96240" w:rsidRPr="000E4F58">
        <w:rPr>
          <w:shd w:val="clear" w:color="auto" w:fill="FFFFFF"/>
        </w:rPr>
        <w:t>dni</w:t>
      </w:r>
      <w:r w:rsidRPr="000E4F58">
        <w:rPr>
          <w:shd w:val="clear" w:color="auto" w:fill="FFFFFF"/>
        </w:rPr>
        <w:t>a 25 listopada 20</w:t>
      </w:r>
      <w:r w:rsidRPr="00F96240">
        <w:rPr>
          <w:shd w:val="clear" w:color="auto" w:fill="FFFFFF"/>
        </w:rPr>
        <w:t>09</w:t>
      </w:r>
      <w:r w:rsidR="00F96240" w:rsidRPr="00F96240">
        <w:rPr>
          <w:shd w:val="clear" w:color="auto" w:fill="FFFFFF"/>
        </w:rPr>
        <w:t> </w:t>
      </w:r>
      <w:r w:rsidRPr="00F96240">
        <w:rPr>
          <w:shd w:val="clear" w:color="auto" w:fill="FFFFFF"/>
        </w:rPr>
        <w:t>r.</w:t>
      </w:r>
    </w:p>
  </w:footnote>
  <w:footnote w:id="41">
    <w:p w14:paraId="46487A24" w14:textId="0286B4CA" w:rsidR="0083480C" w:rsidRPr="000E4F58" w:rsidRDefault="0083480C">
      <w:pPr>
        <w:pStyle w:val="FootnoteText"/>
      </w:pPr>
      <w:r>
        <w:rPr>
          <w:rStyle w:val="FootnoteReference"/>
        </w:rPr>
        <w:footnoteRef/>
      </w:r>
      <w:r w:rsidRPr="000E4F58">
        <w:tab/>
        <w:t>Wniosek dotyczący rozporządzenia Parlamentu Europejskiego</w:t>
      </w:r>
      <w:r w:rsidR="00F96240" w:rsidRPr="000E4F58">
        <w:t xml:space="preserve"> i</w:t>
      </w:r>
      <w:r w:rsidR="00F96240">
        <w:t> </w:t>
      </w:r>
      <w:r w:rsidR="00F96240" w:rsidRPr="000E4F58">
        <w:t>Rad</w:t>
      </w:r>
      <w:r w:rsidRPr="000E4F58">
        <w:t>y</w:t>
      </w:r>
      <w:r w:rsidR="00F96240" w:rsidRPr="000E4F58">
        <w:t xml:space="preserve"> w</w:t>
      </w:r>
      <w:r w:rsidR="00F96240">
        <w:t> </w:t>
      </w:r>
      <w:r w:rsidR="00F96240" w:rsidRPr="000E4F58">
        <w:t>spr</w:t>
      </w:r>
      <w:r w:rsidRPr="000E4F58">
        <w:t>awie europejskiego nakazu wydania dowodów dotyczącego elektronicznego materiału dowodowego</w:t>
      </w:r>
      <w:r w:rsidR="00F96240" w:rsidRPr="000E4F58">
        <w:t xml:space="preserve"> w</w:t>
      </w:r>
      <w:r w:rsidR="00F96240">
        <w:t> </w:t>
      </w:r>
      <w:r w:rsidR="00F96240" w:rsidRPr="000E4F58">
        <w:t>spr</w:t>
      </w:r>
      <w:r w:rsidRPr="000E4F58">
        <w:t>awach karnych</w:t>
      </w:r>
      <w:r w:rsidR="00F96240" w:rsidRPr="000E4F58">
        <w:t xml:space="preserve"> i</w:t>
      </w:r>
      <w:r w:rsidR="00F96240">
        <w:t> </w:t>
      </w:r>
      <w:r w:rsidR="00F96240" w:rsidRPr="000E4F58">
        <w:t>eur</w:t>
      </w:r>
      <w:r w:rsidRPr="000E4F58">
        <w:t>opejskiego nakazu zabezpieczenia dowodów dotyczącego elektronicznego materiału dowodowego</w:t>
      </w:r>
      <w:r w:rsidR="00F96240" w:rsidRPr="000E4F58">
        <w:t xml:space="preserve"> w</w:t>
      </w:r>
      <w:r w:rsidR="00F96240">
        <w:t> </w:t>
      </w:r>
      <w:r w:rsidR="00F96240" w:rsidRPr="000E4F58">
        <w:t>spr</w:t>
      </w:r>
      <w:r w:rsidRPr="000E4F58">
        <w:t>awach karnych, 17 kwietnia 20</w:t>
      </w:r>
      <w:r w:rsidRPr="00F96240">
        <w:t>18</w:t>
      </w:r>
      <w:r w:rsidR="00F96240" w:rsidRPr="00F96240">
        <w:t> </w:t>
      </w:r>
      <w:r w:rsidRPr="00F96240">
        <w:t>r.</w:t>
      </w:r>
      <w:r w:rsidRPr="000E4F58">
        <w:t>, COM(2018) 225 final; wniosek dotyczący dyrektywy Parlamentu Europejskiego</w:t>
      </w:r>
      <w:r w:rsidR="00F96240" w:rsidRPr="000E4F58">
        <w:t xml:space="preserve"> i</w:t>
      </w:r>
      <w:r w:rsidR="00F96240">
        <w:t> </w:t>
      </w:r>
      <w:r w:rsidR="00F96240" w:rsidRPr="000E4F58">
        <w:t>Rad</w:t>
      </w:r>
      <w:r w:rsidRPr="000E4F58">
        <w:t>y ustanawiającej zharmonizowane przepisy dotyczące mianowania przedstawicieli prawnych</w:t>
      </w:r>
      <w:r w:rsidR="00F96240" w:rsidRPr="000E4F58">
        <w:t xml:space="preserve"> w</w:t>
      </w:r>
      <w:r w:rsidR="00F96240">
        <w:t> </w:t>
      </w:r>
      <w:r w:rsidR="00F96240" w:rsidRPr="000E4F58">
        <w:t>cel</w:t>
      </w:r>
      <w:r w:rsidRPr="000E4F58">
        <w:t>u gromadzenia dowodów na potrzeby postępowań karnych, 17 kwietnia 20</w:t>
      </w:r>
      <w:r w:rsidRPr="00F96240">
        <w:t>18</w:t>
      </w:r>
      <w:r w:rsidR="00F96240" w:rsidRPr="00F96240">
        <w:t> </w:t>
      </w:r>
      <w:r w:rsidRPr="00F96240">
        <w:t>r.</w:t>
      </w:r>
      <w:r w:rsidRPr="000E4F58">
        <w:t>, COM(2018) 226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490A59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030E8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29CB63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43C263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70865E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70A2EB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2DEB59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F38466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25 08:47:01"/>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C338B491-176D-4481-B804-3DCBE63807C8"/>
    <w:docVar w:name="LW_COVERPAGE_TYPE" w:val="1"/>
    <w:docVar w:name="LW_CROSSREFERENCE" w:val="&lt;UNUSED&gt;"/>
    <w:docVar w:name="LW_DocType" w:val="COM"/>
    <w:docVar w:name="LW_EMISSION" w:val="29.3.2022"/>
    <w:docVar w:name="LW_EMISSION_ISODATE" w:val="2022-03-29"/>
    <w:docVar w:name="LW_EMISSION_LOCATION" w:val="BRX"/>
    <w:docVar w:name="LW_EMISSION_PREFIX" w:val="Bruksela, dnia "/>
    <w:docVar w:name="LW_EMISSION_SUFFIX" w:val=" r."/>
    <w:docVar w:name="LW_ID_DOCMODEL" w:val="SG-001"/>
    <w:docVar w:name="LW_ID_DOCSIGNATURE" w:val="SG-001"/>
    <w:docVar w:name="LW_ID_DOCSTRUCTURE" w:val="COM/PL/ORG/NOEEA"/>
    <w:docVar w:name="LW_ID_DOCTYPE" w:val="SG-001"/>
    <w:docVar w:name="LW_ID_EXP.MOTIFS.NEW" w:val="EM_PL_"/>
    <w:docVar w:name="LW_ID_STATUT" w:val="SG-001"/>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lt;UNUSED&gt;"/>
    <w:docVar w:name="LW_REF.II.NEW.CP_NUMBER" w:val="&lt;UNUSED&gt;"/>
    <w:docVar w:name="LW_REF.II.NEW.CP_YEAR" w:val="2022"/>
    <w:docVar w:name="LW_REF.INST.NEW" w:val="COM"/>
    <w:docVar w:name="LW_REF.INST.NEW_ADOPTED" w:val="final"/>
    <w:docVar w:name="LW_REF.INST.NEW_TEXT" w:val="(2022) 1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Zalecenie"/>
    <w:docVar w:name="LW_SUPERTITRE" w:val="&lt;UNUSED&gt;"/>
    <w:docVar w:name="LW_TITRE.OBJ.CP" w:val="upoważniająca do rozpoczęcia negocjacji dotyczących kompleksowej konwencji międzynarodowej w sprawie przeciwdziałania wykorzystywaniu technologii informacyjno-komunikacyjnych w celach przestępczych"/>
    <w:docVar w:name="LW_TYPE.DOC.CP" w:val="DECYZJA RADY"/>
    <w:docVar w:name="LwApiVersions" w:val="LW4CoDe 1.23.2.0; LW 8.0, Build 20211117"/>
  </w:docVars>
  <w:rsids>
    <w:rsidRoot w:val="00B978EF"/>
    <w:rsid w:val="000047B4"/>
    <w:rsid w:val="00012EEC"/>
    <w:rsid w:val="000173B0"/>
    <w:rsid w:val="00017BC3"/>
    <w:rsid w:val="00036D62"/>
    <w:rsid w:val="0005678D"/>
    <w:rsid w:val="00071F6E"/>
    <w:rsid w:val="000750BF"/>
    <w:rsid w:val="00086AEF"/>
    <w:rsid w:val="000920EE"/>
    <w:rsid w:val="00094A9B"/>
    <w:rsid w:val="000A27F0"/>
    <w:rsid w:val="000A730C"/>
    <w:rsid w:val="000A7517"/>
    <w:rsid w:val="000B0F26"/>
    <w:rsid w:val="000B20A0"/>
    <w:rsid w:val="000B71A9"/>
    <w:rsid w:val="000B7799"/>
    <w:rsid w:val="000C3722"/>
    <w:rsid w:val="000D0992"/>
    <w:rsid w:val="000E198E"/>
    <w:rsid w:val="000E4F58"/>
    <w:rsid w:val="000E5332"/>
    <w:rsid w:val="000F0B2F"/>
    <w:rsid w:val="000F4F18"/>
    <w:rsid w:val="000F5A22"/>
    <w:rsid w:val="0010023A"/>
    <w:rsid w:val="0011100C"/>
    <w:rsid w:val="0011313D"/>
    <w:rsid w:val="0012492B"/>
    <w:rsid w:val="00132B7C"/>
    <w:rsid w:val="001429BD"/>
    <w:rsid w:val="00164C9A"/>
    <w:rsid w:val="00164E7F"/>
    <w:rsid w:val="0017102E"/>
    <w:rsid w:val="00177135"/>
    <w:rsid w:val="00183D4C"/>
    <w:rsid w:val="00195855"/>
    <w:rsid w:val="00197FB1"/>
    <w:rsid w:val="001B4053"/>
    <w:rsid w:val="001C0440"/>
    <w:rsid w:val="001C2816"/>
    <w:rsid w:val="001F127D"/>
    <w:rsid w:val="001F2E39"/>
    <w:rsid w:val="001F79B4"/>
    <w:rsid w:val="002063D7"/>
    <w:rsid w:val="00211BEE"/>
    <w:rsid w:val="0022113D"/>
    <w:rsid w:val="00225238"/>
    <w:rsid w:val="00226DC9"/>
    <w:rsid w:val="002318A9"/>
    <w:rsid w:val="00232E98"/>
    <w:rsid w:val="00246DB6"/>
    <w:rsid w:val="002578E5"/>
    <w:rsid w:val="00264C85"/>
    <w:rsid w:val="00272442"/>
    <w:rsid w:val="0027307F"/>
    <w:rsid w:val="0027373F"/>
    <w:rsid w:val="0027403D"/>
    <w:rsid w:val="0027617F"/>
    <w:rsid w:val="00294141"/>
    <w:rsid w:val="00295582"/>
    <w:rsid w:val="002A6667"/>
    <w:rsid w:val="002B199B"/>
    <w:rsid w:val="002B3215"/>
    <w:rsid w:val="002B66D0"/>
    <w:rsid w:val="002B67B0"/>
    <w:rsid w:val="002B6DC4"/>
    <w:rsid w:val="002C06B9"/>
    <w:rsid w:val="002C6D65"/>
    <w:rsid w:val="002C79AA"/>
    <w:rsid w:val="002D1B61"/>
    <w:rsid w:val="002D520A"/>
    <w:rsid w:val="002E2BB6"/>
    <w:rsid w:val="002F0559"/>
    <w:rsid w:val="0030346C"/>
    <w:rsid w:val="0030768C"/>
    <w:rsid w:val="003109F1"/>
    <w:rsid w:val="00313F14"/>
    <w:rsid w:val="0034172F"/>
    <w:rsid w:val="00345430"/>
    <w:rsid w:val="003503E8"/>
    <w:rsid w:val="00364414"/>
    <w:rsid w:val="003837FB"/>
    <w:rsid w:val="00387676"/>
    <w:rsid w:val="00391894"/>
    <w:rsid w:val="00392483"/>
    <w:rsid w:val="00397A72"/>
    <w:rsid w:val="003A0043"/>
    <w:rsid w:val="003A0BF7"/>
    <w:rsid w:val="003C0457"/>
    <w:rsid w:val="003C0B1E"/>
    <w:rsid w:val="003D0487"/>
    <w:rsid w:val="003D7311"/>
    <w:rsid w:val="003F0A44"/>
    <w:rsid w:val="00401747"/>
    <w:rsid w:val="00431E0E"/>
    <w:rsid w:val="004427D4"/>
    <w:rsid w:val="00455AB1"/>
    <w:rsid w:val="00455FCA"/>
    <w:rsid w:val="00457B7F"/>
    <w:rsid w:val="00463737"/>
    <w:rsid w:val="00465B79"/>
    <w:rsid w:val="00475748"/>
    <w:rsid w:val="004761D8"/>
    <w:rsid w:val="00486713"/>
    <w:rsid w:val="00496C6F"/>
    <w:rsid w:val="004C5131"/>
    <w:rsid w:val="004E7913"/>
    <w:rsid w:val="004F1B0C"/>
    <w:rsid w:val="004F6FDA"/>
    <w:rsid w:val="0050638B"/>
    <w:rsid w:val="00532DB0"/>
    <w:rsid w:val="00554D73"/>
    <w:rsid w:val="005567A8"/>
    <w:rsid w:val="00561417"/>
    <w:rsid w:val="005710EF"/>
    <w:rsid w:val="005719B0"/>
    <w:rsid w:val="005852A6"/>
    <w:rsid w:val="005A4A9D"/>
    <w:rsid w:val="005D4988"/>
    <w:rsid w:val="005F03C4"/>
    <w:rsid w:val="005F3062"/>
    <w:rsid w:val="006133D5"/>
    <w:rsid w:val="006264F3"/>
    <w:rsid w:val="00626853"/>
    <w:rsid w:val="00632742"/>
    <w:rsid w:val="006355A7"/>
    <w:rsid w:val="006409F6"/>
    <w:rsid w:val="006537A8"/>
    <w:rsid w:val="006663EF"/>
    <w:rsid w:val="006676B8"/>
    <w:rsid w:val="00672C2D"/>
    <w:rsid w:val="00677ABE"/>
    <w:rsid w:val="00677E1C"/>
    <w:rsid w:val="00682F1C"/>
    <w:rsid w:val="00687BC7"/>
    <w:rsid w:val="006A3B85"/>
    <w:rsid w:val="006C75EE"/>
    <w:rsid w:val="006C7623"/>
    <w:rsid w:val="006C7EE3"/>
    <w:rsid w:val="006D6905"/>
    <w:rsid w:val="006F06F4"/>
    <w:rsid w:val="0070128F"/>
    <w:rsid w:val="00731935"/>
    <w:rsid w:val="00746083"/>
    <w:rsid w:val="00755510"/>
    <w:rsid w:val="00772D2D"/>
    <w:rsid w:val="00783DCD"/>
    <w:rsid w:val="00786041"/>
    <w:rsid w:val="00792BF2"/>
    <w:rsid w:val="0079364F"/>
    <w:rsid w:val="00797A49"/>
    <w:rsid w:val="007A36E0"/>
    <w:rsid w:val="007A79D5"/>
    <w:rsid w:val="007C034E"/>
    <w:rsid w:val="007C06F6"/>
    <w:rsid w:val="007C32BF"/>
    <w:rsid w:val="007D1B5D"/>
    <w:rsid w:val="007D543A"/>
    <w:rsid w:val="007E7251"/>
    <w:rsid w:val="008015F4"/>
    <w:rsid w:val="00807DDA"/>
    <w:rsid w:val="00811287"/>
    <w:rsid w:val="0081684F"/>
    <w:rsid w:val="00830749"/>
    <w:rsid w:val="00830DD5"/>
    <w:rsid w:val="0083480C"/>
    <w:rsid w:val="0084469C"/>
    <w:rsid w:val="0084658B"/>
    <w:rsid w:val="008552BC"/>
    <w:rsid w:val="008672F1"/>
    <w:rsid w:val="00876974"/>
    <w:rsid w:val="00891131"/>
    <w:rsid w:val="008C272D"/>
    <w:rsid w:val="008C7209"/>
    <w:rsid w:val="008F3E28"/>
    <w:rsid w:val="008F62B3"/>
    <w:rsid w:val="009061E7"/>
    <w:rsid w:val="00911D6F"/>
    <w:rsid w:val="009153C3"/>
    <w:rsid w:val="00926D44"/>
    <w:rsid w:val="009344B4"/>
    <w:rsid w:val="00934E63"/>
    <w:rsid w:val="009506B0"/>
    <w:rsid w:val="00950D99"/>
    <w:rsid w:val="00955AB0"/>
    <w:rsid w:val="0096586C"/>
    <w:rsid w:val="0097365F"/>
    <w:rsid w:val="00976A9F"/>
    <w:rsid w:val="00986B33"/>
    <w:rsid w:val="00987AD5"/>
    <w:rsid w:val="009A1F60"/>
    <w:rsid w:val="009A20FC"/>
    <w:rsid w:val="009A5BB1"/>
    <w:rsid w:val="009B117E"/>
    <w:rsid w:val="009B568A"/>
    <w:rsid w:val="009B7138"/>
    <w:rsid w:val="009C5343"/>
    <w:rsid w:val="009D6D13"/>
    <w:rsid w:val="00A14F92"/>
    <w:rsid w:val="00A24C9C"/>
    <w:rsid w:val="00A27090"/>
    <w:rsid w:val="00A2780A"/>
    <w:rsid w:val="00A312CE"/>
    <w:rsid w:val="00A41427"/>
    <w:rsid w:val="00A52141"/>
    <w:rsid w:val="00A636AF"/>
    <w:rsid w:val="00A6522D"/>
    <w:rsid w:val="00A665E3"/>
    <w:rsid w:val="00A74607"/>
    <w:rsid w:val="00AA1CD2"/>
    <w:rsid w:val="00AB11E2"/>
    <w:rsid w:val="00AB48B4"/>
    <w:rsid w:val="00AC2EE4"/>
    <w:rsid w:val="00AC619E"/>
    <w:rsid w:val="00AD3E23"/>
    <w:rsid w:val="00AE3A59"/>
    <w:rsid w:val="00B12038"/>
    <w:rsid w:val="00B207BD"/>
    <w:rsid w:val="00B37106"/>
    <w:rsid w:val="00B37796"/>
    <w:rsid w:val="00B46D39"/>
    <w:rsid w:val="00B5622B"/>
    <w:rsid w:val="00B62FB5"/>
    <w:rsid w:val="00B828BA"/>
    <w:rsid w:val="00B912C6"/>
    <w:rsid w:val="00B9419F"/>
    <w:rsid w:val="00B95DB7"/>
    <w:rsid w:val="00B978EF"/>
    <w:rsid w:val="00BA1B39"/>
    <w:rsid w:val="00BA6ACB"/>
    <w:rsid w:val="00BB0CD2"/>
    <w:rsid w:val="00BC2AAA"/>
    <w:rsid w:val="00BD3E85"/>
    <w:rsid w:val="00BE246D"/>
    <w:rsid w:val="00BF17AA"/>
    <w:rsid w:val="00C0220A"/>
    <w:rsid w:val="00C03A30"/>
    <w:rsid w:val="00C14A72"/>
    <w:rsid w:val="00C230EB"/>
    <w:rsid w:val="00C24556"/>
    <w:rsid w:val="00C400A1"/>
    <w:rsid w:val="00C411AD"/>
    <w:rsid w:val="00C43F13"/>
    <w:rsid w:val="00C45857"/>
    <w:rsid w:val="00C5142A"/>
    <w:rsid w:val="00C5200F"/>
    <w:rsid w:val="00C55F60"/>
    <w:rsid w:val="00C747F1"/>
    <w:rsid w:val="00C93FDE"/>
    <w:rsid w:val="00CC671C"/>
    <w:rsid w:val="00CC798F"/>
    <w:rsid w:val="00CD1181"/>
    <w:rsid w:val="00D2487A"/>
    <w:rsid w:val="00D469B6"/>
    <w:rsid w:val="00D55038"/>
    <w:rsid w:val="00D55D57"/>
    <w:rsid w:val="00D611F6"/>
    <w:rsid w:val="00D651A1"/>
    <w:rsid w:val="00D70474"/>
    <w:rsid w:val="00D84CC2"/>
    <w:rsid w:val="00D86A4B"/>
    <w:rsid w:val="00D86FA1"/>
    <w:rsid w:val="00D90216"/>
    <w:rsid w:val="00D90C58"/>
    <w:rsid w:val="00DA2091"/>
    <w:rsid w:val="00DB195F"/>
    <w:rsid w:val="00DB3EF8"/>
    <w:rsid w:val="00DB7D0D"/>
    <w:rsid w:val="00DE35F0"/>
    <w:rsid w:val="00DF3195"/>
    <w:rsid w:val="00DF7482"/>
    <w:rsid w:val="00E504E5"/>
    <w:rsid w:val="00E753F9"/>
    <w:rsid w:val="00E84986"/>
    <w:rsid w:val="00E901DE"/>
    <w:rsid w:val="00EA393F"/>
    <w:rsid w:val="00EC2C13"/>
    <w:rsid w:val="00EC66B3"/>
    <w:rsid w:val="00ED39C6"/>
    <w:rsid w:val="00ED5323"/>
    <w:rsid w:val="00EE691A"/>
    <w:rsid w:val="00EF48BC"/>
    <w:rsid w:val="00EF64A2"/>
    <w:rsid w:val="00F028F2"/>
    <w:rsid w:val="00F03CFF"/>
    <w:rsid w:val="00F040D4"/>
    <w:rsid w:val="00F15ECC"/>
    <w:rsid w:val="00F20062"/>
    <w:rsid w:val="00F235BA"/>
    <w:rsid w:val="00F3308E"/>
    <w:rsid w:val="00F45275"/>
    <w:rsid w:val="00F4756F"/>
    <w:rsid w:val="00F57DEE"/>
    <w:rsid w:val="00F7249F"/>
    <w:rsid w:val="00F84B00"/>
    <w:rsid w:val="00F96240"/>
    <w:rsid w:val="00F979B4"/>
    <w:rsid w:val="00FA2014"/>
    <w:rsid w:val="00FA23E7"/>
    <w:rsid w:val="00FC7B96"/>
    <w:rsid w:val="00FD69CB"/>
    <w:rsid w:val="1931D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A2B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517205"/>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EF48B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F48BC"/>
    <w:pPr>
      <w:spacing w:after="0"/>
    </w:pPr>
  </w:style>
  <w:style w:type="paragraph" w:styleId="ListBullet">
    <w:name w:val="List Bullet"/>
    <w:basedOn w:val="Normal"/>
    <w:uiPriority w:val="99"/>
    <w:semiHidden/>
    <w:unhideWhenUsed/>
    <w:rsid w:val="00EF48BC"/>
    <w:pPr>
      <w:numPr>
        <w:numId w:val="1"/>
      </w:numPr>
      <w:contextualSpacing/>
    </w:pPr>
  </w:style>
  <w:style w:type="paragraph" w:styleId="ListBullet2">
    <w:name w:val="List Bullet 2"/>
    <w:basedOn w:val="Normal"/>
    <w:uiPriority w:val="99"/>
    <w:semiHidden/>
    <w:unhideWhenUsed/>
    <w:rsid w:val="00EF48BC"/>
    <w:pPr>
      <w:numPr>
        <w:numId w:val="2"/>
      </w:numPr>
      <w:contextualSpacing/>
    </w:pPr>
  </w:style>
  <w:style w:type="paragraph" w:styleId="ListBullet3">
    <w:name w:val="List Bullet 3"/>
    <w:basedOn w:val="Normal"/>
    <w:uiPriority w:val="99"/>
    <w:semiHidden/>
    <w:unhideWhenUsed/>
    <w:rsid w:val="00EF48BC"/>
    <w:pPr>
      <w:numPr>
        <w:numId w:val="3"/>
      </w:numPr>
      <w:contextualSpacing/>
    </w:pPr>
  </w:style>
  <w:style w:type="paragraph" w:styleId="ListBullet4">
    <w:name w:val="List Bullet 4"/>
    <w:basedOn w:val="Normal"/>
    <w:uiPriority w:val="99"/>
    <w:semiHidden/>
    <w:unhideWhenUsed/>
    <w:rsid w:val="00EF48BC"/>
    <w:pPr>
      <w:numPr>
        <w:numId w:val="4"/>
      </w:numPr>
      <w:contextualSpacing/>
    </w:pPr>
  </w:style>
  <w:style w:type="paragraph" w:styleId="ListNumber">
    <w:name w:val="List Number"/>
    <w:basedOn w:val="Normal"/>
    <w:uiPriority w:val="99"/>
    <w:semiHidden/>
    <w:unhideWhenUsed/>
    <w:rsid w:val="00EF48BC"/>
    <w:pPr>
      <w:numPr>
        <w:numId w:val="5"/>
      </w:numPr>
      <w:contextualSpacing/>
    </w:pPr>
  </w:style>
  <w:style w:type="paragraph" w:styleId="ListNumber2">
    <w:name w:val="List Number 2"/>
    <w:basedOn w:val="Normal"/>
    <w:uiPriority w:val="99"/>
    <w:semiHidden/>
    <w:unhideWhenUsed/>
    <w:rsid w:val="00EF48BC"/>
    <w:pPr>
      <w:numPr>
        <w:numId w:val="6"/>
      </w:numPr>
      <w:contextualSpacing/>
    </w:pPr>
  </w:style>
  <w:style w:type="paragraph" w:styleId="ListNumber3">
    <w:name w:val="List Number 3"/>
    <w:basedOn w:val="Normal"/>
    <w:uiPriority w:val="99"/>
    <w:semiHidden/>
    <w:unhideWhenUsed/>
    <w:rsid w:val="00EF48BC"/>
    <w:pPr>
      <w:numPr>
        <w:numId w:val="7"/>
      </w:numPr>
      <w:contextualSpacing/>
    </w:pPr>
  </w:style>
  <w:style w:type="paragraph" w:styleId="ListNumber4">
    <w:name w:val="List Number 4"/>
    <w:basedOn w:val="Normal"/>
    <w:uiPriority w:val="99"/>
    <w:semiHidden/>
    <w:unhideWhenUsed/>
    <w:rsid w:val="00EF48BC"/>
    <w:pPr>
      <w:numPr>
        <w:numId w:val="8"/>
      </w:numPr>
      <w:contextualSpacing/>
    </w:pPr>
  </w:style>
  <w:style w:type="character" w:styleId="CommentReference">
    <w:name w:val="annotation reference"/>
    <w:basedOn w:val="DefaultParagraphFont"/>
    <w:uiPriority w:val="99"/>
    <w:semiHidden/>
    <w:unhideWhenUsed/>
    <w:rsid w:val="0050638B"/>
    <w:rPr>
      <w:sz w:val="16"/>
      <w:szCs w:val="16"/>
    </w:rPr>
  </w:style>
  <w:style w:type="paragraph" w:styleId="CommentText">
    <w:name w:val="annotation text"/>
    <w:basedOn w:val="Normal"/>
    <w:link w:val="CommentTextChar"/>
    <w:uiPriority w:val="99"/>
    <w:semiHidden/>
    <w:unhideWhenUsed/>
    <w:rsid w:val="0050638B"/>
    <w:rPr>
      <w:sz w:val="20"/>
      <w:szCs w:val="20"/>
    </w:rPr>
  </w:style>
  <w:style w:type="character" w:customStyle="1" w:styleId="CommentTextChar">
    <w:name w:val="Comment Text Char"/>
    <w:basedOn w:val="DefaultParagraphFont"/>
    <w:link w:val="CommentText"/>
    <w:uiPriority w:val="99"/>
    <w:semiHidden/>
    <w:rsid w:val="0050638B"/>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sid w:val="0050638B"/>
    <w:rPr>
      <w:b/>
      <w:bCs/>
    </w:rPr>
  </w:style>
  <w:style w:type="character" w:customStyle="1" w:styleId="CommentSubjectChar">
    <w:name w:val="Comment Subject Char"/>
    <w:basedOn w:val="CommentTextChar"/>
    <w:link w:val="CommentSubject"/>
    <w:uiPriority w:val="99"/>
    <w:semiHidden/>
    <w:rsid w:val="0050638B"/>
    <w:rPr>
      <w:rFonts w:ascii="Times New Roman" w:hAnsi="Times New Roman" w:cs="Times New Roman"/>
      <w:b/>
      <w:bCs/>
      <w:sz w:val="20"/>
      <w:szCs w:val="20"/>
      <w:lang w:val="pl-PL"/>
    </w:rPr>
  </w:style>
  <w:style w:type="character" w:styleId="Hyperlink">
    <w:name w:val="Hyperlink"/>
    <w:basedOn w:val="DefaultParagraphFont"/>
    <w:uiPriority w:val="99"/>
    <w:unhideWhenUsed/>
    <w:rsid w:val="0050638B"/>
    <w:rPr>
      <w:color w:val="0000FF" w:themeColor="hyperlink"/>
      <w:u w:val="single"/>
    </w:rPr>
  </w:style>
  <w:style w:type="paragraph" w:customStyle="1" w:styleId="Article">
    <w:name w:val="Article"/>
    <w:basedOn w:val="Normal"/>
    <w:rsid w:val="00792BF2"/>
  </w:style>
  <w:style w:type="paragraph" w:styleId="BalloonText">
    <w:name w:val="Balloon Text"/>
    <w:basedOn w:val="Normal"/>
    <w:link w:val="BalloonTextChar"/>
    <w:uiPriority w:val="99"/>
    <w:semiHidden/>
    <w:unhideWhenUsed/>
    <w:rsid w:val="007A36E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6E0"/>
    <w:rPr>
      <w:rFonts w:ascii="Segoe UI" w:hAnsi="Segoe UI" w:cs="Segoe UI"/>
      <w:sz w:val="18"/>
      <w:szCs w:val="18"/>
      <w:lang w:val="pl-PL"/>
    </w:rPr>
  </w:style>
  <w:style w:type="character" w:styleId="FollowedHyperlink">
    <w:name w:val="FollowedHyperlink"/>
    <w:basedOn w:val="DefaultParagraphFont"/>
    <w:uiPriority w:val="99"/>
    <w:semiHidden/>
    <w:unhideWhenUsed/>
    <w:rsid w:val="00FA23E7"/>
    <w:rPr>
      <w:color w:val="800080" w:themeColor="followedHyperlink"/>
      <w:u w:val="single"/>
    </w:rPr>
  </w:style>
  <w:style w:type="paragraph" w:styleId="EndnoteText">
    <w:name w:val="endnote text"/>
    <w:basedOn w:val="Normal"/>
    <w:link w:val="EndnoteTextChar"/>
    <w:uiPriority w:val="99"/>
    <w:semiHidden/>
    <w:unhideWhenUsed/>
    <w:rsid w:val="00C747F1"/>
    <w:pPr>
      <w:spacing w:before="0" w:after="0"/>
    </w:pPr>
    <w:rPr>
      <w:sz w:val="20"/>
      <w:szCs w:val="20"/>
    </w:rPr>
  </w:style>
  <w:style w:type="character" w:customStyle="1" w:styleId="EndnoteTextChar">
    <w:name w:val="Endnote Text Char"/>
    <w:basedOn w:val="DefaultParagraphFont"/>
    <w:link w:val="EndnoteText"/>
    <w:uiPriority w:val="99"/>
    <w:semiHidden/>
    <w:rsid w:val="00C747F1"/>
    <w:rPr>
      <w:rFonts w:ascii="Times New Roman" w:hAnsi="Times New Roman" w:cs="Times New Roman"/>
      <w:sz w:val="20"/>
      <w:szCs w:val="20"/>
      <w:lang w:val="pl-PL"/>
    </w:rPr>
  </w:style>
  <w:style w:type="character" w:styleId="EndnoteReference">
    <w:name w:val="endnote reference"/>
    <w:basedOn w:val="DefaultParagraphFont"/>
    <w:uiPriority w:val="99"/>
    <w:semiHidden/>
    <w:unhideWhenUsed/>
    <w:rsid w:val="00C747F1"/>
    <w:rPr>
      <w:vertAlign w:val="superscript"/>
    </w:rPr>
  </w:style>
  <w:style w:type="paragraph" w:styleId="Revision">
    <w:name w:val="Revision"/>
    <w:hidden/>
    <w:uiPriority w:val="99"/>
    <w:semiHidden/>
    <w:rsid w:val="00D469B6"/>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891131"/>
    <w:pPr>
      <w:tabs>
        <w:tab w:val="center" w:pos="4535"/>
        <w:tab w:val="right" w:pos="9071"/>
      </w:tabs>
      <w:spacing w:before="0"/>
    </w:pPr>
  </w:style>
  <w:style w:type="character" w:customStyle="1" w:styleId="HeaderChar">
    <w:name w:val="Header Char"/>
    <w:basedOn w:val="DefaultParagraphFont"/>
    <w:link w:val="Header"/>
    <w:uiPriority w:val="99"/>
    <w:rsid w:val="00891131"/>
    <w:rPr>
      <w:rFonts w:ascii="Times New Roman" w:hAnsi="Times New Roman" w:cs="Times New Roman"/>
      <w:sz w:val="24"/>
      <w:lang w:val="pl-PL"/>
    </w:rPr>
  </w:style>
  <w:style w:type="paragraph" w:styleId="Footer">
    <w:name w:val="footer"/>
    <w:basedOn w:val="Normal"/>
    <w:link w:val="FooterChar"/>
    <w:uiPriority w:val="99"/>
    <w:unhideWhenUsed/>
    <w:rsid w:val="0089113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91131"/>
    <w:rPr>
      <w:rFonts w:ascii="Times New Roman" w:hAnsi="Times New Roman" w:cs="Times New Roman"/>
      <w:sz w:val="24"/>
      <w:lang w:val="pl-PL"/>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891131"/>
    <w:pPr>
      <w:tabs>
        <w:tab w:val="center" w:pos="7285"/>
        <w:tab w:val="right" w:pos="14003"/>
      </w:tabs>
      <w:spacing w:before="0"/>
    </w:pPr>
  </w:style>
  <w:style w:type="paragraph" w:customStyle="1" w:styleId="FooterLandscape">
    <w:name w:val="FooterLandscape"/>
    <w:basedOn w:val="Normal"/>
    <w:rsid w:val="0089113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89113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91131"/>
    <w:pPr>
      <w:spacing w:before="0"/>
      <w:jc w:val="right"/>
    </w:pPr>
    <w:rPr>
      <w:sz w:val="28"/>
    </w:rPr>
  </w:style>
  <w:style w:type="paragraph" w:customStyle="1" w:styleId="FooterSensitivity">
    <w:name w:val="Footer Sensitivity"/>
    <w:basedOn w:val="Normal"/>
    <w:rsid w:val="0089113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0"/>
      </w:numPr>
    </w:pPr>
  </w:style>
  <w:style w:type="paragraph" w:customStyle="1" w:styleId="Tiret1">
    <w:name w:val="Tiret 1"/>
    <w:basedOn w:val="Point1"/>
    <w:rsid w:val="00517205"/>
    <w:pPr>
      <w:numPr>
        <w:numId w:val="11"/>
      </w:numPr>
    </w:pPr>
  </w:style>
  <w:style w:type="paragraph" w:customStyle="1" w:styleId="Tiret2">
    <w:name w:val="Tiret 2"/>
    <w:basedOn w:val="Point2"/>
    <w:rsid w:val="00517205"/>
    <w:pPr>
      <w:numPr>
        <w:numId w:val="12"/>
      </w:numPr>
    </w:pPr>
  </w:style>
  <w:style w:type="paragraph" w:customStyle="1" w:styleId="Tiret3">
    <w:name w:val="Tiret 3"/>
    <w:basedOn w:val="Point3"/>
    <w:rsid w:val="00517205"/>
    <w:pPr>
      <w:numPr>
        <w:numId w:val="13"/>
      </w:numPr>
    </w:pPr>
  </w:style>
  <w:style w:type="paragraph" w:customStyle="1" w:styleId="Tiret4">
    <w:name w:val="Tiret 4"/>
    <w:basedOn w:val="Point4"/>
    <w:rsid w:val="00517205"/>
    <w:pPr>
      <w:numPr>
        <w:numId w:val="14"/>
      </w:numPr>
    </w:pPr>
  </w:style>
  <w:style w:type="paragraph" w:customStyle="1" w:styleId="Tiret5">
    <w:name w:val="Tiret 5"/>
    <w:basedOn w:val="Point5"/>
    <w:rsid w:val="00517205"/>
    <w:pPr>
      <w:numPr>
        <w:numId w:val="15"/>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16"/>
      </w:numPr>
    </w:pPr>
  </w:style>
  <w:style w:type="paragraph" w:customStyle="1" w:styleId="NumPar2">
    <w:name w:val="NumPar 2"/>
    <w:basedOn w:val="Normal"/>
    <w:next w:val="Text1"/>
    <w:rsid w:val="00517205"/>
    <w:pPr>
      <w:numPr>
        <w:ilvl w:val="1"/>
        <w:numId w:val="16"/>
      </w:numPr>
    </w:pPr>
  </w:style>
  <w:style w:type="paragraph" w:customStyle="1" w:styleId="NumPar3">
    <w:name w:val="NumPar 3"/>
    <w:basedOn w:val="Normal"/>
    <w:next w:val="Text1"/>
    <w:rsid w:val="00517205"/>
    <w:pPr>
      <w:numPr>
        <w:ilvl w:val="2"/>
        <w:numId w:val="16"/>
      </w:numPr>
    </w:pPr>
  </w:style>
  <w:style w:type="paragraph" w:customStyle="1" w:styleId="NumPar4">
    <w:name w:val="NumPar 4"/>
    <w:basedOn w:val="Normal"/>
    <w:next w:val="Text1"/>
    <w:rsid w:val="00517205"/>
    <w:pPr>
      <w:numPr>
        <w:ilvl w:val="3"/>
        <w:numId w:val="16"/>
      </w:numPr>
    </w:pPr>
  </w:style>
  <w:style w:type="paragraph" w:customStyle="1" w:styleId="NumPar5">
    <w:name w:val="NumPar 5"/>
    <w:basedOn w:val="Normal"/>
    <w:next w:val="Text2"/>
    <w:rsid w:val="00517205"/>
    <w:pPr>
      <w:numPr>
        <w:ilvl w:val="4"/>
        <w:numId w:val="16"/>
      </w:numPr>
    </w:pPr>
  </w:style>
  <w:style w:type="paragraph" w:customStyle="1" w:styleId="NumPar6">
    <w:name w:val="NumPar 6"/>
    <w:basedOn w:val="Normal"/>
    <w:next w:val="Text2"/>
    <w:rsid w:val="00517205"/>
    <w:pPr>
      <w:numPr>
        <w:ilvl w:val="5"/>
        <w:numId w:val="16"/>
      </w:numPr>
    </w:pPr>
  </w:style>
  <w:style w:type="paragraph" w:customStyle="1" w:styleId="NumPar7">
    <w:name w:val="NumPar 7"/>
    <w:basedOn w:val="Normal"/>
    <w:next w:val="Text2"/>
    <w:rsid w:val="00517205"/>
    <w:pPr>
      <w:numPr>
        <w:ilvl w:val="6"/>
        <w:numId w:val="16"/>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3A0BF7"/>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18"/>
      </w:numPr>
    </w:pPr>
  </w:style>
  <w:style w:type="paragraph" w:customStyle="1" w:styleId="Point1number">
    <w:name w:val="Point 1 (number)"/>
    <w:basedOn w:val="Normal"/>
    <w:rsid w:val="00517205"/>
    <w:pPr>
      <w:numPr>
        <w:ilvl w:val="2"/>
        <w:numId w:val="18"/>
      </w:numPr>
    </w:pPr>
  </w:style>
  <w:style w:type="paragraph" w:customStyle="1" w:styleId="Point2number">
    <w:name w:val="Point 2 (number)"/>
    <w:basedOn w:val="Normal"/>
    <w:rsid w:val="00517205"/>
    <w:pPr>
      <w:numPr>
        <w:ilvl w:val="4"/>
        <w:numId w:val="18"/>
      </w:numPr>
    </w:pPr>
  </w:style>
  <w:style w:type="paragraph" w:customStyle="1" w:styleId="Point3number">
    <w:name w:val="Point 3 (number)"/>
    <w:basedOn w:val="Normal"/>
    <w:rsid w:val="00517205"/>
    <w:pPr>
      <w:numPr>
        <w:ilvl w:val="6"/>
        <w:numId w:val="18"/>
      </w:numPr>
    </w:pPr>
  </w:style>
  <w:style w:type="paragraph" w:customStyle="1" w:styleId="Point0letter">
    <w:name w:val="Point 0 (letter)"/>
    <w:basedOn w:val="Normal"/>
    <w:rsid w:val="00517205"/>
    <w:pPr>
      <w:numPr>
        <w:ilvl w:val="1"/>
        <w:numId w:val="18"/>
      </w:numPr>
    </w:pPr>
  </w:style>
  <w:style w:type="paragraph" w:customStyle="1" w:styleId="Point1letter">
    <w:name w:val="Point 1 (letter)"/>
    <w:basedOn w:val="Normal"/>
    <w:rsid w:val="00517205"/>
    <w:pPr>
      <w:numPr>
        <w:ilvl w:val="3"/>
        <w:numId w:val="18"/>
      </w:numPr>
    </w:pPr>
  </w:style>
  <w:style w:type="paragraph" w:customStyle="1" w:styleId="Point2letter">
    <w:name w:val="Point 2 (letter)"/>
    <w:basedOn w:val="Normal"/>
    <w:rsid w:val="00517205"/>
    <w:pPr>
      <w:numPr>
        <w:ilvl w:val="5"/>
        <w:numId w:val="18"/>
      </w:numPr>
    </w:pPr>
  </w:style>
  <w:style w:type="paragraph" w:customStyle="1" w:styleId="Point3letter">
    <w:name w:val="Point 3 (letter)"/>
    <w:basedOn w:val="Normal"/>
    <w:rsid w:val="00517205"/>
    <w:pPr>
      <w:numPr>
        <w:ilvl w:val="7"/>
        <w:numId w:val="18"/>
      </w:numPr>
    </w:pPr>
  </w:style>
  <w:style w:type="paragraph" w:customStyle="1" w:styleId="Point4letter">
    <w:name w:val="Point 4 (letter)"/>
    <w:basedOn w:val="Normal"/>
    <w:rsid w:val="00517205"/>
    <w:pPr>
      <w:numPr>
        <w:ilvl w:val="8"/>
        <w:numId w:val="18"/>
      </w:numPr>
    </w:pPr>
  </w:style>
  <w:style w:type="paragraph" w:customStyle="1" w:styleId="Bullet0">
    <w:name w:val="Bullet 0"/>
    <w:basedOn w:val="Normal"/>
    <w:rsid w:val="00517205"/>
    <w:pPr>
      <w:numPr>
        <w:numId w:val="19"/>
      </w:numPr>
    </w:pPr>
  </w:style>
  <w:style w:type="paragraph" w:customStyle="1" w:styleId="Bullet1">
    <w:name w:val="Bullet 1"/>
    <w:basedOn w:val="Normal"/>
    <w:rsid w:val="00517205"/>
    <w:pPr>
      <w:numPr>
        <w:numId w:val="20"/>
      </w:numPr>
    </w:pPr>
  </w:style>
  <w:style w:type="paragraph" w:customStyle="1" w:styleId="Bullet2">
    <w:name w:val="Bullet 2"/>
    <w:basedOn w:val="Normal"/>
    <w:rsid w:val="00517205"/>
    <w:pPr>
      <w:numPr>
        <w:numId w:val="21"/>
      </w:numPr>
    </w:pPr>
  </w:style>
  <w:style w:type="paragraph" w:customStyle="1" w:styleId="Bullet3">
    <w:name w:val="Bullet 3"/>
    <w:basedOn w:val="Normal"/>
    <w:rsid w:val="00517205"/>
    <w:pPr>
      <w:numPr>
        <w:numId w:val="22"/>
      </w:numPr>
    </w:pPr>
  </w:style>
  <w:style w:type="paragraph" w:customStyle="1" w:styleId="Bullet4">
    <w:name w:val="Bullet 4"/>
    <w:basedOn w:val="Normal"/>
    <w:rsid w:val="00517205"/>
    <w:pPr>
      <w:numPr>
        <w:numId w:val="23"/>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4"/>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98838">
      <w:bodyDiv w:val="1"/>
      <w:marLeft w:val="0"/>
      <w:marRight w:val="0"/>
      <w:marTop w:val="0"/>
      <w:marBottom w:val="0"/>
      <w:divBdr>
        <w:top w:val="none" w:sz="0" w:space="0" w:color="auto"/>
        <w:left w:val="none" w:sz="0" w:space="0" w:color="auto"/>
        <w:bottom w:val="none" w:sz="0" w:space="0" w:color="auto"/>
        <w:right w:val="none" w:sz="0" w:space="0" w:color="auto"/>
      </w:divBdr>
    </w:div>
    <w:div w:id="13904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en/A/RES/73/187" TargetMode="External"/><Relationship Id="rId13" Type="http://schemas.openxmlformats.org/officeDocument/2006/relationships/hyperlink" Target="https://ec.europa.eu/info/sites/default/files/communication_third_progress_report-eu_security_union_strategy.pdf" TargetMode="External"/><Relationship Id="rId18" Type="http://schemas.openxmlformats.org/officeDocument/2006/relationships/hyperlink" Target="https://eur-lex.europa.eu/legal-content/PL/TXT/?uri=CELEX:32011L0093" TargetMode="External"/><Relationship Id="rId3" Type="http://schemas.openxmlformats.org/officeDocument/2006/relationships/hyperlink" Target="https://search.coe.int/cm/pages/result_details.aspx?objectid=0900001680a48e4d" TargetMode="External"/><Relationship Id="rId7" Type="http://schemas.openxmlformats.org/officeDocument/2006/relationships/hyperlink" Target="https://www.unodc.org/documents/organized-crime/cybercrime/Cybercrime-April-2021/Report/V2102595.pdf" TargetMode="External"/><Relationship Id="rId12" Type="http://schemas.openxmlformats.org/officeDocument/2006/relationships/hyperlink" Target="https://ec.europa.eu/home-affairs/system/files/2021-04/14042021_eu_strategy_to_tackle_organised_crime_2021-2025_com-2021-170-1_en.pdf" TargetMode="External"/><Relationship Id="rId17" Type="http://schemas.openxmlformats.org/officeDocument/2006/relationships/hyperlink" Target="https://undocs.org/en/A/RES/74/247" TargetMode="External"/><Relationship Id="rId2" Type="http://schemas.openxmlformats.org/officeDocument/2006/relationships/hyperlink" Target="https://rm.coe.int/CoERMPublicCommonSearchServices/DisplayDCTMContent?documentId=0900001680081561" TargetMode="External"/><Relationship Id="rId16" Type="http://schemas.openxmlformats.org/officeDocument/2006/relationships/hyperlink" Target="https://eur-lex.europa.eu/legal-content/PL/TXT/?uri=CELEX:52021PC0719&amp;qid=1638282103571" TargetMode="External"/><Relationship Id="rId20" Type="http://schemas.openxmlformats.org/officeDocument/2006/relationships/hyperlink" Target="https://eur-lex.europa.eu/eli/dir/2019/713/oj" TargetMode="External"/><Relationship Id="rId1" Type="http://schemas.openxmlformats.org/officeDocument/2006/relationships/hyperlink" Target="http://www.europol.eu" TargetMode="External"/><Relationship Id="rId6" Type="http://schemas.openxmlformats.org/officeDocument/2006/relationships/hyperlink" Target="https://www.unodc.org/documents/organized-crime/cybercrime/Cybercrime-April-2021/CRP/V2101012.pdf" TargetMode="External"/><Relationship Id="rId11" Type="http://schemas.openxmlformats.org/officeDocument/2006/relationships/hyperlink" Target="https://eur-lex.europa.eu/legal-content/PL/TXT/PDF/?uri=CELEX:52020DC0605&amp;from=PL" TargetMode="External"/><Relationship Id="rId5" Type="http://schemas.openxmlformats.org/officeDocument/2006/relationships/hyperlink" Target="https://undocs.org/A/Res/65/230" TargetMode="External"/><Relationship Id="rId15" Type="http://schemas.openxmlformats.org/officeDocument/2006/relationships/hyperlink" Target="https://eur-lex.europa.eu/legal-content/PL/TXT/HTML/?uri=CELEX:52018PC0226&amp;from=PL" TargetMode="External"/><Relationship Id="rId10" Type="http://schemas.openxmlformats.org/officeDocument/2006/relationships/hyperlink" Target="https://documents-dds-ny.un.org/doc/UNDOC/GEN/N21/133/51/PDF/N2113351.pdf?OpenElement" TargetMode="External"/><Relationship Id="rId19" Type="http://schemas.openxmlformats.org/officeDocument/2006/relationships/hyperlink" Target="https://eur-lex.europa.eu/legal-content/PL/ALL/?uri=CELEX:32013L0040" TargetMode="External"/><Relationship Id="rId4" Type="http://schemas.openxmlformats.org/officeDocument/2006/relationships/hyperlink" Target="https://www.coe.int/en/web/cybercrime/-/second-additional-protocol-to-the-cybercrime-convention-adopted-by-the-committee-of-ministers-of-the-council-of-europe" TargetMode="External"/><Relationship Id="rId9" Type="http://schemas.openxmlformats.org/officeDocument/2006/relationships/hyperlink" Target="https://undocs.org/en/A/RES/74/247" TargetMode="External"/><Relationship Id="rId14" Type="http://schemas.openxmlformats.org/officeDocument/2006/relationships/hyperlink" Target="https://eur-lex.europa.eu/legal-content/PL/TXT/HTML/?uri=CELEX:52018PC0225&amp;from=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58477F6FD8EA6F4A991FEB3FEDFA77F4" ma:contentTypeVersion="0" ma:contentTypeDescription="Create a new document in this library." ma:contentTypeScope="" ma:versionID="0822e19451d396f0560d3c403dd5fa99">
  <xsd:schema xmlns:xsd="http://www.w3.org/2001/XMLSchema" xmlns:xs="http://www.w3.org/2001/XMLSchema" xmlns:p="http://schemas.microsoft.com/office/2006/metadata/properties" xmlns:ns2="http://schemas.microsoft.com/sharepoint/v3/fields" xmlns:ns3="69fd4670-f4ca-4b7d-b0a0-6eb9b235e900" targetNamespace="http://schemas.microsoft.com/office/2006/metadata/properties" ma:root="true" ma:fieldsID="92549fce6756d2fe2d1737ec69679744" ns2:_="" ns3:_="">
    <xsd:import namespace="http://schemas.microsoft.com/sharepoint/v3/fields"/>
    <xsd:import namespace="69fd4670-f4ca-4b7d-b0a0-6eb9b235e900"/>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fd4670-f4ca-4b7d-b0a0-6eb9b235e90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69fd4670-f4ca-4b7d-b0a0-6eb9b235e900">Not Started</EC_Collab_Status>
    <_Status xmlns="http://schemas.microsoft.com/sharepoint/v3/fields">Not Started</_Status>
    <EC_Collab_Reference xmlns="69fd4670-f4ca-4b7d-b0a0-6eb9b235e900" xsi:nil="true"/>
    <EC_Collab_DocumentLanguage xmlns="69fd4670-f4ca-4b7d-b0a0-6eb9b235e900">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BD155-2E34-4D8B-ABA0-944F51F89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9fd4670-f4ca-4b7d-b0a0-6eb9b235e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1EA30-562D-492E-90AA-EE3BFFC3F2E2}">
  <ds:schemaRefs>
    <ds:schemaRef ds:uri="http://schemas.microsoft.com/sharepoint/v3/field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9fd4670-f4ca-4b7d-b0a0-6eb9b235e90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F0E3CE6-2ECD-4FE5-99F1-14357B58EBE3}">
  <ds:schemaRefs>
    <ds:schemaRef ds:uri="http://schemas.microsoft.com/sharepoint/v3/contenttype/forms"/>
  </ds:schemaRefs>
</ds:datastoreItem>
</file>

<file path=customXml/itemProps4.xml><?xml version="1.0" encoding="utf-8"?>
<ds:datastoreItem xmlns:ds="http://schemas.openxmlformats.org/officeDocument/2006/customXml" ds:itemID="{F4D3BCFE-82A6-4EF8-B269-25D53199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11</Pages>
  <Words>2569</Words>
  <Characters>17630</Characters>
  <Application>Microsoft Office Word</Application>
  <DocSecurity>0</DocSecurity>
  <Lines>298</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2022-03-03T16:33:00Z</dcterms:created>
  <dcterms:modified xsi:type="dcterms:W3CDTF">2022-03-25T07:47:00Z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0x010100258AA79CEB83498886A3A086811232500058477F6FD8EA6F4A991FEB3FEDFA77F4</vt:lpwstr>
  </property>
  <property fmtid="{D5CDD505-2E9C-101B-9397-08002B2CF9AE}" pid="3" name="Level of sensitivity">
    <vt:lpwstr>Standard treatment</vt:lpwstr>
  </property>
  <property fmtid="{D5CDD505-2E9C-101B-9397-08002B2CF9AE}" pid="4" name="Category">
    <vt:lpwstr>COM/PL/ORG/NOEEA</vt:lpwstr>
  </property>
  <property fmtid="{D5CDD505-2E9C-101B-9397-08002B2CF9AE}" pid="5" name="Last edi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WTemplateID">
    <vt:lpwstr>SG-001</vt:lpwstr>
  </property>
  <property fmtid="{D5CDD505-2E9C-101B-9397-08002B2CF9AE}" pid="9" name="DQCStatus">
    <vt:lpwstr>Green (DQC version 03)</vt:lpwstr>
  </property>
</Properties>
</file>