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125" w:rsidRPr="007360B2" w:rsidRDefault="00CE7D10" w:rsidP="00CE7D1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1BA546E-B623-4682-B88B-D53B64726012" style="width:455.25pt;height:426pt">
            <v:imagedata r:id="rId12" o:title=""/>
          </v:shape>
        </w:pict>
      </w:r>
    </w:p>
    <w:p w:rsidR="00246891" w:rsidRPr="007360B2" w:rsidRDefault="00246891" w:rsidP="00246891">
      <w:pPr>
        <w:rPr>
          <w:noProof/>
        </w:rPr>
        <w:sectPr w:rsidR="00246891" w:rsidRPr="007360B2" w:rsidSect="00CE7D10">
          <w:footerReference w:type="default" r:id="rId13"/>
          <w:pgSz w:w="11907" w:h="16839"/>
          <w:pgMar w:top="1134" w:right="1417" w:bottom="1134" w:left="1417" w:header="709" w:footer="709" w:gutter="0"/>
          <w:pgNumType w:start="0"/>
          <w:cols w:space="720"/>
          <w:docGrid w:linePitch="360"/>
        </w:sectPr>
      </w:pPr>
    </w:p>
    <w:p w:rsidR="00665EFC" w:rsidRPr="002F2FE4" w:rsidRDefault="00665EFC" w:rsidP="00E03EA4">
      <w:pPr>
        <w:pStyle w:val="Exposdesmotifstitre"/>
        <w:rPr>
          <w:noProof/>
        </w:rPr>
      </w:pPr>
      <w:bookmarkStart w:id="0" w:name="_GoBack"/>
      <w:bookmarkEnd w:id="0"/>
      <w:r w:rsidRPr="002F2FE4">
        <w:rPr>
          <w:noProof/>
        </w:rPr>
        <w:lastRenderedPageBreak/>
        <w:t>EXPLANATORY MEMORANDUM</w:t>
      </w:r>
    </w:p>
    <w:p w:rsidR="00665EFC" w:rsidRPr="007360B2" w:rsidRDefault="00665EFC" w:rsidP="008D4FB5">
      <w:pPr>
        <w:pStyle w:val="ManualHeading1"/>
        <w:spacing w:after="240"/>
        <w:rPr>
          <w:noProof/>
        </w:rPr>
      </w:pPr>
      <w:r w:rsidRPr="007360B2">
        <w:rPr>
          <w:noProof/>
        </w:rPr>
        <w:t>1.</w:t>
      </w:r>
      <w:r w:rsidRPr="007360B2">
        <w:rPr>
          <w:noProof/>
        </w:rPr>
        <w:tab/>
        <w:t>CONTEXT OF THE PROPOSAL</w:t>
      </w:r>
    </w:p>
    <w:p w:rsidR="00665EFC" w:rsidRPr="007360B2" w:rsidRDefault="00665EFC" w:rsidP="008D4FB5">
      <w:pPr>
        <w:pStyle w:val="ManualHeading2"/>
        <w:spacing w:after="240"/>
        <w:rPr>
          <w:noProof/>
        </w:rPr>
      </w:pPr>
      <w:r w:rsidRPr="007360B2">
        <w:rPr>
          <w:noProof/>
        </w:rPr>
        <w:t>1.1.</w:t>
      </w:r>
      <w:r w:rsidRPr="007360B2">
        <w:rPr>
          <w:noProof/>
        </w:rPr>
        <w:tab/>
        <w:t>Reasons for and objectives of the proposal</w:t>
      </w:r>
    </w:p>
    <w:p w:rsidR="00665EFC" w:rsidRPr="007360B2" w:rsidRDefault="00665EFC" w:rsidP="008D4FB5">
      <w:pPr>
        <w:spacing w:before="0" w:after="240"/>
        <w:rPr>
          <w:noProof/>
          <w:color w:val="000000"/>
          <w:shd w:val="clear" w:color="auto" w:fill="FFFFFF"/>
        </w:rPr>
      </w:pPr>
      <w:r w:rsidRPr="007360B2">
        <w:rPr>
          <w:noProof/>
          <w:color w:val="000000"/>
          <w:shd w:val="clear" w:color="auto" w:fill="FFFFFF"/>
        </w:rPr>
        <w:t xml:space="preserve">The </w:t>
      </w:r>
      <w:r w:rsidR="002D5F9C" w:rsidRPr="002D5F9C">
        <w:rPr>
          <w:noProof/>
          <w:color w:val="000000"/>
          <w:shd w:val="clear" w:color="auto" w:fill="FFFFFF"/>
        </w:rPr>
        <w:t>Trea</w:t>
      </w:r>
      <w:r w:rsidR="002D5F9C">
        <w:rPr>
          <w:noProof/>
          <w:color w:val="000000"/>
          <w:shd w:val="clear" w:color="auto" w:fill="FFFFFF"/>
        </w:rPr>
        <w:t>ty on the Functioning of the European Union</w:t>
      </w:r>
      <w:r w:rsidRPr="007360B2">
        <w:rPr>
          <w:noProof/>
          <w:color w:val="000000"/>
          <w:shd w:val="clear" w:color="auto" w:fill="FFFFFF"/>
        </w:rPr>
        <w:t xml:space="preserve"> (Articles 114 and 169 TFEU) and the Charter of Fundamental Rights (Article 38) require a high level of consumer protection in the </w:t>
      </w:r>
      <w:r w:rsidR="00B4199F" w:rsidRPr="001D16DE">
        <w:rPr>
          <w:noProof/>
          <w:color w:val="000000"/>
          <w:shd w:val="clear" w:color="auto" w:fill="FFFFFF"/>
        </w:rPr>
        <w:t>E</w:t>
      </w:r>
      <w:r w:rsidRPr="001D16DE">
        <w:rPr>
          <w:noProof/>
          <w:color w:val="000000"/>
          <w:shd w:val="clear" w:color="auto" w:fill="FFFFFF"/>
        </w:rPr>
        <w:t xml:space="preserve">U. </w:t>
      </w:r>
      <w:r w:rsidR="00B4199F" w:rsidRPr="001D16DE">
        <w:rPr>
          <w:noProof/>
          <w:color w:val="000000"/>
          <w:shd w:val="clear" w:color="auto" w:fill="FFFFFF"/>
        </w:rPr>
        <w:t>EU</w:t>
      </w:r>
      <w:r w:rsidRPr="007360B2">
        <w:rPr>
          <w:noProof/>
          <w:color w:val="000000"/>
          <w:shd w:val="clear" w:color="auto" w:fill="FFFFFF"/>
        </w:rPr>
        <w:t xml:space="preserve"> consumer legislation </w:t>
      </w:r>
      <w:r w:rsidR="00194248">
        <w:rPr>
          <w:noProof/>
          <w:color w:val="000000"/>
          <w:shd w:val="clear" w:color="auto" w:fill="FFFFFF"/>
        </w:rPr>
        <w:t xml:space="preserve">also </w:t>
      </w:r>
      <w:r w:rsidRPr="007360B2">
        <w:rPr>
          <w:noProof/>
          <w:color w:val="000000"/>
          <w:shd w:val="clear" w:color="auto" w:fill="FFFFFF"/>
        </w:rPr>
        <w:t xml:space="preserve">contributes to the proper functioning of the </w:t>
      </w:r>
      <w:r w:rsidR="00B4199F" w:rsidRPr="001D16DE">
        <w:rPr>
          <w:noProof/>
          <w:color w:val="000000"/>
          <w:shd w:val="clear" w:color="auto" w:fill="FFFFFF"/>
        </w:rPr>
        <w:t>single</w:t>
      </w:r>
      <w:r w:rsidRPr="007360B2">
        <w:rPr>
          <w:noProof/>
          <w:color w:val="000000"/>
          <w:shd w:val="clear" w:color="auto" w:fill="FFFFFF"/>
        </w:rPr>
        <w:t xml:space="preserve"> market. It aims to </w:t>
      </w:r>
      <w:r w:rsidR="00292C54">
        <w:rPr>
          <w:noProof/>
          <w:color w:val="000000"/>
          <w:shd w:val="clear" w:color="auto" w:fill="FFFFFF"/>
        </w:rPr>
        <w:t xml:space="preserve">make </w:t>
      </w:r>
      <w:r w:rsidRPr="007360B2">
        <w:rPr>
          <w:noProof/>
          <w:color w:val="000000"/>
          <w:shd w:val="clear" w:color="auto" w:fill="FFFFFF"/>
        </w:rPr>
        <w:t>business-to-consumer relations fair and transparent</w:t>
      </w:r>
      <w:r w:rsidR="004D0663">
        <w:rPr>
          <w:noProof/>
          <w:color w:val="000000"/>
          <w:shd w:val="clear" w:color="auto" w:fill="FFFFFF"/>
        </w:rPr>
        <w:t xml:space="preserve"> and</w:t>
      </w:r>
      <w:r w:rsidRPr="007360B2">
        <w:rPr>
          <w:noProof/>
          <w:color w:val="000000"/>
          <w:shd w:val="clear" w:color="auto" w:fill="FFFFFF"/>
        </w:rPr>
        <w:t xml:space="preserve"> ultimately support the welfare of European consumers and the </w:t>
      </w:r>
      <w:r w:rsidR="00B4199F" w:rsidRPr="001D16DE">
        <w:rPr>
          <w:noProof/>
          <w:color w:val="000000"/>
          <w:shd w:val="clear" w:color="auto" w:fill="FFFFFF"/>
        </w:rPr>
        <w:t>EU</w:t>
      </w:r>
      <w:r w:rsidRPr="007360B2">
        <w:rPr>
          <w:noProof/>
          <w:color w:val="000000"/>
          <w:shd w:val="clear" w:color="auto" w:fill="FFFFFF"/>
        </w:rPr>
        <w:t xml:space="preserve"> economy. </w:t>
      </w:r>
    </w:p>
    <w:p w:rsidR="00665EFC" w:rsidRPr="00700B14" w:rsidRDefault="0066512A" w:rsidP="008D4FB5">
      <w:pPr>
        <w:spacing w:before="0" w:after="240"/>
        <w:rPr>
          <w:noProof/>
          <w:szCs w:val="24"/>
        </w:rPr>
      </w:pPr>
      <w:r w:rsidRPr="007360B2">
        <w:rPr>
          <w:noProof/>
        </w:rPr>
        <w:t xml:space="preserve">This proposal aims at </w:t>
      </w:r>
      <w:r>
        <w:rPr>
          <w:noProof/>
        </w:rPr>
        <w:t xml:space="preserve">enhancing consumer rights by </w:t>
      </w:r>
      <w:r w:rsidRPr="007360B2">
        <w:rPr>
          <w:noProof/>
        </w:rPr>
        <w:t>amending two directives that protect the</w:t>
      </w:r>
      <w:r>
        <w:rPr>
          <w:noProof/>
        </w:rPr>
        <w:t xml:space="preserve"> interest of consumers</w:t>
      </w:r>
      <w:r w:rsidR="00B83F54">
        <w:rPr>
          <w:noProof/>
        </w:rPr>
        <w:t xml:space="preserve"> </w:t>
      </w:r>
      <w:r w:rsidR="00DB4F26">
        <w:rPr>
          <w:noProof/>
        </w:rPr>
        <w:t>at</w:t>
      </w:r>
      <w:r w:rsidR="00B83F54">
        <w:rPr>
          <w:noProof/>
        </w:rPr>
        <w:t xml:space="preserve"> Union level</w:t>
      </w:r>
      <w:r>
        <w:rPr>
          <w:noProof/>
        </w:rPr>
        <w:t>:</w:t>
      </w:r>
      <w:r w:rsidRPr="007360B2">
        <w:rPr>
          <w:noProof/>
        </w:rPr>
        <w:t xml:space="preserve"> the </w:t>
      </w:r>
      <w:r w:rsidR="00932E37" w:rsidRPr="007360B2">
        <w:rPr>
          <w:noProof/>
        </w:rPr>
        <w:t>Unfair Commercial Practices Directive 2005/29/EC</w:t>
      </w:r>
      <w:r w:rsidR="00932E37" w:rsidRPr="007360B2">
        <w:rPr>
          <w:rStyle w:val="FootnoteReference0"/>
          <w:noProof/>
        </w:rPr>
        <w:footnoteReference w:id="2"/>
      </w:r>
      <w:r w:rsidR="00932E37">
        <w:rPr>
          <w:noProof/>
        </w:rPr>
        <w:t xml:space="preserve"> and </w:t>
      </w:r>
      <w:r w:rsidRPr="007360B2">
        <w:rPr>
          <w:noProof/>
        </w:rPr>
        <w:t>the Consumer Rights Directive 2011/83/EU</w:t>
      </w:r>
      <w:r w:rsidRPr="007360B2">
        <w:rPr>
          <w:rStyle w:val="FootnoteReference0"/>
          <w:noProof/>
        </w:rPr>
        <w:footnoteReference w:id="3"/>
      </w:r>
      <w:r w:rsidRPr="007360B2">
        <w:rPr>
          <w:noProof/>
        </w:rPr>
        <w:t xml:space="preserve">. </w:t>
      </w:r>
      <w:r>
        <w:rPr>
          <w:noProof/>
        </w:rPr>
        <w:t>More specifically, t</w:t>
      </w:r>
      <w:r w:rsidR="00665EFC" w:rsidRPr="00E105EE">
        <w:rPr>
          <w:noProof/>
        </w:rPr>
        <w:t xml:space="preserve">he proposal </w:t>
      </w:r>
      <w:r>
        <w:rPr>
          <w:noProof/>
        </w:rPr>
        <w:t>aims to</w:t>
      </w:r>
      <w:r w:rsidR="00665EFC" w:rsidRPr="00E105EE">
        <w:rPr>
          <w:noProof/>
        </w:rPr>
        <w:t xml:space="preserve"> </w:t>
      </w:r>
      <w:r w:rsidR="00886C4E">
        <w:rPr>
          <w:noProof/>
        </w:rPr>
        <w:t>contribute to a</w:t>
      </w:r>
      <w:r w:rsidR="00665EFC" w:rsidRPr="00E105EE">
        <w:rPr>
          <w:noProof/>
        </w:rPr>
        <w:t xml:space="preserve"> circular, clean and green </w:t>
      </w:r>
      <w:r w:rsidR="00886C4E">
        <w:rPr>
          <w:noProof/>
        </w:rPr>
        <w:t xml:space="preserve">EU </w:t>
      </w:r>
      <w:r w:rsidR="00665EFC" w:rsidRPr="00E105EE">
        <w:rPr>
          <w:noProof/>
        </w:rPr>
        <w:t>economy</w:t>
      </w:r>
      <w:r w:rsidR="004D0663">
        <w:rPr>
          <w:noProof/>
        </w:rPr>
        <w:t xml:space="preserve"> by</w:t>
      </w:r>
      <w:r w:rsidR="00886C4E">
        <w:rPr>
          <w:noProof/>
          <w:color w:val="000000"/>
          <w:shd w:val="clear" w:color="auto" w:fill="FFFFFF"/>
        </w:rPr>
        <w:t xml:space="preserve"> </w:t>
      </w:r>
      <w:r w:rsidR="00665EFC" w:rsidRPr="00E105EE">
        <w:rPr>
          <w:noProof/>
          <w:color w:val="000000"/>
          <w:shd w:val="clear" w:color="auto" w:fill="FFFFFF"/>
        </w:rPr>
        <w:t xml:space="preserve">enabling </w:t>
      </w:r>
      <w:r w:rsidR="004D0663">
        <w:rPr>
          <w:noProof/>
          <w:color w:val="000000"/>
          <w:shd w:val="clear" w:color="auto" w:fill="FFFFFF"/>
        </w:rPr>
        <w:t xml:space="preserve">consumers to take </w:t>
      </w:r>
      <w:r w:rsidR="00665EFC" w:rsidRPr="00E105EE">
        <w:rPr>
          <w:noProof/>
          <w:color w:val="000000"/>
          <w:shd w:val="clear" w:color="auto" w:fill="FFFFFF"/>
        </w:rPr>
        <w:t xml:space="preserve">informed purchasing decisions </w:t>
      </w:r>
      <w:r w:rsidR="00886C4E">
        <w:rPr>
          <w:noProof/>
          <w:color w:val="000000"/>
          <w:shd w:val="clear" w:color="auto" w:fill="FFFFFF"/>
        </w:rPr>
        <w:t>and</w:t>
      </w:r>
      <w:r w:rsidR="00322B1E">
        <w:rPr>
          <w:noProof/>
          <w:color w:val="000000"/>
          <w:shd w:val="clear" w:color="auto" w:fill="FFFFFF"/>
        </w:rPr>
        <w:t xml:space="preserve"> therefore</w:t>
      </w:r>
      <w:r w:rsidR="00886C4E">
        <w:rPr>
          <w:noProof/>
          <w:color w:val="000000"/>
          <w:shd w:val="clear" w:color="auto" w:fill="FFFFFF"/>
        </w:rPr>
        <w:t xml:space="preserve"> </w:t>
      </w:r>
      <w:r w:rsidR="004D0663" w:rsidRPr="001D16DE">
        <w:rPr>
          <w:noProof/>
          <w:color w:val="000000"/>
          <w:shd w:val="clear" w:color="auto" w:fill="FFFFFF"/>
        </w:rPr>
        <w:t>contribut</w:t>
      </w:r>
      <w:r w:rsidR="00B4199F" w:rsidRPr="001D16DE">
        <w:rPr>
          <w:noProof/>
          <w:color w:val="000000"/>
          <w:shd w:val="clear" w:color="auto" w:fill="FFFFFF"/>
        </w:rPr>
        <w:t>e</w:t>
      </w:r>
      <w:r w:rsidR="004D0663">
        <w:rPr>
          <w:noProof/>
          <w:color w:val="000000"/>
          <w:shd w:val="clear" w:color="auto" w:fill="FFFFFF"/>
        </w:rPr>
        <w:t xml:space="preserve"> to </w:t>
      </w:r>
      <w:r w:rsidR="00886C4E">
        <w:rPr>
          <w:noProof/>
          <w:color w:val="000000"/>
          <w:shd w:val="clear" w:color="auto" w:fill="FFFFFF"/>
        </w:rPr>
        <w:t xml:space="preserve">more </w:t>
      </w:r>
      <w:r w:rsidR="00665EFC" w:rsidRPr="00E105EE">
        <w:rPr>
          <w:noProof/>
          <w:color w:val="000000"/>
          <w:shd w:val="clear" w:color="auto" w:fill="FFFFFF"/>
        </w:rPr>
        <w:t>sustainable consumption</w:t>
      </w:r>
      <w:r w:rsidR="00886C4E">
        <w:rPr>
          <w:noProof/>
          <w:color w:val="000000"/>
          <w:shd w:val="clear" w:color="auto" w:fill="FFFFFF"/>
        </w:rPr>
        <w:t xml:space="preserve">. </w:t>
      </w:r>
      <w:r w:rsidR="00D04BC7">
        <w:rPr>
          <w:noProof/>
          <w:color w:val="000000"/>
          <w:shd w:val="clear" w:color="auto" w:fill="FFFFFF"/>
        </w:rPr>
        <w:t>It</w:t>
      </w:r>
      <w:r w:rsidR="00886C4E">
        <w:rPr>
          <w:noProof/>
          <w:color w:val="000000"/>
          <w:shd w:val="clear" w:color="auto" w:fill="FFFFFF"/>
        </w:rPr>
        <w:t xml:space="preserve"> also targets </w:t>
      </w:r>
      <w:r w:rsidR="00DC757A">
        <w:rPr>
          <w:noProof/>
          <w:color w:val="000000"/>
          <w:shd w:val="clear" w:color="auto" w:fill="FFFFFF"/>
        </w:rPr>
        <w:t xml:space="preserve">unfair </w:t>
      </w:r>
      <w:r w:rsidR="00041FB6">
        <w:rPr>
          <w:noProof/>
          <w:color w:val="000000"/>
          <w:shd w:val="clear" w:color="auto" w:fill="FFFFFF"/>
        </w:rPr>
        <w:t xml:space="preserve">commercial </w:t>
      </w:r>
      <w:r w:rsidR="00665EFC" w:rsidRPr="00E40C83">
        <w:rPr>
          <w:noProof/>
          <w:color w:val="000000"/>
          <w:shd w:val="clear" w:color="auto" w:fill="FFFFFF"/>
        </w:rPr>
        <w:t>practices that mislead consumers away from sustainable consumption choices</w:t>
      </w:r>
      <w:r w:rsidR="002466D8">
        <w:rPr>
          <w:noProof/>
          <w:color w:val="000000"/>
          <w:shd w:val="clear" w:color="auto" w:fill="FFFFFF"/>
        </w:rPr>
        <w:t xml:space="preserve">. Furthermore, it </w:t>
      </w:r>
      <w:r w:rsidR="00292C54">
        <w:rPr>
          <w:noProof/>
          <w:color w:val="000000"/>
          <w:shd w:val="clear" w:color="auto" w:fill="FFFFFF"/>
        </w:rPr>
        <w:t xml:space="preserve">ensures a </w:t>
      </w:r>
      <w:r w:rsidR="00665EFC" w:rsidRPr="00E40C83">
        <w:rPr>
          <w:noProof/>
          <w:color w:val="000000"/>
          <w:shd w:val="clear" w:color="auto" w:fill="FFFFFF"/>
        </w:rPr>
        <w:t xml:space="preserve">better and </w:t>
      </w:r>
      <w:r w:rsidR="009E4BF6">
        <w:rPr>
          <w:noProof/>
          <w:color w:val="000000"/>
          <w:shd w:val="clear" w:color="auto" w:fill="FFFFFF"/>
        </w:rPr>
        <w:t xml:space="preserve">more </w:t>
      </w:r>
      <w:r w:rsidR="00665EFC" w:rsidRPr="001D16DE">
        <w:rPr>
          <w:noProof/>
          <w:color w:val="000000"/>
          <w:shd w:val="clear" w:color="auto" w:fill="FFFFFF"/>
        </w:rPr>
        <w:t>co</w:t>
      </w:r>
      <w:r w:rsidR="00B4199F" w:rsidRPr="001D16DE">
        <w:rPr>
          <w:noProof/>
          <w:color w:val="000000"/>
          <w:shd w:val="clear" w:color="auto" w:fill="FFFFFF"/>
        </w:rPr>
        <w:t>nsist</w:t>
      </w:r>
      <w:r w:rsidR="00665EFC" w:rsidRPr="001D16DE">
        <w:rPr>
          <w:noProof/>
          <w:color w:val="000000"/>
          <w:shd w:val="clear" w:color="auto" w:fill="FFFFFF"/>
        </w:rPr>
        <w:t>ent</w:t>
      </w:r>
      <w:r w:rsidR="00665EFC" w:rsidRPr="00E40C83">
        <w:rPr>
          <w:noProof/>
          <w:color w:val="000000"/>
          <w:shd w:val="clear" w:color="auto" w:fill="FFFFFF"/>
        </w:rPr>
        <w:t xml:space="preserve"> application of EU </w:t>
      </w:r>
      <w:r w:rsidR="00665EFC" w:rsidRPr="00E105EE">
        <w:rPr>
          <w:noProof/>
          <w:color w:val="000000"/>
          <w:shd w:val="clear" w:color="auto" w:fill="FFFFFF"/>
        </w:rPr>
        <w:t xml:space="preserve">consumer </w:t>
      </w:r>
      <w:r w:rsidR="00B4199F" w:rsidRPr="001D16DE">
        <w:rPr>
          <w:noProof/>
          <w:color w:val="000000"/>
          <w:shd w:val="clear" w:color="auto" w:fill="FFFFFF"/>
        </w:rPr>
        <w:t>rules</w:t>
      </w:r>
      <w:r w:rsidR="00665EFC" w:rsidRPr="001E37A3">
        <w:rPr>
          <w:noProof/>
          <w:color w:val="000000"/>
          <w:shd w:val="clear" w:color="auto" w:fill="FFFFFF"/>
        </w:rPr>
        <w:t>.</w:t>
      </w:r>
    </w:p>
    <w:p w:rsidR="00B4199F" w:rsidRPr="001D16DE" w:rsidRDefault="0066512A" w:rsidP="008D4FB5">
      <w:pPr>
        <w:spacing w:before="0" w:after="240"/>
        <w:rPr>
          <w:noProof/>
          <w:color w:val="000000"/>
          <w:shd w:val="clear" w:color="auto" w:fill="FFFFFF"/>
        </w:rPr>
      </w:pPr>
      <w:r>
        <w:rPr>
          <w:noProof/>
          <w:color w:val="000000"/>
          <w:shd w:val="clear" w:color="auto" w:fill="FFFFFF"/>
        </w:rPr>
        <w:t>The</w:t>
      </w:r>
      <w:r w:rsidRPr="007360B2">
        <w:rPr>
          <w:noProof/>
          <w:color w:val="000000"/>
          <w:shd w:val="clear" w:color="auto" w:fill="FFFFFF"/>
        </w:rPr>
        <w:t xml:space="preserve"> </w:t>
      </w:r>
      <w:r w:rsidR="00665EFC" w:rsidRPr="007360B2">
        <w:rPr>
          <w:noProof/>
          <w:color w:val="000000"/>
          <w:shd w:val="clear" w:color="auto" w:fill="FFFFFF"/>
        </w:rPr>
        <w:t xml:space="preserve">proposal </w:t>
      </w:r>
      <w:r>
        <w:rPr>
          <w:noProof/>
          <w:color w:val="000000"/>
          <w:shd w:val="clear" w:color="auto" w:fill="FFFFFF"/>
        </w:rPr>
        <w:t>was</w:t>
      </w:r>
      <w:r w:rsidR="00886C4E">
        <w:rPr>
          <w:noProof/>
          <w:color w:val="000000"/>
          <w:shd w:val="clear" w:color="auto" w:fill="FFFFFF"/>
        </w:rPr>
        <w:t xml:space="preserve"> </w:t>
      </w:r>
      <w:r>
        <w:rPr>
          <w:noProof/>
          <w:color w:val="000000"/>
          <w:shd w:val="clear" w:color="auto" w:fill="FFFFFF"/>
        </w:rPr>
        <w:t xml:space="preserve">one of the initiatives set out </w:t>
      </w:r>
      <w:r w:rsidR="00886C4E">
        <w:rPr>
          <w:noProof/>
          <w:color w:val="000000"/>
          <w:shd w:val="clear" w:color="auto" w:fill="FFFFFF"/>
        </w:rPr>
        <w:t>in</w:t>
      </w:r>
      <w:r w:rsidR="00665EFC" w:rsidRPr="007360B2">
        <w:rPr>
          <w:noProof/>
          <w:color w:val="000000"/>
          <w:shd w:val="clear" w:color="auto" w:fill="FFFFFF"/>
        </w:rPr>
        <w:t xml:space="preserve"> the New Consumer Agenda</w:t>
      </w:r>
      <w:r w:rsidR="00665EFC" w:rsidRPr="007360B2">
        <w:rPr>
          <w:rStyle w:val="FootnoteReference0"/>
          <w:noProof/>
          <w:color w:val="000000"/>
          <w:shd w:val="clear" w:color="auto" w:fill="FFFFFF"/>
        </w:rPr>
        <w:footnoteReference w:id="4"/>
      </w:r>
      <w:r w:rsidR="00665EFC" w:rsidRPr="007360B2">
        <w:rPr>
          <w:noProof/>
          <w:color w:val="000000"/>
          <w:shd w:val="clear" w:color="auto" w:fill="FFFFFF"/>
        </w:rPr>
        <w:t xml:space="preserve"> and </w:t>
      </w:r>
      <w:r w:rsidR="001F60F9">
        <w:rPr>
          <w:noProof/>
          <w:color w:val="000000"/>
          <w:shd w:val="clear" w:color="auto" w:fill="FFFFFF"/>
        </w:rPr>
        <w:t>the Circular Economy Action Plan</w:t>
      </w:r>
      <w:r w:rsidR="00C57520" w:rsidRPr="00D240F5">
        <w:rPr>
          <w:rStyle w:val="FootnoteReference0"/>
          <w:noProof/>
          <w:color w:val="000000"/>
        </w:rPr>
        <w:footnoteReference w:id="5"/>
      </w:r>
      <w:r w:rsidR="00B86747">
        <w:rPr>
          <w:noProof/>
          <w:color w:val="000000"/>
          <w:shd w:val="clear" w:color="auto" w:fill="FFFFFF"/>
        </w:rPr>
        <w:t xml:space="preserve"> </w:t>
      </w:r>
      <w:r>
        <w:rPr>
          <w:noProof/>
          <w:color w:val="000000"/>
          <w:shd w:val="clear" w:color="auto" w:fill="FFFFFF"/>
        </w:rPr>
        <w:t xml:space="preserve">and </w:t>
      </w:r>
      <w:r w:rsidR="00393349">
        <w:rPr>
          <w:noProof/>
          <w:color w:val="000000"/>
          <w:shd w:val="clear" w:color="auto" w:fill="FFFFFF"/>
        </w:rPr>
        <w:t>follows up on</w:t>
      </w:r>
      <w:r w:rsidR="00393349" w:rsidRPr="007360B2">
        <w:rPr>
          <w:noProof/>
          <w:color w:val="000000"/>
          <w:shd w:val="clear" w:color="auto" w:fill="FFFFFF"/>
        </w:rPr>
        <w:t xml:space="preserve"> </w:t>
      </w:r>
      <w:r w:rsidR="00665EFC" w:rsidRPr="007360B2">
        <w:rPr>
          <w:noProof/>
          <w:color w:val="000000"/>
          <w:shd w:val="clear" w:color="auto" w:fill="FFFFFF"/>
        </w:rPr>
        <w:t xml:space="preserve">the </w:t>
      </w:r>
      <w:r w:rsidR="00C57520">
        <w:rPr>
          <w:noProof/>
          <w:color w:val="000000"/>
          <w:shd w:val="clear" w:color="auto" w:fill="FFFFFF"/>
        </w:rPr>
        <w:t xml:space="preserve">European </w:t>
      </w:r>
      <w:r w:rsidR="00665EFC" w:rsidRPr="007360B2">
        <w:rPr>
          <w:noProof/>
          <w:color w:val="000000"/>
          <w:shd w:val="clear" w:color="auto" w:fill="FFFFFF"/>
        </w:rPr>
        <w:t>Green Deal</w:t>
      </w:r>
      <w:r w:rsidR="00C57520" w:rsidRPr="00C57520">
        <w:rPr>
          <w:rStyle w:val="FootnoteReference0"/>
          <w:noProof/>
          <w:color w:val="000000"/>
          <w:shd w:val="clear" w:color="auto" w:fill="FFFFFF"/>
        </w:rPr>
        <w:footnoteReference w:id="6"/>
      </w:r>
      <w:r w:rsidR="00B4199F" w:rsidRPr="001D16DE">
        <w:rPr>
          <w:noProof/>
          <w:color w:val="000000"/>
          <w:shd w:val="clear" w:color="auto" w:fill="FFFFFF"/>
        </w:rPr>
        <w:t>.</w:t>
      </w:r>
      <w:r w:rsidR="004E410B" w:rsidRPr="001D16DE">
        <w:rPr>
          <w:noProof/>
          <w:color w:val="000000"/>
          <w:shd w:val="clear" w:color="auto" w:fill="FFFFFF"/>
        </w:rPr>
        <w:t xml:space="preserve"> </w:t>
      </w:r>
      <w:r w:rsidR="00CB7BA8">
        <w:rPr>
          <w:noProof/>
          <w:color w:val="000000"/>
          <w:shd w:val="clear" w:color="auto" w:fill="FFFFFF"/>
        </w:rPr>
        <w:t>Empowering consumers and providing them with cost-saving opportunities is a key building block of th</w:t>
      </w:r>
      <w:r w:rsidR="00CB7BA8" w:rsidRPr="00567A16">
        <w:rPr>
          <w:noProof/>
          <w:shd w:val="clear" w:color="auto" w:fill="FFFFFF"/>
        </w:rPr>
        <w:t xml:space="preserve">e sustainable product policy framework. This is to be achieved through the </w:t>
      </w:r>
      <w:r w:rsidR="00CB7BA8">
        <w:rPr>
          <w:noProof/>
          <w:shd w:val="clear" w:color="auto" w:fill="FFFFFF"/>
        </w:rPr>
        <w:t>improved</w:t>
      </w:r>
      <w:r w:rsidR="00CB7BA8" w:rsidRPr="00567A16">
        <w:rPr>
          <w:noProof/>
          <w:shd w:val="clear" w:color="auto" w:fill="FFFFFF"/>
        </w:rPr>
        <w:t xml:space="preserve"> participation of consumers in the circular economy, in particular by </w:t>
      </w:r>
      <w:r w:rsidR="004E410B">
        <w:rPr>
          <w:noProof/>
          <w:color w:val="000000"/>
          <w:shd w:val="clear" w:color="auto" w:fill="FFFFFF"/>
        </w:rPr>
        <w:t xml:space="preserve">providing better information on </w:t>
      </w:r>
      <w:r w:rsidR="00880B67">
        <w:rPr>
          <w:noProof/>
          <w:color w:val="000000"/>
          <w:shd w:val="clear" w:color="auto" w:fill="FFFFFF"/>
        </w:rPr>
        <w:t xml:space="preserve">the </w:t>
      </w:r>
      <w:r w:rsidR="004E410B">
        <w:rPr>
          <w:noProof/>
          <w:color w:val="000000"/>
          <w:shd w:val="clear" w:color="auto" w:fill="FFFFFF"/>
        </w:rPr>
        <w:t>durability and reparability of</w:t>
      </w:r>
      <w:r w:rsidR="00602D6B">
        <w:rPr>
          <w:noProof/>
          <w:color w:val="000000"/>
          <w:shd w:val="clear" w:color="auto" w:fill="FFFFFF"/>
        </w:rPr>
        <w:t xml:space="preserve"> certain</w:t>
      </w:r>
      <w:r w:rsidR="004E410B">
        <w:rPr>
          <w:noProof/>
          <w:color w:val="000000"/>
          <w:shd w:val="clear" w:color="auto" w:fill="FFFFFF"/>
        </w:rPr>
        <w:t xml:space="preserve"> products to </w:t>
      </w:r>
      <w:r w:rsidR="004E2BB8" w:rsidRPr="001D16DE">
        <w:rPr>
          <w:noProof/>
          <w:color w:val="000000"/>
          <w:shd w:val="clear" w:color="auto" w:fill="FFFFFF"/>
        </w:rPr>
        <w:t>consumers</w:t>
      </w:r>
      <w:r w:rsidR="00B83F54">
        <w:rPr>
          <w:noProof/>
          <w:color w:val="000000"/>
          <w:shd w:val="clear" w:color="auto" w:fill="FFFFFF"/>
        </w:rPr>
        <w:t xml:space="preserve"> </w:t>
      </w:r>
      <w:r w:rsidR="005B76F2" w:rsidRPr="007D7B63">
        <w:rPr>
          <w:noProof/>
          <w:color w:val="000000"/>
          <w:shd w:val="clear" w:color="auto" w:fill="FFFFFF"/>
        </w:rPr>
        <w:t>before concluding the contract</w:t>
      </w:r>
      <w:r w:rsidR="005B76F2">
        <w:rPr>
          <w:noProof/>
          <w:color w:val="000000"/>
          <w:shd w:val="clear" w:color="auto" w:fill="FFFFFF"/>
        </w:rPr>
        <w:t xml:space="preserve"> </w:t>
      </w:r>
      <w:r w:rsidR="004E410B">
        <w:rPr>
          <w:noProof/>
          <w:color w:val="000000"/>
          <w:shd w:val="clear" w:color="auto" w:fill="FFFFFF"/>
        </w:rPr>
        <w:t xml:space="preserve">and stepping up the protection of consumers against </w:t>
      </w:r>
      <w:r w:rsidR="00340BC9">
        <w:rPr>
          <w:noProof/>
          <w:color w:val="000000"/>
          <w:shd w:val="clear" w:color="auto" w:fill="FFFFFF"/>
        </w:rPr>
        <w:t xml:space="preserve">unfair </w:t>
      </w:r>
      <w:r w:rsidR="00271D8E">
        <w:rPr>
          <w:noProof/>
          <w:color w:val="000000"/>
          <w:shd w:val="clear" w:color="auto" w:fill="FFFFFF"/>
        </w:rPr>
        <w:t xml:space="preserve">commercial </w:t>
      </w:r>
      <w:r w:rsidR="00340BC9">
        <w:rPr>
          <w:noProof/>
          <w:color w:val="000000"/>
          <w:shd w:val="clear" w:color="auto" w:fill="FFFFFF"/>
        </w:rPr>
        <w:t xml:space="preserve">practices </w:t>
      </w:r>
      <w:r w:rsidR="00B4199F" w:rsidRPr="001D16DE">
        <w:rPr>
          <w:noProof/>
          <w:color w:val="000000"/>
          <w:shd w:val="clear" w:color="auto" w:fill="FFFFFF"/>
        </w:rPr>
        <w:t xml:space="preserve">that </w:t>
      </w:r>
      <w:r w:rsidR="00271D8E">
        <w:rPr>
          <w:noProof/>
          <w:color w:val="000000"/>
          <w:shd w:val="clear" w:color="auto" w:fill="FFFFFF"/>
        </w:rPr>
        <w:t>prevent sustainable purchases, such as</w:t>
      </w:r>
      <w:r w:rsidR="00B4199F" w:rsidRPr="001D16DE">
        <w:rPr>
          <w:noProof/>
          <w:color w:val="000000"/>
          <w:shd w:val="clear" w:color="auto" w:fill="FFFFFF"/>
        </w:rPr>
        <w:t>:</w:t>
      </w:r>
      <w:r w:rsidR="00340BC9" w:rsidRPr="00B86747">
        <w:rPr>
          <w:noProof/>
          <w:shd w:val="clear" w:color="auto" w:fill="FFFFFF"/>
        </w:rPr>
        <w:t xml:space="preserve"> </w:t>
      </w:r>
    </w:p>
    <w:p w:rsidR="00B4199F" w:rsidRPr="001D16DE" w:rsidRDefault="004E410B" w:rsidP="00C86155">
      <w:pPr>
        <w:pStyle w:val="Bullet1"/>
        <w:numPr>
          <w:ilvl w:val="0"/>
          <w:numId w:val="24"/>
        </w:numPr>
        <w:rPr>
          <w:noProof/>
          <w:shd w:val="clear" w:color="auto" w:fill="FFFFFF"/>
        </w:rPr>
      </w:pPr>
      <w:r w:rsidRPr="001D16DE">
        <w:rPr>
          <w:noProof/>
          <w:shd w:val="clear" w:color="auto" w:fill="FFFFFF"/>
        </w:rPr>
        <w:t xml:space="preserve">greenwashing </w:t>
      </w:r>
      <w:r w:rsidR="00271D8E" w:rsidRPr="001D16DE">
        <w:rPr>
          <w:noProof/>
          <w:shd w:val="clear" w:color="auto" w:fill="FFFFFF"/>
        </w:rPr>
        <w:t xml:space="preserve"> practices</w:t>
      </w:r>
      <w:r w:rsidR="00880B67" w:rsidRPr="001D16DE">
        <w:rPr>
          <w:noProof/>
          <w:shd w:val="clear" w:color="auto" w:fill="FFFFFF"/>
        </w:rPr>
        <w:t xml:space="preserve"> (i.e. misleading environmental claims)</w:t>
      </w:r>
      <w:r w:rsidR="00271D8E">
        <w:rPr>
          <w:rStyle w:val="CommentReference"/>
          <w:noProof/>
        </w:rPr>
        <w:t xml:space="preserve">, </w:t>
      </w:r>
      <w:r w:rsidRPr="001D16DE">
        <w:rPr>
          <w:noProof/>
          <w:shd w:val="clear" w:color="auto" w:fill="FFFFFF"/>
        </w:rPr>
        <w:t xml:space="preserve"> </w:t>
      </w:r>
    </w:p>
    <w:p w:rsidR="00B4199F" w:rsidRPr="00516374" w:rsidRDefault="004E410B">
      <w:pPr>
        <w:pStyle w:val="Bullet1"/>
        <w:rPr>
          <w:noProof/>
          <w:shd w:val="clear" w:color="auto" w:fill="FFFFFF"/>
        </w:rPr>
      </w:pPr>
      <w:r w:rsidRPr="00516374">
        <w:rPr>
          <w:noProof/>
          <w:shd w:val="clear" w:color="auto" w:fill="FFFFFF"/>
        </w:rPr>
        <w:t>early obsolescence</w:t>
      </w:r>
      <w:r w:rsidR="00340BC9" w:rsidRPr="00516374">
        <w:rPr>
          <w:noProof/>
          <w:shd w:val="clear" w:color="auto" w:fill="FFFFFF"/>
        </w:rPr>
        <w:t xml:space="preserve"> </w:t>
      </w:r>
      <w:r w:rsidR="00271D8E" w:rsidRPr="00516374">
        <w:rPr>
          <w:noProof/>
          <w:shd w:val="clear" w:color="auto" w:fill="FFFFFF"/>
        </w:rPr>
        <w:t xml:space="preserve">practices (i.e. </w:t>
      </w:r>
      <w:r w:rsidR="003F447A" w:rsidRPr="00516374">
        <w:rPr>
          <w:noProof/>
          <w:shd w:val="clear" w:color="auto" w:fill="FFFFFF"/>
        </w:rPr>
        <w:t>premature</w:t>
      </w:r>
      <w:r w:rsidR="00271D8E" w:rsidRPr="00516374">
        <w:rPr>
          <w:noProof/>
          <w:shd w:val="clear" w:color="auto" w:fill="FFFFFF"/>
        </w:rPr>
        <w:t xml:space="preserve"> failures</w:t>
      </w:r>
      <w:r w:rsidR="003F447A" w:rsidRPr="00516374">
        <w:rPr>
          <w:noProof/>
          <w:shd w:val="clear" w:color="auto" w:fill="FFFFFF"/>
        </w:rPr>
        <w:t xml:space="preserve"> of goods</w:t>
      </w:r>
      <w:r w:rsidR="00271D8E" w:rsidRPr="00516374">
        <w:rPr>
          <w:noProof/>
          <w:shd w:val="clear" w:color="auto" w:fill="FFFFFF"/>
        </w:rPr>
        <w:t>)</w:t>
      </w:r>
      <w:r w:rsidR="009E4BF6">
        <w:rPr>
          <w:noProof/>
          <w:shd w:val="clear" w:color="auto" w:fill="FFFFFF"/>
        </w:rPr>
        <w:t xml:space="preserve">, and </w:t>
      </w:r>
      <w:r w:rsidR="00271D8E" w:rsidRPr="00516374">
        <w:rPr>
          <w:noProof/>
          <w:shd w:val="clear" w:color="auto" w:fill="FFFFFF"/>
        </w:rPr>
        <w:t xml:space="preserve"> </w:t>
      </w:r>
    </w:p>
    <w:p w:rsidR="00B4199F" w:rsidRPr="00516374" w:rsidRDefault="00340BC9">
      <w:pPr>
        <w:pStyle w:val="Bullet1"/>
        <w:rPr>
          <w:noProof/>
          <w:shd w:val="clear" w:color="auto" w:fill="FFFFFF"/>
        </w:rPr>
      </w:pPr>
      <w:r w:rsidRPr="00516374">
        <w:rPr>
          <w:noProof/>
          <w:shd w:val="clear" w:color="auto" w:fill="FFFFFF"/>
        </w:rPr>
        <w:t>the use of unreliable and non-transparent sustainability labels and information tools</w:t>
      </w:r>
      <w:r w:rsidR="00665EFC" w:rsidRPr="00516374">
        <w:rPr>
          <w:noProof/>
          <w:shd w:val="clear" w:color="auto" w:fill="FFFFFF"/>
        </w:rPr>
        <w:t>.</w:t>
      </w:r>
      <w:r w:rsidR="00C03F71" w:rsidRPr="00516374">
        <w:rPr>
          <w:noProof/>
          <w:shd w:val="clear" w:color="auto" w:fill="FFFFFF"/>
        </w:rPr>
        <w:t xml:space="preserve"> </w:t>
      </w:r>
    </w:p>
    <w:p w:rsidR="00665EFC" w:rsidRPr="009C6209" w:rsidRDefault="00C03F71" w:rsidP="00822247">
      <w:pPr>
        <w:spacing w:before="0" w:after="240"/>
        <w:rPr>
          <w:noProof/>
          <w:shd w:val="clear" w:color="auto" w:fill="FFFFFF"/>
        </w:rPr>
      </w:pPr>
      <w:r w:rsidRPr="00B86747">
        <w:rPr>
          <w:noProof/>
          <w:shd w:val="clear" w:color="auto" w:fill="FFFFFF"/>
        </w:rPr>
        <w:t>More precisely</w:t>
      </w:r>
      <w:r w:rsidR="00665EFC" w:rsidRPr="00B86747">
        <w:rPr>
          <w:noProof/>
          <w:shd w:val="clear" w:color="auto" w:fill="FFFFFF"/>
        </w:rPr>
        <w:t xml:space="preserve">, the proposal aims </w:t>
      </w:r>
      <w:r w:rsidR="00665EFC" w:rsidRPr="007360B2">
        <w:rPr>
          <w:noProof/>
          <w:color w:val="000000"/>
          <w:shd w:val="clear" w:color="auto" w:fill="FFFFFF"/>
        </w:rPr>
        <w:t>at</w:t>
      </w:r>
      <w:r w:rsidR="00B4199F" w:rsidRPr="001D16DE">
        <w:rPr>
          <w:noProof/>
          <w:shd w:val="clear" w:color="auto" w:fill="FFFFFF"/>
        </w:rPr>
        <w:t>:</w:t>
      </w:r>
    </w:p>
    <w:p w:rsidR="00665EFC" w:rsidRPr="00FF21A8" w:rsidRDefault="00873ECC" w:rsidP="00064846">
      <w:pPr>
        <w:pStyle w:val="Bullet1"/>
        <w:numPr>
          <w:ilvl w:val="0"/>
          <w:numId w:val="19"/>
        </w:numPr>
        <w:tabs>
          <w:tab w:val="num" w:pos="709"/>
        </w:tabs>
        <w:spacing w:before="0" w:after="240"/>
        <w:rPr>
          <w:b/>
          <w:noProof/>
        </w:rPr>
      </w:pPr>
      <w:r w:rsidRPr="001D16DE">
        <w:rPr>
          <w:noProof/>
        </w:rPr>
        <w:t>P</w:t>
      </w:r>
      <w:r w:rsidR="00665EFC" w:rsidRPr="001D16DE">
        <w:rPr>
          <w:noProof/>
        </w:rPr>
        <w:t>rovi</w:t>
      </w:r>
      <w:r w:rsidR="00B4199F" w:rsidRPr="001D16DE">
        <w:rPr>
          <w:noProof/>
        </w:rPr>
        <w:t>ding</w:t>
      </w:r>
      <w:r w:rsidR="00665EFC" w:rsidRPr="008C2B17">
        <w:rPr>
          <w:noProof/>
        </w:rPr>
        <w:t xml:space="preserve"> information on the </w:t>
      </w:r>
      <w:r w:rsidR="006812D2" w:rsidRPr="008C2B17">
        <w:rPr>
          <w:noProof/>
        </w:rPr>
        <w:t xml:space="preserve">existence </w:t>
      </w:r>
      <w:r w:rsidR="00041FB6" w:rsidRPr="008C2B17">
        <w:rPr>
          <w:noProof/>
        </w:rPr>
        <w:t>and</w:t>
      </w:r>
      <w:r w:rsidR="00B83F54">
        <w:rPr>
          <w:noProof/>
        </w:rPr>
        <w:t xml:space="preserve"> </w:t>
      </w:r>
      <w:r w:rsidR="00D84D92">
        <w:rPr>
          <w:noProof/>
        </w:rPr>
        <w:t>length</w:t>
      </w:r>
      <w:r w:rsidR="00041FB6" w:rsidRPr="008C2B17">
        <w:rPr>
          <w:noProof/>
        </w:rPr>
        <w:t xml:space="preserve"> </w:t>
      </w:r>
      <w:r w:rsidR="006812D2" w:rsidRPr="008C2B17">
        <w:rPr>
          <w:noProof/>
        </w:rPr>
        <w:t>of a producer’s commercial guarantee of durability</w:t>
      </w:r>
      <w:r w:rsidR="00B3672E" w:rsidRPr="008C2B17">
        <w:rPr>
          <w:noProof/>
        </w:rPr>
        <w:t xml:space="preserve"> for all </w:t>
      </w:r>
      <w:r w:rsidR="00680DB8" w:rsidRPr="000A4225">
        <w:rPr>
          <w:noProof/>
        </w:rPr>
        <w:t>types of</w:t>
      </w:r>
      <w:r w:rsidR="00680DB8">
        <w:rPr>
          <w:noProof/>
        </w:rPr>
        <w:t xml:space="preserve"> </w:t>
      </w:r>
      <w:r w:rsidR="003956C8">
        <w:rPr>
          <w:noProof/>
        </w:rPr>
        <w:t>goods</w:t>
      </w:r>
      <w:r w:rsidR="003D54EC">
        <w:rPr>
          <w:noProof/>
        </w:rPr>
        <w:t>,</w:t>
      </w:r>
      <w:r w:rsidR="003D54EC" w:rsidRPr="00170C9D">
        <w:rPr>
          <w:noProof/>
        </w:rPr>
        <w:t xml:space="preserve"> or the absence of </w:t>
      </w:r>
      <w:r w:rsidR="003C4D61" w:rsidRPr="00170C9D">
        <w:rPr>
          <w:noProof/>
        </w:rPr>
        <w:t>such guarantee</w:t>
      </w:r>
      <w:r w:rsidR="003D54EC" w:rsidRPr="00170C9D">
        <w:rPr>
          <w:noProof/>
        </w:rPr>
        <w:t xml:space="preserve"> in case of energy-using goods</w:t>
      </w:r>
      <w:r w:rsidR="00665EFC" w:rsidRPr="008C2B17">
        <w:rPr>
          <w:noProof/>
        </w:rPr>
        <w:t>.</w:t>
      </w:r>
    </w:p>
    <w:p w:rsidR="00665EFC" w:rsidRPr="00FF21A8" w:rsidRDefault="00873ECC" w:rsidP="00064846">
      <w:pPr>
        <w:pStyle w:val="Bullet1"/>
        <w:numPr>
          <w:ilvl w:val="0"/>
          <w:numId w:val="19"/>
        </w:numPr>
        <w:tabs>
          <w:tab w:val="num" w:pos="709"/>
        </w:tabs>
        <w:spacing w:before="0" w:after="240"/>
        <w:rPr>
          <w:b/>
          <w:noProof/>
        </w:rPr>
      </w:pPr>
      <w:r w:rsidRPr="001D16DE">
        <w:rPr>
          <w:noProof/>
        </w:rPr>
        <w:t>P</w:t>
      </w:r>
      <w:r w:rsidR="00602D6B" w:rsidRPr="008C2B17">
        <w:rPr>
          <w:noProof/>
        </w:rPr>
        <w:t xml:space="preserve">roviding </w:t>
      </w:r>
      <w:r w:rsidR="00665EFC" w:rsidRPr="008C2B17">
        <w:rPr>
          <w:noProof/>
        </w:rPr>
        <w:t>information on the availability of free software updates</w:t>
      </w:r>
      <w:r w:rsidR="00B30F3C" w:rsidRPr="008C2B17">
        <w:rPr>
          <w:noProof/>
        </w:rPr>
        <w:t xml:space="preserve"> for all </w:t>
      </w:r>
      <w:r w:rsidR="00B3672E" w:rsidRPr="008C2B17">
        <w:rPr>
          <w:noProof/>
        </w:rPr>
        <w:t>goods</w:t>
      </w:r>
      <w:r w:rsidR="00B30F3C" w:rsidRPr="008C2B17">
        <w:rPr>
          <w:noProof/>
        </w:rPr>
        <w:t xml:space="preserve"> with digital elements</w:t>
      </w:r>
      <w:r w:rsidR="00B3672E" w:rsidRPr="008C2B17">
        <w:rPr>
          <w:noProof/>
        </w:rPr>
        <w:t>, digital content and digital services</w:t>
      </w:r>
      <w:r w:rsidR="00665EFC" w:rsidRPr="008C2B17">
        <w:rPr>
          <w:noProof/>
        </w:rPr>
        <w:t>.</w:t>
      </w:r>
    </w:p>
    <w:p w:rsidR="00665EFC" w:rsidRPr="00545243" w:rsidRDefault="00873ECC" w:rsidP="00D2643E">
      <w:pPr>
        <w:pStyle w:val="Bullet1"/>
        <w:numPr>
          <w:ilvl w:val="0"/>
          <w:numId w:val="19"/>
        </w:numPr>
        <w:tabs>
          <w:tab w:val="num" w:pos="709"/>
        </w:tabs>
        <w:spacing w:before="0" w:after="240"/>
        <w:rPr>
          <w:b/>
          <w:noProof/>
        </w:rPr>
      </w:pPr>
      <w:r w:rsidRPr="001D16DE">
        <w:rPr>
          <w:noProof/>
        </w:rPr>
        <w:t>P</w:t>
      </w:r>
      <w:r w:rsidR="00665EFC" w:rsidRPr="001D16DE">
        <w:rPr>
          <w:noProof/>
        </w:rPr>
        <w:t>rovi</w:t>
      </w:r>
      <w:r w:rsidRPr="001D16DE">
        <w:rPr>
          <w:noProof/>
        </w:rPr>
        <w:t>ding</w:t>
      </w:r>
      <w:r w:rsidR="00665EFC" w:rsidRPr="007360B2">
        <w:rPr>
          <w:noProof/>
        </w:rPr>
        <w:t xml:space="preserve"> information on the reparability of products, through a repa</w:t>
      </w:r>
      <w:r w:rsidR="002F35C3">
        <w:rPr>
          <w:noProof/>
        </w:rPr>
        <w:t>rability</w:t>
      </w:r>
      <w:r w:rsidR="00665EFC" w:rsidRPr="007360B2">
        <w:rPr>
          <w:noProof/>
        </w:rPr>
        <w:t xml:space="preserve"> </w:t>
      </w:r>
      <w:r w:rsidR="00BC6C8B">
        <w:rPr>
          <w:noProof/>
        </w:rPr>
        <w:t>score</w:t>
      </w:r>
      <w:r w:rsidR="00BC6C8B" w:rsidRPr="007360B2">
        <w:rPr>
          <w:noProof/>
        </w:rPr>
        <w:t xml:space="preserve"> </w:t>
      </w:r>
      <w:r w:rsidR="00665EFC" w:rsidRPr="007360B2">
        <w:rPr>
          <w:noProof/>
        </w:rPr>
        <w:t>or other relevant repair information</w:t>
      </w:r>
      <w:r w:rsidR="00B3672E">
        <w:rPr>
          <w:noProof/>
        </w:rPr>
        <w:t>, where available, for all</w:t>
      </w:r>
      <w:r w:rsidR="00680DB8">
        <w:rPr>
          <w:noProof/>
        </w:rPr>
        <w:t xml:space="preserve"> </w:t>
      </w:r>
      <w:r w:rsidR="00680DB8" w:rsidRPr="000A4225">
        <w:rPr>
          <w:noProof/>
        </w:rPr>
        <w:t>types of</w:t>
      </w:r>
      <w:r w:rsidR="00B3672E">
        <w:rPr>
          <w:noProof/>
        </w:rPr>
        <w:t xml:space="preserve"> goods</w:t>
      </w:r>
      <w:r w:rsidR="00665EFC" w:rsidRPr="007360B2">
        <w:rPr>
          <w:noProof/>
        </w:rPr>
        <w:t>.</w:t>
      </w:r>
    </w:p>
    <w:p w:rsidR="00AB3382" w:rsidRPr="00AB3382" w:rsidRDefault="00DF2127" w:rsidP="00D2643E">
      <w:pPr>
        <w:pStyle w:val="Bullet1"/>
        <w:numPr>
          <w:ilvl w:val="0"/>
          <w:numId w:val="19"/>
        </w:numPr>
        <w:tabs>
          <w:tab w:val="num" w:pos="709"/>
        </w:tabs>
        <w:spacing w:before="0" w:after="240"/>
        <w:rPr>
          <w:noProof/>
        </w:rPr>
      </w:pPr>
      <w:r>
        <w:rPr>
          <w:noProof/>
        </w:rPr>
        <w:t xml:space="preserve">Ensuring that traders do not mislead consumers about </w:t>
      </w:r>
      <w:r w:rsidR="00AB3382" w:rsidRPr="00545243">
        <w:rPr>
          <w:noProof/>
        </w:rPr>
        <w:t xml:space="preserve">environmental and social impacts, durability and reparability </w:t>
      </w:r>
      <w:r>
        <w:rPr>
          <w:noProof/>
        </w:rPr>
        <w:t>of products</w:t>
      </w:r>
      <w:r w:rsidR="00AB3382" w:rsidRPr="00545243">
        <w:rPr>
          <w:noProof/>
        </w:rPr>
        <w:t>.</w:t>
      </w:r>
    </w:p>
    <w:p w:rsidR="00AB3382" w:rsidRPr="00545243" w:rsidRDefault="00AB3382" w:rsidP="00545243">
      <w:pPr>
        <w:pStyle w:val="Bullet1"/>
        <w:numPr>
          <w:ilvl w:val="0"/>
          <w:numId w:val="19"/>
        </w:numPr>
        <w:spacing w:before="0" w:after="240"/>
        <w:rPr>
          <w:noProof/>
        </w:rPr>
      </w:pPr>
      <w:r>
        <w:rPr>
          <w:noProof/>
        </w:rPr>
        <w:t>Ensuring that a trader can make</w:t>
      </w:r>
      <w:r w:rsidRPr="00CC1D5C">
        <w:rPr>
          <w:noProof/>
        </w:rPr>
        <w:t xml:space="preserve"> an environmental claim related to future environmental performance </w:t>
      </w:r>
      <w:r>
        <w:rPr>
          <w:noProof/>
        </w:rPr>
        <w:t>only when this involves clear commitments.</w:t>
      </w:r>
    </w:p>
    <w:p w:rsidR="00AB3382" w:rsidRDefault="00F736E8" w:rsidP="00545243">
      <w:pPr>
        <w:pStyle w:val="Bullet1"/>
        <w:numPr>
          <w:ilvl w:val="0"/>
          <w:numId w:val="19"/>
        </w:numPr>
        <w:spacing w:before="0" w:after="240"/>
        <w:rPr>
          <w:noProof/>
        </w:rPr>
      </w:pPr>
      <w:r>
        <w:rPr>
          <w:noProof/>
        </w:rPr>
        <w:t>Ensuring that a trader cannot advertise</w:t>
      </w:r>
      <w:r w:rsidR="00AB3382" w:rsidRPr="00CC1D5C">
        <w:rPr>
          <w:noProof/>
        </w:rPr>
        <w:t xml:space="preserve"> benefits for consumers that are considered as a common practice in the relevant market</w:t>
      </w:r>
      <w:r>
        <w:rPr>
          <w:noProof/>
        </w:rPr>
        <w:t>.</w:t>
      </w:r>
    </w:p>
    <w:p w:rsidR="0031166E" w:rsidRPr="00545243" w:rsidRDefault="0031166E" w:rsidP="0031166E">
      <w:pPr>
        <w:pStyle w:val="Bullet1"/>
        <w:numPr>
          <w:ilvl w:val="0"/>
          <w:numId w:val="19"/>
        </w:numPr>
        <w:spacing w:before="0" w:after="240"/>
        <w:rPr>
          <w:noProof/>
        </w:rPr>
      </w:pPr>
      <w:r>
        <w:rPr>
          <w:noProof/>
        </w:rPr>
        <w:t xml:space="preserve">Ensuring that a trader can only compare products, including through a sustainability information tool, if they provide </w:t>
      </w:r>
      <w:r w:rsidRPr="0031166E">
        <w:rPr>
          <w:noProof/>
        </w:rPr>
        <w:t>information about the method of the comparison, the products and suppliers covered, and the measures to keep information up to date</w:t>
      </w:r>
      <w:r>
        <w:rPr>
          <w:noProof/>
        </w:rPr>
        <w:t>.</w:t>
      </w:r>
    </w:p>
    <w:p w:rsidR="00D74384" w:rsidRDefault="00D74384" w:rsidP="00D74384">
      <w:pPr>
        <w:pStyle w:val="Bullet1"/>
        <w:numPr>
          <w:ilvl w:val="0"/>
          <w:numId w:val="19"/>
        </w:numPr>
        <w:tabs>
          <w:tab w:val="num" w:pos="709"/>
        </w:tabs>
        <w:spacing w:before="0" w:after="240"/>
        <w:rPr>
          <w:noProof/>
        </w:rPr>
      </w:pPr>
      <w:r>
        <w:rPr>
          <w:noProof/>
        </w:rPr>
        <w:t>A ban on displaying a sustainability label which is not based on a certification scheme</w:t>
      </w:r>
      <w:r w:rsidR="003956C8">
        <w:rPr>
          <w:noProof/>
        </w:rPr>
        <w:t xml:space="preserve"> or not established by public authorities</w:t>
      </w:r>
      <w:r>
        <w:rPr>
          <w:noProof/>
        </w:rPr>
        <w:t>.</w:t>
      </w:r>
    </w:p>
    <w:p w:rsidR="003956C8" w:rsidRDefault="003956C8" w:rsidP="00545243">
      <w:pPr>
        <w:pStyle w:val="Bullet1"/>
        <w:numPr>
          <w:ilvl w:val="0"/>
          <w:numId w:val="19"/>
        </w:numPr>
        <w:tabs>
          <w:tab w:val="num" w:pos="709"/>
        </w:tabs>
        <w:spacing w:before="0" w:after="240"/>
        <w:rPr>
          <w:noProof/>
        </w:rPr>
      </w:pPr>
      <w:r w:rsidRPr="007360B2">
        <w:rPr>
          <w:noProof/>
        </w:rPr>
        <w:t xml:space="preserve">A ban of </w:t>
      </w:r>
      <w:r>
        <w:rPr>
          <w:noProof/>
        </w:rPr>
        <w:t>generic</w:t>
      </w:r>
      <w:r w:rsidRPr="007360B2">
        <w:rPr>
          <w:noProof/>
        </w:rPr>
        <w:t xml:space="preserve"> environmental claims used in marketing towards consumers</w:t>
      </w:r>
      <w:r>
        <w:rPr>
          <w:noProof/>
        </w:rPr>
        <w:t xml:space="preserve">, where the </w:t>
      </w:r>
      <w:r w:rsidR="005B5998">
        <w:rPr>
          <w:noProof/>
        </w:rPr>
        <w:t xml:space="preserve">excellent </w:t>
      </w:r>
      <w:r>
        <w:rPr>
          <w:noProof/>
        </w:rPr>
        <w:t>environmental</w:t>
      </w:r>
      <w:r w:rsidDel="005B5998">
        <w:rPr>
          <w:noProof/>
        </w:rPr>
        <w:t xml:space="preserve"> </w:t>
      </w:r>
      <w:r>
        <w:rPr>
          <w:noProof/>
        </w:rPr>
        <w:t>performance of the product or trader cannot be demonstrated</w:t>
      </w:r>
      <w:r w:rsidR="004F77AE" w:rsidRPr="007D7B63">
        <w:rPr>
          <w:noProof/>
        </w:rPr>
        <w:t xml:space="preserve"> </w:t>
      </w:r>
      <w:r w:rsidR="00B823DB" w:rsidRPr="007D7B63">
        <w:rPr>
          <w:noProof/>
        </w:rPr>
        <w:t>in accordance</w:t>
      </w:r>
      <w:r w:rsidR="00BC0087" w:rsidRPr="007D7B63">
        <w:rPr>
          <w:noProof/>
        </w:rPr>
        <w:t xml:space="preserve"> with</w:t>
      </w:r>
      <w:r w:rsidR="004F77AE" w:rsidRPr="007D7B63">
        <w:rPr>
          <w:noProof/>
        </w:rPr>
        <w:t xml:space="preserve"> </w:t>
      </w:r>
      <w:r w:rsidR="004F77AE" w:rsidRPr="007D7B63">
        <w:rPr>
          <w:rFonts w:eastAsia="Arial Unicode MS"/>
          <w:noProof/>
        </w:rPr>
        <w:t>Regula</w:t>
      </w:r>
      <w:r w:rsidR="005A1C3F" w:rsidRPr="007D7B63">
        <w:rPr>
          <w:rFonts w:eastAsia="Arial Unicode MS"/>
          <w:noProof/>
        </w:rPr>
        <w:t>tion (EC) 66/2010 (EU Ecolabel)</w:t>
      </w:r>
      <w:r w:rsidR="005B5998" w:rsidRPr="007D7B63">
        <w:rPr>
          <w:rFonts w:eastAsia="Arial Unicode MS"/>
          <w:noProof/>
        </w:rPr>
        <w:t xml:space="preserve">, </w:t>
      </w:r>
      <w:r w:rsidR="004F77AE" w:rsidRPr="007D7B63">
        <w:rPr>
          <w:rFonts w:eastAsia="Arial Unicode MS"/>
          <w:noProof/>
        </w:rPr>
        <w:t>officially recognised eco</w:t>
      </w:r>
      <w:r w:rsidR="009E4BF6">
        <w:rPr>
          <w:rFonts w:eastAsia="Arial Unicode MS"/>
          <w:noProof/>
        </w:rPr>
        <w:t>-</w:t>
      </w:r>
      <w:r w:rsidR="004F77AE" w:rsidRPr="007D7B63">
        <w:rPr>
          <w:rFonts w:eastAsia="Arial Unicode MS"/>
          <w:noProof/>
        </w:rPr>
        <w:t>labelli</w:t>
      </w:r>
      <w:r w:rsidR="005A1C3F" w:rsidRPr="007D7B63">
        <w:rPr>
          <w:rFonts w:eastAsia="Arial Unicode MS"/>
          <w:noProof/>
        </w:rPr>
        <w:t>ng schemes in the Member States</w:t>
      </w:r>
      <w:r w:rsidR="009E4BF6">
        <w:rPr>
          <w:rFonts w:eastAsia="Arial Unicode MS"/>
          <w:noProof/>
        </w:rPr>
        <w:t>,</w:t>
      </w:r>
      <w:r w:rsidR="004F77AE" w:rsidRPr="007D7B63">
        <w:rPr>
          <w:rFonts w:eastAsia="Arial Unicode MS"/>
          <w:noProof/>
        </w:rPr>
        <w:t xml:space="preserve"> or other applicable Union laws</w:t>
      </w:r>
      <w:r w:rsidR="00BB163F">
        <w:rPr>
          <w:rFonts w:eastAsia="Arial Unicode MS"/>
          <w:noProof/>
        </w:rPr>
        <w:t>, as relevant to the claim</w:t>
      </w:r>
      <w:r w:rsidR="004F77AE" w:rsidRPr="007D7B63">
        <w:rPr>
          <w:rFonts w:eastAsia="Arial Unicode MS"/>
          <w:noProof/>
        </w:rPr>
        <w:t>.</w:t>
      </w:r>
    </w:p>
    <w:p w:rsidR="00D12A1E" w:rsidRPr="00545243" w:rsidRDefault="00DF2127" w:rsidP="00D12A1E">
      <w:pPr>
        <w:pStyle w:val="Bullet1"/>
        <w:numPr>
          <w:ilvl w:val="0"/>
          <w:numId w:val="19"/>
        </w:numPr>
        <w:tabs>
          <w:tab w:val="num" w:pos="709"/>
        </w:tabs>
        <w:spacing w:before="0" w:after="240"/>
        <w:rPr>
          <w:noProof/>
          <w:color w:val="1F497D"/>
        </w:rPr>
      </w:pPr>
      <w:r w:rsidRPr="00545243">
        <w:rPr>
          <w:noProof/>
        </w:rPr>
        <w:t xml:space="preserve">A ban on making an environmental claim </w:t>
      </w:r>
      <w:r w:rsidR="00D12A1E" w:rsidRPr="00545243">
        <w:rPr>
          <w:noProof/>
          <w:lang w:val="en-IE"/>
        </w:rPr>
        <w:t>about the entire product</w:t>
      </w:r>
      <w:r w:rsidR="00545243">
        <w:rPr>
          <w:noProof/>
          <w:lang w:val="en-IE"/>
        </w:rPr>
        <w:t>,</w:t>
      </w:r>
      <w:r w:rsidR="00D12A1E" w:rsidRPr="00545243">
        <w:rPr>
          <w:noProof/>
          <w:lang w:val="en-IE"/>
        </w:rPr>
        <w:t xml:space="preserve"> when it actually concerns only a certain aspect of the product</w:t>
      </w:r>
      <w:r w:rsidR="00D12A1E" w:rsidRPr="00545243">
        <w:rPr>
          <w:noProof/>
          <w:color w:val="1F497D"/>
        </w:rPr>
        <w:t>.</w:t>
      </w:r>
    </w:p>
    <w:p w:rsidR="00AB3382" w:rsidRPr="00315896" w:rsidRDefault="00DF2127">
      <w:pPr>
        <w:pStyle w:val="Bullet1"/>
        <w:numPr>
          <w:ilvl w:val="0"/>
          <w:numId w:val="19"/>
        </w:numPr>
        <w:tabs>
          <w:tab w:val="num" w:pos="709"/>
        </w:tabs>
        <w:spacing w:before="0" w:after="240"/>
        <w:rPr>
          <w:noProof/>
        </w:rPr>
      </w:pPr>
      <w:r w:rsidRPr="00545243">
        <w:rPr>
          <w:noProof/>
        </w:rPr>
        <w:t>A ban on presenting requirements imposed by law on all products within the relevant product category on the Union market as a distinctive feature of the trader’s offer.</w:t>
      </w:r>
    </w:p>
    <w:p w:rsidR="003956C8" w:rsidRPr="00DF2127" w:rsidRDefault="003956C8">
      <w:pPr>
        <w:pStyle w:val="Bullet1"/>
        <w:numPr>
          <w:ilvl w:val="0"/>
          <w:numId w:val="19"/>
        </w:numPr>
        <w:tabs>
          <w:tab w:val="num" w:pos="709"/>
        </w:tabs>
        <w:spacing w:before="0" w:after="240"/>
        <w:rPr>
          <w:b/>
          <w:noProof/>
        </w:rPr>
      </w:pPr>
      <w:r w:rsidRPr="008C2B17">
        <w:rPr>
          <w:noProof/>
        </w:rPr>
        <w:t>A ban of certain practices related to the early obsolescence of goods.</w:t>
      </w:r>
    </w:p>
    <w:p w:rsidR="00F33637" w:rsidRPr="00AA5DB8" w:rsidRDefault="005E0E6B" w:rsidP="009C6209">
      <w:pPr>
        <w:rPr>
          <w:noProof/>
          <w:shd w:val="clear" w:color="auto" w:fill="FFFFFF"/>
        </w:rPr>
      </w:pPr>
      <w:r w:rsidRPr="00CB3352">
        <w:rPr>
          <w:noProof/>
          <w:shd w:val="clear" w:color="auto" w:fill="FFFFFF"/>
        </w:rPr>
        <w:t xml:space="preserve">These measures are needed to update existing consumer law to ensure consumers are protected and </w:t>
      </w:r>
      <w:r w:rsidR="00292C54" w:rsidRPr="00CB3352">
        <w:rPr>
          <w:noProof/>
          <w:shd w:val="clear" w:color="auto" w:fill="FFFFFF"/>
        </w:rPr>
        <w:t xml:space="preserve">can </w:t>
      </w:r>
      <w:r w:rsidR="00E516E3" w:rsidRPr="00CB3352">
        <w:rPr>
          <w:noProof/>
          <w:shd w:val="clear" w:color="auto" w:fill="FFFFFF"/>
        </w:rPr>
        <w:t xml:space="preserve">actively </w:t>
      </w:r>
      <w:r w:rsidRPr="00CB3352">
        <w:rPr>
          <w:noProof/>
          <w:shd w:val="clear" w:color="auto" w:fill="FFFFFF"/>
        </w:rPr>
        <w:t xml:space="preserve">contribute to the green transition. </w:t>
      </w:r>
      <w:r w:rsidRPr="009C6209">
        <w:rPr>
          <w:noProof/>
          <w:shd w:val="clear" w:color="auto" w:fill="FFFFFF"/>
        </w:rPr>
        <w:t>T</w:t>
      </w:r>
      <w:r w:rsidR="004844C2" w:rsidRPr="004F0D04">
        <w:rPr>
          <w:noProof/>
          <w:shd w:val="clear" w:color="auto" w:fill="FFFFFF"/>
        </w:rPr>
        <w:t>he Consumer Rights Directive</w:t>
      </w:r>
      <w:r w:rsidRPr="004F0D04">
        <w:rPr>
          <w:noProof/>
          <w:shd w:val="clear" w:color="auto" w:fill="FFFFFF"/>
        </w:rPr>
        <w:t xml:space="preserve"> currently</w:t>
      </w:r>
      <w:r w:rsidR="004844C2" w:rsidRPr="004F0D04">
        <w:rPr>
          <w:noProof/>
          <w:shd w:val="clear" w:color="auto" w:fill="FFFFFF"/>
        </w:rPr>
        <w:t xml:space="preserve"> requires traders to provide consumers w</w:t>
      </w:r>
      <w:r w:rsidR="00A153BE" w:rsidRPr="004F0D04">
        <w:rPr>
          <w:noProof/>
          <w:shd w:val="clear" w:color="auto" w:fill="FFFFFF"/>
        </w:rPr>
        <w:t>ith information on</w:t>
      </w:r>
      <w:r w:rsidR="004844C2" w:rsidRPr="004F0D04">
        <w:rPr>
          <w:noProof/>
          <w:shd w:val="clear" w:color="auto" w:fill="FFFFFF"/>
        </w:rPr>
        <w:t xml:space="preserve"> the main characteristics of the goods or services. It includes specific information requirements about the existence of the legal guarantee of conformity, as well as additional commercial guarantees.</w:t>
      </w:r>
      <w:r w:rsidR="00CB3352" w:rsidRPr="004F0D04">
        <w:rPr>
          <w:noProof/>
          <w:shd w:val="clear" w:color="auto" w:fill="FFFFFF"/>
        </w:rPr>
        <w:t xml:space="preserve"> </w:t>
      </w:r>
      <w:r w:rsidR="00A153BE" w:rsidRPr="00170C9D">
        <w:rPr>
          <w:noProof/>
          <w:shd w:val="clear" w:color="auto" w:fill="FFFFFF"/>
        </w:rPr>
        <w:t xml:space="preserve">However, as there is no requirement to provide information on the </w:t>
      </w:r>
      <w:r w:rsidR="00BA6CA4" w:rsidRPr="00170C9D">
        <w:rPr>
          <w:noProof/>
          <w:shd w:val="clear" w:color="auto" w:fill="FFFFFF"/>
        </w:rPr>
        <w:t>absence</w:t>
      </w:r>
      <w:r w:rsidR="00A153BE" w:rsidRPr="00170C9D">
        <w:rPr>
          <w:noProof/>
          <w:shd w:val="clear" w:color="auto" w:fill="FFFFFF"/>
        </w:rPr>
        <w:t xml:space="preserve"> of commercial guarantees of durability, the Directive does not incentivise producers </w:t>
      </w:r>
      <w:r w:rsidR="006F5194" w:rsidRPr="00170C9D">
        <w:rPr>
          <w:noProof/>
          <w:shd w:val="clear" w:color="auto" w:fill="FFFFFF"/>
        </w:rPr>
        <w:t xml:space="preserve">sufficiently </w:t>
      </w:r>
      <w:r w:rsidR="00A153BE" w:rsidRPr="00170C9D">
        <w:rPr>
          <w:noProof/>
          <w:shd w:val="clear" w:color="auto" w:fill="FFFFFF"/>
        </w:rPr>
        <w:t>to provide such guarantees to consumers</w:t>
      </w:r>
      <w:r w:rsidR="00A153BE" w:rsidRPr="004F0D04">
        <w:rPr>
          <w:noProof/>
          <w:shd w:val="clear" w:color="auto" w:fill="FFFFFF"/>
        </w:rPr>
        <w:t xml:space="preserve">. </w:t>
      </w:r>
      <w:r w:rsidR="000B73A8" w:rsidRPr="007D7B63">
        <w:rPr>
          <w:noProof/>
          <w:shd w:val="clear" w:color="auto" w:fill="FFFFFF"/>
        </w:rPr>
        <w:t>Research shows that</w:t>
      </w:r>
      <w:r w:rsidR="000B73A8" w:rsidRPr="007D7B63" w:rsidDel="00645677">
        <w:rPr>
          <w:noProof/>
          <w:shd w:val="clear" w:color="auto" w:fill="FFFFFF"/>
        </w:rPr>
        <w:t xml:space="preserve"> </w:t>
      </w:r>
      <w:r w:rsidR="004B13EA" w:rsidRPr="007D7B63">
        <w:rPr>
          <w:noProof/>
          <w:shd w:val="clear" w:color="auto" w:fill="FFFFFF"/>
        </w:rPr>
        <w:t xml:space="preserve">where </w:t>
      </w:r>
      <w:r w:rsidR="000B73A8" w:rsidRPr="007D7B63">
        <w:rPr>
          <w:noProof/>
          <w:shd w:val="clear" w:color="auto" w:fill="FFFFFF"/>
        </w:rPr>
        <w:t xml:space="preserve">consumer products are offered </w:t>
      </w:r>
      <w:r w:rsidR="00AB5D46">
        <w:rPr>
          <w:noProof/>
          <w:shd w:val="clear" w:color="auto" w:fill="FFFFFF"/>
        </w:rPr>
        <w:t xml:space="preserve"> with</w:t>
      </w:r>
      <w:r w:rsidR="009D5399">
        <w:rPr>
          <w:noProof/>
          <w:shd w:val="clear" w:color="auto" w:fill="FFFFFF"/>
        </w:rPr>
        <w:t xml:space="preserve"> </w:t>
      </w:r>
      <w:r w:rsidR="000B73A8" w:rsidRPr="007D7B63">
        <w:rPr>
          <w:noProof/>
          <w:shd w:val="clear" w:color="auto" w:fill="FFFFFF"/>
        </w:rPr>
        <w:t>a commercial guarantee</w:t>
      </w:r>
      <w:r w:rsidR="000B73A8" w:rsidRPr="004F0D04">
        <w:rPr>
          <w:noProof/>
          <w:shd w:val="clear" w:color="auto" w:fill="FFFFFF"/>
        </w:rPr>
        <w:t>, the information on such commercial guarantees, and the way that consumers are being charged, is often unclear, imprecise or incomplete</w:t>
      </w:r>
      <w:r w:rsidR="009E4BF6">
        <w:rPr>
          <w:noProof/>
          <w:shd w:val="clear" w:color="auto" w:fill="FFFFFF"/>
        </w:rPr>
        <w:t>,</w:t>
      </w:r>
      <w:r w:rsidR="000B73A8" w:rsidRPr="004F0D04">
        <w:rPr>
          <w:noProof/>
          <w:shd w:val="clear" w:color="auto" w:fill="FFFFFF"/>
        </w:rPr>
        <w:t xml:space="preserve"> making it difficult for consumers to compare between products and to distinguish </w:t>
      </w:r>
      <w:r w:rsidR="009E4BF6">
        <w:rPr>
          <w:noProof/>
          <w:shd w:val="clear" w:color="auto" w:fill="FFFFFF"/>
        </w:rPr>
        <w:t>the</w:t>
      </w:r>
      <w:r w:rsidR="009E4BF6" w:rsidRPr="004F0D04">
        <w:rPr>
          <w:noProof/>
          <w:shd w:val="clear" w:color="auto" w:fill="FFFFFF"/>
        </w:rPr>
        <w:t xml:space="preserve"> </w:t>
      </w:r>
      <w:r w:rsidR="000B73A8" w:rsidRPr="004F0D04">
        <w:rPr>
          <w:noProof/>
          <w:shd w:val="clear" w:color="auto" w:fill="FFFFFF"/>
        </w:rPr>
        <w:t>commercial guarantee from the (compulsory) legal guarantee</w:t>
      </w:r>
      <w:r w:rsidR="000B73A8" w:rsidRPr="00586113">
        <w:rPr>
          <w:rStyle w:val="FootnoteReference0"/>
          <w:noProof/>
          <w:shd w:val="clear" w:color="auto" w:fill="FFFFFF"/>
        </w:rPr>
        <w:footnoteReference w:id="7"/>
      </w:r>
      <w:r w:rsidR="004557C3">
        <w:rPr>
          <w:noProof/>
          <w:shd w:val="clear" w:color="auto" w:fill="FFFFFF"/>
        </w:rPr>
        <w:t>.</w:t>
      </w:r>
      <w:r w:rsidR="009C0400">
        <w:rPr>
          <w:noProof/>
          <w:shd w:val="clear" w:color="auto" w:fill="FFFFFF"/>
        </w:rPr>
        <w:t xml:space="preserve"> This proposal will address this issue by ensuring that consumers are provided with information on the existence of a commercial guarantee of durability of more than two years, covering the entire good, whenever such information is made available by the producer.</w:t>
      </w:r>
    </w:p>
    <w:p w:rsidR="00EA7FA1" w:rsidRPr="009C6209" w:rsidRDefault="00A153BE" w:rsidP="004F0D04">
      <w:pPr>
        <w:rPr>
          <w:noProof/>
          <w:color w:val="000000"/>
          <w:shd w:val="clear" w:color="auto" w:fill="FFFFFF"/>
        </w:rPr>
      </w:pPr>
      <w:r w:rsidRPr="0066512A">
        <w:rPr>
          <w:noProof/>
          <w:color w:val="000000"/>
          <w:shd w:val="clear" w:color="auto" w:fill="FFFFFF"/>
        </w:rPr>
        <w:t>Furthermore, the Directive does not contain specific requirements to provide information</w:t>
      </w:r>
      <w:r w:rsidR="00785FE9" w:rsidRPr="0066512A">
        <w:rPr>
          <w:noProof/>
          <w:color w:val="000000"/>
          <w:shd w:val="clear" w:color="auto" w:fill="FFFFFF"/>
        </w:rPr>
        <w:t xml:space="preserve"> to consumers</w:t>
      </w:r>
      <w:r w:rsidRPr="0066512A">
        <w:rPr>
          <w:noProof/>
          <w:color w:val="000000"/>
          <w:shd w:val="clear" w:color="auto" w:fill="FFFFFF"/>
        </w:rPr>
        <w:t xml:space="preserve"> on the reparability of </w:t>
      </w:r>
      <w:r w:rsidR="008A7735">
        <w:rPr>
          <w:noProof/>
          <w:color w:val="000000"/>
          <w:shd w:val="clear" w:color="auto" w:fill="FFFFFF"/>
        </w:rPr>
        <w:t>goods</w:t>
      </w:r>
      <w:r w:rsidR="00355594">
        <w:rPr>
          <w:noProof/>
          <w:color w:val="000000"/>
          <w:shd w:val="clear" w:color="auto" w:fill="FFFFFF"/>
        </w:rPr>
        <w:t xml:space="preserve">. </w:t>
      </w:r>
      <w:r w:rsidR="00355594" w:rsidRPr="007D7B63">
        <w:rPr>
          <w:noProof/>
          <w:color w:val="000000"/>
          <w:shd w:val="clear" w:color="auto" w:fill="FFFFFF"/>
        </w:rPr>
        <w:t xml:space="preserve"> </w:t>
      </w:r>
      <w:r w:rsidR="00355594">
        <w:rPr>
          <w:noProof/>
          <w:color w:val="000000"/>
          <w:shd w:val="clear" w:color="auto" w:fill="FFFFFF"/>
        </w:rPr>
        <w:t>Rather</w:t>
      </w:r>
      <w:r w:rsidR="009E4BF6">
        <w:rPr>
          <w:noProof/>
          <w:color w:val="000000"/>
          <w:shd w:val="clear" w:color="auto" w:fill="FFFFFF"/>
        </w:rPr>
        <w:t>,</w:t>
      </w:r>
      <w:r w:rsidR="00355594">
        <w:rPr>
          <w:noProof/>
          <w:color w:val="000000"/>
          <w:shd w:val="clear" w:color="auto" w:fill="FFFFFF"/>
        </w:rPr>
        <w:t xml:space="preserve"> it </w:t>
      </w:r>
      <w:r w:rsidR="00E0211B">
        <w:rPr>
          <w:noProof/>
          <w:color w:val="000000"/>
          <w:shd w:val="clear" w:color="auto" w:fill="FFFFFF"/>
        </w:rPr>
        <w:t xml:space="preserve">requires </w:t>
      </w:r>
      <w:r w:rsidR="00355594">
        <w:rPr>
          <w:noProof/>
          <w:color w:val="000000"/>
          <w:shd w:val="clear" w:color="auto" w:fill="FFFFFF"/>
        </w:rPr>
        <w:t>only</w:t>
      </w:r>
      <w:r w:rsidR="00355594" w:rsidRPr="00EC7FD1">
        <w:rPr>
          <w:noProof/>
          <w:color w:val="000000"/>
          <w:shd w:val="clear" w:color="auto" w:fill="FFFFFF"/>
        </w:rPr>
        <w:t xml:space="preserve"> </w:t>
      </w:r>
      <w:r w:rsidR="00E844D8">
        <w:rPr>
          <w:noProof/>
          <w:color w:val="000000"/>
          <w:shd w:val="clear" w:color="auto" w:fill="FFFFFF"/>
        </w:rPr>
        <w:t xml:space="preserve">information on </w:t>
      </w:r>
      <w:r w:rsidR="00355594" w:rsidRPr="007D7B63">
        <w:rPr>
          <w:noProof/>
          <w:color w:val="000000"/>
          <w:shd w:val="clear" w:color="auto" w:fill="FFFFFF"/>
        </w:rPr>
        <w:t xml:space="preserve">‘after sale services’ </w:t>
      </w:r>
      <w:r w:rsidR="00E0211B">
        <w:rPr>
          <w:noProof/>
          <w:color w:val="000000"/>
          <w:shd w:val="clear" w:color="auto" w:fill="FFFFFF"/>
        </w:rPr>
        <w:t xml:space="preserve">to be provided </w:t>
      </w:r>
      <w:r w:rsidR="00355594" w:rsidRPr="007D7B63">
        <w:rPr>
          <w:noProof/>
          <w:color w:val="000000"/>
          <w:shd w:val="clear" w:color="auto" w:fill="FFFFFF"/>
        </w:rPr>
        <w:t xml:space="preserve">on a </w:t>
      </w:r>
      <w:r w:rsidR="009E4BF6">
        <w:rPr>
          <w:noProof/>
          <w:color w:val="000000"/>
          <w:shd w:val="clear" w:color="auto" w:fill="FFFFFF"/>
        </w:rPr>
        <w:t>‘</w:t>
      </w:r>
      <w:r w:rsidR="00355594" w:rsidRPr="007D7B63">
        <w:rPr>
          <w:noProof/>
          <w:color w:val="000000"/>
          <w:shd w:val="clear" w:color="auto" w:fill="FFFFFF"/>
        </w:rPr>
        <w:t>where applicable</w:t>
      </w:r>
      <w:r w:rsidR="009E4BF6">
        <w:rPr>
          <w:noProof/>
          <w:color w:val="000000"/>
          <w:shd w:val="clear" w:color="auto" w:fill="FFFFFF"/>
        </w:rPr>
        <w:t>’</w:t>
      </w:r>
      <w:r w:rsidR="00355594" w:rsidRPr="007D7B63">
        <w:rPr>
          <w:noProof/>
          <w:color w:val="000000"/>
          <w:shd w:val="clear" w:color="auto" w:fill="FFFFFF"/>
        </w:rPr>
        <w:t xml:space="preserve"> basi</w:t>
      </w:r>
      <w:r w:rsidR="002908D5">
        <w:rPr>
          <w:noProof/>
          <w:color w:val="000000"/>
          <w:shd w:val="clear" w:color="auto" w:fill="FFFFFF"/>
        </w:rPr>
        <w:t>s</w:t>
      </w:r>
      <w:r w:rsidR="00BE0E55" w:rsidRPr="009C6209" w:rsidDel="00E844D8">
        <w:rPr>
          <w:noProof/>
          <w:color w:val="000000"/>
          <w:shd w:val="clear" w:color="auto" w:fill="FFFFFF"/>
        </w:rPr>
        <w:t>.</w:t>
      </w:r>
      <w:r w:rsidR="00BE0E55" w:rsidRPr="009C6209">
        <w:rPr>
          <w:noProof/>
          <w:color w:val="000000"/>
          <w:shd w:val="clear" w:color="auto" w:fill="FFFFFF"/>
        </w:rPr>
        <w:t xml:space="preserve"> This </w:t>
      </w:r>
      <w:r w:rsidR="00D64C7E" w:rsidRPr="004F0D04">
        <w:rPr>
          <w:noProof/>
          <w:color w:val="000000"/>
          <w:shd w:val="clear" w:color="auto" w:fill="FFFFFF"/>
        </w:rPr>
        <w:t>information</w:t>
      </w:r>
      <w:r w:rsidR="00281D9B" w:rsidRPr="004F0D04">
        <w:rPr>
          <w:noProof/>
          <w:color w:val="000000"/>
          <w:shd w:val="clear" w:color="auto" w:fill="FFFFFF"/>
        </w:rPr>
        <w:t>,</w:t>
      </w:r>
      <w:r w:rsidR="00D64C7E" w:rsidRPr="004F0D04">
        <w:rPr>
          <w:noProof/>
          <w:color w:val="000000"/>
          <w:shd w:val="clear" w:color="auto" w:fill="FFFFFF"/>
        </w:rPr>
        <w:t xml:space="preserve"> </w:t>
      </w:r>
      <w:r w:rsidR="00576C7E" w:rsidRPr="001D16DE">
        <w:rPr>
          <w:noProof/>
        </w:rPr>
        <w:t>which</w:t>
      </w:r>
      <w:r w:rsidR="00BE0E55" w:rsidRPr="009C6209">
        <w:rPr>
          <w:noProof/>
          <w:color w:val="000000"/>
          <w:shd w:val="clear" w:color="auto" w:fill="FFFFFF"/>
        </w:rPr>
        <w:t xml:space="preserve"> would help promote the repair of goods </w:t>
      </w:r>
      <w:r w:rsidR="00281D9B" w:rsidRPr="004F0D04">
        <w:rPr>
          <w:noProof/>
          <w:color w:val="000000"/>
          <w:shd w:val="clear" w:color="auto" w:fill="FFFFFF"/>
        </w:rPr>
        <w:t xml:space="preserve">and therefore </w:t>
      </w:r>
      <w:r w:rsidR="004557C3">
        <w:rPr>
          <w:noProof/>
          <w:color w:val="000000"/>
          <w:shd w:val="clear" w:color="auto" w:fill="FFFFFF"/>
        </w:rPr>
        <w:t xml:space="preserve">be </w:t>
      </w:r>
      <w:r w:rsidR="00281D9B" w:rsidRPr="004F0D04">
        <w:rPr>
          <w:noProof/>
          <w:color w:val="000000"/>
          <w:shd w:val="clear" w:color="auto" w:fill="FFFFFF"/>
        </w:rPr>
        <w:t>particularly valuable in helping consumers contribute to a circular economy, is</w:t>
      </w:r>
      <w:r w:rsidR="00D64C7E" w:rsidRPr="004F0D04">
        <w:rPr>
          <w:noProof/>
          <w:color w:val="000000"/>
          <w:shd w:val="clear" w:color="auto" w:fill="FFFFFF"/>
        </w:rPr>
        <w:t xml:space="preserve"> largel</w:t>
      </w:r>
      <w:r w:rsidR="00FE298B" w:rsidRPr="004F0D04">
        <w:rPr>
          <w:noProof/>
          <w:color w:val="000000"/>
          <w:shd w:val="clear" w:color="auto" w:fill="FFFFFF"/>
        </w:rPr>
        <w:t>y missing at the point of sale</w:t>
      </w:r>
      <w:r w:rsidRPr="004F0D04">
        <w:rPr>
          <w:noProof/>
          <w:color w:val="000000"/>
          <w:shd w:val="clear" w:color="auto" w:fill="FFFFFF"/>
        </w:rPr>
        <w:t xml:space="preserve">. </w:t>
      </w:r>
      <w:r w:rsidR="000B73A8">
        <w:rPr>
          <w:noProof/>
        </w:rPr>
        <w:t>Recent studies show that up to 80% of EU consumers claim to have difficulty in finding</w:t>
      </w:r>
      <w:r w:rsidR="000B73A8" w:rsidRPr="7F52AB9A">
        <w:rPr>
          <w:noProof/>
        </w:rPr>
        <w:t xml:space="preserve"> information on how easy it is to repair a product</w:t>
      </w:r>
      <w:r w:rsidR="000B73A8" w:rsidRPr="7F52AB9A">
        <w:rPr>
          <w:rStyle w:val="FootnoteReference0"/>
          <w:noProof/>
        </w:rPr>
        <w:footnoteReference w:id="8"/>
      </w:r>
      <w:r w:rsidR="000B73A8" w:rsidRPr="7F52AB9A">
        <w:rPr>
          <w:noProof/>
        </w:rPr>
        <w:t>.</w:t>
      </w:r>
    </w:p>
    <w:p w:rsidR="002F3DB8" w:rsidRPr="004F0D04" w:rsidRDefault="004844C2" w:rsidP="004F0D04">
      <w:pPr>
        <w:rPr>
          <w:noProof/>
          <w:shd w:val="clear" w:color="auto" w:fill="FFFFFF"/>
        </w:rPr>
      </w:pPr>
      <w:r w:rsidRPr="004F0D04">
        <w:rPr>
          <w:noProof/>
          <w:shd w:val="clear" w:color="auto" w:fill="FFFFFF"/>
        </w:rPr>
        <w:t xml:space="preserve">The general </w:t>
      </w:r>
      <w:r w:rsidR="00B4199F" w:rsidRPr="001D16DE">
        <w:rPr>
          <w:noProof/>
        </w:rPr>
        <w:t>rules</w:t>
      </w:r>
      <w:r w:rsidRPr="001D16DE">
        <w:rPr>
          <w:noProof/>
        </w:rPr>
        <w:t xml:space="preserve"> </w:t>
      </w:r>
      <w:r w:rsidR="00B4199F" w:rsidRPr="001D16DE">
        <w:rPr>
          <w:noProof/>
        </w:rPr>
        <w:t>in</w:t>
      </w:r>
      <w:r w:rsidRPr="009C6209">
        <w:rPr>
          <w:noProof/>
          <w:shd w:val="clear" w:color="auto" w:fill="FFFFFF"/>
        </w:rPr>
        <w:t xml:space="preserve"> the Unfair Commercial Practices Directive on misleading practi</w:t>
      </w:r>
      <w:r w:rsidRPr="004F0D04">
        <w:rPr>
          <w:noProof/>
          <w:shd w:val="clear" w:color="auto" w:fill="FFFFFF"/>
        </w:rPr>
        <w:t xml:space="preserve">ces can be </w:t>
      </w:r>
      <w:r w:rsidR="001D648B" w:rsidRPr="004F0D04">
        <w:rPr>
          <w:noProof/>
          <w:shd w:val="clear" w:color="auto" w:fill="FFFFFF"/>
        </w:rPr>
        <w:t>applied</w:t>
      </w:r>
      <w:r w:rsidRPr="004F0D04">
        <w:rPr>
          <w:noProof/>
          <w:shd w:val="clear" w:color="auto" w:fill="FFFFFF"/>
        </w:rPr>
        <w:t xml:space="preserve"> to </w:t>
      </w:r>
      <w:r w:rsidR="00BA6CA4">
        <w:rPr>
          <w:noProof/>
          <w:shd w:val="clear" w:color="auto" w:fill="FFFFFF"/>
        </w:rPr>
        <w:t xml:space="preserve">greenwashing practices </w:t>
      </w:r>
      <w:r w:rsidRPr="009C6209">
        <w:rPr>
          <w:noProof/>
          <w:shd w:val="clear" w:color="auto" w:fill="FFFFFF"/>
        </w:rPr>
        <w:t>when they negatively affect consumers</w:t>
      </w:r>
      <w:r w:rsidR="00281D9B" w:rsidRPr="004F0D04">
        <w:rPr>
          <w:noProof/>
          <w:shd w:val="clear" w:color="auto" w:fill="FFFFFF"/>
        </w:rPr>
        <w:t>,</w:t>
      </w:r>
      <w:r w:rsidRPr="004F0D04">
        <w:rPr>
          <w:noProof/>
          <w:shd w:val="clear" w:color="auto" w:fill="FFFFFF"/>
        </w:rPr>
        <w:t xml:space="preserve"> </w:t>
      </w:r>
      <w:r w:rsidR="001D648B" w:rsidRPr="004F0D04">
        <w:rPr>
          <w:noProof/>
          <w:shd w:val="clear" w:color="auto" w:fill="FFFFFF"/>
        </w:rPr>
        <w:t xml:space="preserve">using </w:t>
      </w:r>
      <w:r w:rsidRPr="004F0D04">
        <w:rPr>
          <w:noProof/>
          <w:shd w:val="clear" w:color="auto" w:fill="FFFFFF"/>
        </w:rPr>
        <w:t xml:space="preserve">a case-by-case assessment. </w:t>
      </w:r>
      <w:r w:rsidR="00675CCF" w:rsidRPr="004F0D04">
        <w:rPr>
          <w:noProof/>
          <w:shd w:val="clear" w:color="auto" w:fill="FFFFFF"/>
        </w:rPr>
        <w:t>However, t</w:t>
      </w:r>
      <w:r w:rsidRPr="004F0D04">
        <w:rPr>
          <w:noProof/>
          <w:shd w:val="clear" w:color="auto" w:fill="FFFFFF"/>
        </w:rPr>
        <w:t xml:space="preserve">here are no specific </w:t>
      </w:r>
      <w:r w:rsidR="00B4199F" w:rsidRPr="001D16DE">
        <w:rPr>
          <w:noProof/>
        </w:rPr>
        <w:t>rules</w:t>
      </w:r>
      <w:r w:rsidRPr="009C6209">
        <w:rPr>
          <w:noProof/>
          <w:shd w:val="clear" w:color="auto" w:fill="FFFFFF"/>
        </w:rPr>
        <w:t xml:space="preserve"> in the Directive or in its Annex I (</w:t>
      </w:r>
      <w:r w:rsidR="004557C3">
        <w:rPr>
          <w:noProof/>
          <w:shd w:val="clear" w:color="auto" w:fill="FFFFFF"/>
        </w:rPr>
        <w:t xml:space="preserve">the </w:t>
      </w:r>
      <w:r w:rsidRPr="009C6209">
        <w:rPr>
          <w:noProof/>
          <w:shd w:val="clear" w:color="auto" w:fill="FFFFFF"/>
        </w:rPr>
        <w:t xml:space="preserve">blacklist) </w:t>
      </w:r>
      <w:r w:rsidR="004557C3">
        <w:rPr>
          <w:noProof/>
          <w:shd w:val="clear" w:color="auto" w:fill="FFFFFF"/>
        </w:rPr>
        <w:t>defining</w:t>
      </w:r>
      <w:r w:rsidR="004557C3" w:rsidRPr="004F0D04">
        <w:rPr>
          <w:noProof/>
          <w:shd w:val="clear" w:color="auto" w:fill="FFFFFF"/>
        </w:rPr>
        <w:t xml:space="preserve"> </w:t>
      </w:r>
      <w:r w:rsidR="00BA6CA4">
        <w:rPr>
          <w:noProof/>
          <w:shd w:val="clear" w:color="auto" w:fill="FFFFFF"/>
        </w:rPr>
        <w:t>such</w:t>
      </w:r>
      <w:r w:rsidRPr="004F0D04">
        <w:rPr>
          <w:noProof/>
          <w:shd w:val="clear" w:color="auto" w:fill="FFFFFF"/>
        </w:rPr>
        <w:t xml:space="preserve"> practices as unfair </w:t>
      </w:r>
      <w:r w:rsidR="004557C3">
        <w:rPr>
          <w:noProof/>
          <w:shd w:val="clear" w:color="auto" w:fill="FFFFFF"/>
        </w:rPr>
        <w:t>in</w:t>
      </w:r>
      <w:r w:rsidR="004557C3" w:rsidRPr="004F0D04">
        <w:rPr>
          <w:noProof/>
          <w:shd w:val="clear" w:color="auto" w:fill="FFFFFF"/>
        </w:rPr>
        <w:t xml:space="preserve"> </w:t>
      </w:r>
      <w:r w:rsidRPr="004F0D04">
        <w:rPr>
          <w:noProof/>
          <w:shd w:val="clear" w:color="auto" w:fill="FFFFFF"/>
        </w:rPr>
        <w:t xml:space="preserve">all circumstances. </w:t>
      </w:r>
      <w:r w:rsidR="00BA6CA4" w:rsidRPr="00A4194A">
        <w:rPr>
          <w:noProof/>
          <w:shd w:val="clear" w:color="auto" w:fill="FFFFFF"/>
        </w:rPr>
        <w:t xml:space="preserve">Recent screening of websites by Consumer Protection Cooperation Network authorities to detect misleading </w:t>
      </w:r>
      <w:r w:rsidR="00BA6CA4">
        <w:rPr>
          <w:noProof/>
          <w:shd w:val="clear" w:color="auto" w:fill="FFFFFF"/>
        </w:rPr>
        <w:t>environmental</w:t>
      </w:r>
      <w:r w:rsidR="00BA6CA4" w:rsidRPr="00A4194A">
        <w:rPr>
          <w:noProof/>
          <w:shd w:val="clear" w:color="auto" w:fill="FFFFFF"/>
        </w:rPr>
        <w:t xml:space="preserve"> claims confirmed there is a need </w:t>
      </w:r>
      <w:r w:rsidR="00BA6CA4" w:rsidRPr="001D16DE">
        <w:rPr>
          <w:noProof/>
        </w:rPr>
        <w:t>to</w:t>
      </w:r>
      <w:r w:rsidR="00BA6CA4" w:rsidRPr="00A4194A">
        <w:rPr>
          <w:noProof/>
          <w:shd w:val="clear" w:color="auto" w:fill="FFFFFF"/>
        </w:rPr>
        <w:t xml:space="preserve"> strengthen the</w:t>
      </w:r>
      <w:r w:rsidR="00BA6CA4" w:rsidRPr="00691EAF">
        <w:rPr>
          <w:noProof/>
        </w:rPr>
        <w:t xml:space="preserve"> </w:t>
      </w:r>
      <w:r w:rsidR="00BA6CA4" w:rsidRPr="001D16DE">
        <w:rPr>
          <w:noProof/>
        </w:rPr>
        <w:t>rules</w:t>
      </w:r>
      <w:r w:rsidR="00BA6CA4" w:rsidRPr="00C342C7">
        <w:rPr>
          <w:noProof/>
        </w:rPr>
        <w:t xml:space="preserve"> </w:t>
      </w:r>
      <w:r w:rsidR="00BA6CA4" w:rsidRPr="00A4194A">
        <w:rPr>
          <w:noProof/>
          <w:shd w:val="clear" w:color="auto" w:fill="FFFFFF"/>
        </w:rPr>
        <w:t xml:space="preserve">to facilitate enforcement in this area. </w:t>
      </w:r>
      <w:r w:rsidR="00BA6CA4">
        <w:rPr>
          <w:noProof/>
          <w:shd w:val="clear" w:color="auto" w:fill="FFFFFF"/>
        </w:rPr>
        <w:t>Furthermore, a recent Commission study</w:t>
      </w:r>
      <w:r w:rsidR="00BA6CA4" w:rsidRPr="7F52AB9A">
        <w:rPr>
          <w:noProof/>
        </w:rPr>
        <w:t xml:space="preserve"> assessed 150 environmental claims and found that </w:t>
      </w:r>
      <w:r w:rsidR="00BA6CA4" w:rsidRPr="00A4194A">
        <w:rPr>
          <w:bCs/>
          <w:noProof/>
        </w:rPr>
        <w:t>a considerable share (53.3%) of them provide vague, misleading or unfounded information on products’ environmental characteristics</w:t>
      </w:r>
      <w:r w:rsidR="00BA6CA4" w:rsidRPr="000B73A8">
        <w:rPr>
          <w:noProof/>
        </w:rPr>
        <w:t xml:space="preserve"> across the EU and in a wide range of product groups (both in advertisement as well as on the product)</w:t>
      </w:r>
      <w:r w:rsidR="00BA6CA4">
        <w:rPr>
          <w:rStyle w:val="FootnoteReference0"/>
          <w:noProof/>
        </w:rPr>
        <w:footnoteReference w:id="9"/>
      </w:r>
      <w:r w:rsidR="00BA6CA4" w:rsidRPr="000B73A8">
        <w:rPr>
          <w:noProof/>
        </w:rPr>
        <w:t>.</w:t>
      </w:r>
    </w:p>
    <w:p w:rsidR="00BA6CA4" w:rsidRDefault="00281D9B" w:rsidP="004F0D04">
      <w:pPr>
        <w:rPr>
          <w:noProof/>
          <w:shd w:val="clear" w:color="auto" w:fill="FFFFFF"/>
        </w:rPr>
      </w:pPr>
      <w:r w:rsidRPr="004F0D04">
        <w:rPr>
          <w:noProof/>
          <w:shd w:val="clear" w:color="auto" w:fill="FFFFFF"/>
        </w:rPr>
        <w:t>The s</w:t>
      </w:r>
      <w:r w:rsidR="002F3DB8" w:rsidRPr="004F0D04">
        <w:rPr>
          <w:noProof/>
          <w:shd w:val="clear" w:color="auto" w:fill="FFFFFF"/>
        </w:rPr>
        <w:t xml:space="preserve">ame situation exists for </w:t>
      </w:r>
      <w:r w:rsidR="00BA6CA4" w:rsidRPr="00A4194A">
        <w:rPr>
          <w:noProof/>
          <w:shd w:val="clear" w:color="auto" w:fill="FFFFFF"/>
        </w:rPr>
        <w:t>early obsolescence cases</w:t>
      </w:r>
      <w:r w:rsidR="002F3DB8" w:rsidRPr="002F34A0">
        <w:rPr>
          <w:noProof/>
          <w:shd w:val="clear" w:color="auto" w:fill="FFFFFF"/>
        </w:rPr>
        <w:t>.</w:t>
      </w:r>
      <w:r w:rsidR="002F3DB8" w:rsidRPr="004F0D04">
        <w:rPr>
          <w:noProof/>
          <w:shd w:val="clear" w:color="auto" w:fill="FFFFFF"/>
        </w:rPr>
        <w:t xml:space="preserve"> </w:t>
      </w:r>
      <w:r w:rsidR="00BA6CA4" w:rsidRPr="00A4194A">
        <w:rPr>
          <w:noProof/>
          <w:shd w:val="clear" w:color="auto" w:fill="FFFFFF"/>
        </w:rPr>
        <w:t xml:space="preserve">The lack of specific rules and the need </w:t>
      </w:r>
      <w:r w:rsidR="00BA6CA4" w:rsidRPr="001D16DE">
        <w:rPr>
          <w:noProof/>
        </w:rPr>
        <w:t>to</w:t>
      </w:r>
      <w:r w:rsidR="00BA6CA4" w:rsidRPr="00A4194A">
        <w:rPr>
          <w:noProof/>
          <w:shd w:val="clear" w:color="auto" w:fill="FFFFFF"/>
        </w:rPr>
        <w:t xml:space="preserve"> assess the concrete effects of the practice on consumers makes it difficult to enforce the Directive in this area. </w:t>
      </w:r>
      <w:r w:rsidR="00BA6CA4">
        <w:rPr>
          <w:noProof/>
          <w:shd w:val="clear" w:color="auto" w:fill="FFFFFF"/>
        </w:rPr>
        <w:t xml:space="preserve">This is borne out by the fact that, in their reply to the Open Public Consultation consulted in preparation of this </w:t>
      </w:r>
      <w:r w:rsidR="004557C3">
        <w:rPr>
          <w:noProof/>
          <w:shd w:val="clear" w:color="auto" w:fill="FFFFFF"/>
        </w:rPr>
        <w:t>proposal</w:t>
      </w:r>
      <w:r w:rsidR="00BA6CA4">
        <w:rPr>
          <w:noProof/>
          <w:shd w:val="clear" w:color="auto" w:fill="FFFFFF"/>
        </w:rPr>
        <w:t>, 76% of respondents mentioned that they had experienced an unexpected failure of a product in the past 3 years</w:t>
      </w:r>
      <w:r w:rsidR="00BA6CA4" w:rsidRPr="00586113">
        <w:rPr>
          <w:rStyle w:val="FootnoteReference0"/>
          <w:noProof/>
        </w:rPr>
        <w:footnoteReference w:id="10"/>
      </w:r>
      <w:r w:rsidR="00BA6CA4">
        <w:rPr>
          <w:noProof/>
          <w:shd w:val="clear" w:color="auto" w:fill="FFFFFF"/>
        </w:rPr>
        <w:t>.</w:t>
      </w:r>
      <w:r w:rsidR="00BA6CA4" w:rsidRPr="00BA6CA4" w:rsidDel="00BA6CA4">
        <w:rPr>
          <w:noProof/>
          <w:shd w:val="clear" w:color="auto" w:fill="FFFFFF"/>
        </w:rPr>
        <w:t xml:space="preserve"> </w:t>
      </w:r>
    </w:p>
    <w:p w:rsidR="004844C2" w:rsidRPr="004F0D04" w:rsidRDefault="004844C2" w:rsidP="004F0D04">
      <w:pPr>
        <w:rPr>
          <w:noProof/>
          <w:shd w:val="clear" w:color="auto" w:fill="FFFFFF"/>
        </w:rPr>
      </w:pPr>
    </w:p>
    <w:p w:rsidR="00665EFC" w:rsidRPr="007360B2" w:rsidRDefault="00665EFC" w:rsidP="00AA5DB8">
      <w:pPr>
        <w:pStyle w:val="ManualHeading2"/>
        <w:rPr>
          <w:noProof/>
        </w:rPr>
      </w:pPr>
      <w:r w:rsidRPr="00A625E2">
        <w:rPr>
          <w:noProof/>
        </w:rPr>
        <w:t>1.2.</w:t>
      </w:r>
      <w:r w:rsidRPr="007360B2">
        <w:rPr>
          <w:noProof/>
        </w:rPr>
        <w:tab/>
      </w:r>
      <w:r w:rsidRPr="00A625E2">
        <w:rPr>
          <w:noProof/>
        </w:rPr>
        <w:t xml:space="preserve">Consistency with existing </w:t>
      </w:r>
      <w:r w:rsidR="00B4199F" w:rsidRPr="00A625E2">
        <w:rPr>
          <w:noProof/>
        </w:rPr>
        <w:t>rules</w:t>
      </w:r>
    </w:p>
    <w:p w:rsidR="004E2BB8" w:rsidRPr="001D16DE" w:rsidRDefault="00665EFC" w:rsidP="008D4FB5">
      <w:pPr>
        <w:spacing w:before="0" w:after="240"/>
        <w:rPr>
          <w:noProof/>
        </w:rPr>
      </w:pPr>
      <w:r w:rsidRPr="008C2B17">
        <w:rPr>
          <w:noProof/>
        </w:rPr>
        <w:t>Directive (EU) 2019/771</w:t>
      </w:r>
      <w:r w:rsidRPr="008C2B17">
        <w:rPr>
          <w:rStyle w:val="FootnoteReference0"/>
          <w:noProof/>
        </w:rPr>
        <w:footnoteReference w:id="11"/>
      </w:r>
      <w:r w:rsidRPr="008C2B17">
        <w:rPr>
          <w:noProof/>
        </w:rPr>
        <w:t xml:space="preserve"> (Sale of Goods Directive) promotes durability of </w:t>
      </w:r>
      <w:r w:rsidR="000B7859" w:rsidRPr="008C2B17">
        <w:rPr>
          <w:noProof/>
        </w:rPr>
        <w:t>goods</w:t>
      </w:r>
      <w:r w:rsidR="00B3003F" w:rsidRPr="008C2B17">
        <w:rPr>
          <w:noProof/>
        </w:rPr>
        <w:t xml:space="preserve"> </w:t>
      </w:r>
      <w:r w:rsidRPr="008C2B17">
        <w:rPr>
          <w:noProof/>
        </w:rPr>
        <w:t xml:space="preserve">through the legal guarantee, </w:t>
      </w:r>
      <w:r w:rsidR="00695F4C">
        <w:rPr>
          <w:noProof/>
        </w:rPr>
        <w:t>which</w:t>
      </w:r>
      <w:r w:rsidRPr="008C2B17">
        <w:rPr>
          <w:noProof/>
        </w:rPr>
        <w:t xml:space="preserve"> provides </w:t>
      </w:r>
      <w:r w:rsidR="00695F4C">
        <w:rPr>
          <w:noProof/>
        </w:rPr>
        <w:t xml:space="preserve">certain </w:t>
      </w:r>
      <w:r w:rsidRPr="008C2B17">
        <w:rPr>
          <w:noProof/>
        </w:rPr>
        <w:t xml:space="preserve">rights to </w:t>
      </w:r>
      <w:r w:rsidR="004E2BB8" w:rsidRPr="001D16DE">
        <w:rPr>
          <w:noProof/>
        </w:rPr>
        <w:t>consumers</w:t>
      </w:r>
      <w:r w:rsidRPr="008C2B17">
        <w:rPr>
          <w:noProof/>
        </w:rPr>
        <w:t xml:space="preserve"> during </w:t>
      </w:r>
      <w:r w:rsidR="00695F4C">
        <w:rPr>
          <w:noProof/>
        </w:rPr>
        <w:t>a</w:t>
      </w:r>
      <w:r w:rsidR="00695F4C" w:rsidRPr="003E1CD2">
        <w:rPr>
          <w:noProof/>
        </w:rPr>
        <w:t xml:space="preserve"> </w:t>
      </w:r>
      <w:r w:rsidRPr="008C2B17">
        <w:rPr>
          <w:noProof/>
        </w:rPr>
        <w:t>minimum two-year period</w:t>
      </w:r>
      <w:r w:rsidR="000B7859" w:rsidRPr="008C2B17">
        <w:rPr>
          <w:noProof/>
        </w:rPr>
        <w:t>, which can be extended by Member States under certain conditions</w:t>
      </w:r>
      <w:r>
        <w:rPr>
          <w:noProof/>
        </w:rPr>
        <w:t xml:space="preserve">. </w:t>
      </w:r>
      <w:r w:rsidR="004E2BB8" w:rsidRPr="001D16DE">
        <w:rPr>
          <w:noProof/>
        </w:rPr>
        <w:t>It</w:t>
      </w:r>
      <w:r w:rsidR="004E2BB8" w:rsidRPr="00FF21A8">
        <w:rPr>
          <w:noProof/>
        </w:rPr>
        <w:t xml:space="preserve"> </w:t>
      </w:r>
      <w:r w:rsidR="00571E6E" w:rsidRPr="008C2B17">
        <w:rPr>
          <w:noProof/>
        </w:rPr>
        <w:t xml:space="preserve">also </w:t>
      </w:r>
      <w:r w:rsidR="00DA718F" w:rsidRPr="008C2B17">
        <w:rPr>
          <w:noProof/>
        </w:rPr>
        <w:t>provides for conditions under which a producer may offer a commercial guarantee</w:t>
      </w:r>
      <w:r w:rsidR="00813B43" w:rsidRPr="008C2B17">
        <w:rPr>
          <w:noProof/>
        </w:rPr>
        <w:t xml:space="preserve"> of durability</w:t>
      </w:r>
      <w:r w:rsidR="00DA718F">
        <w:rPr>
          <w:noProof/>
        </w:rPr>
        <w:t xml:space="preserve"> </w:t>
      </w:r>
      <w:r w:rsidR="00DA718F" w:rsidRPr="008C2B17">
        <w:rPr>
          <w:noProof/>
        </w:rPr>
        <w:t>to a consumer</w:t>
      </w:r>
      <w:r w:rsidR="00571E6E" w:rsidRPr="008C2B17">
        <w:rPr>
          <w:noProof/>
        </w:rPr>
        <w:t xml:space="preserve">. </w:t>
      </w:r>
    </w:p>
    <w:p w:rsidR="00665EFC" w:rsidRDefault="00665EFC" w:rsidP="008D4FB5">
      <w:pPr>
        <w:spacing w:before="0" w:after="240"/>
        <w:rPr>
          <w:noProof/>
        </w:rPr>
      </w:pPr>
      <w:r w:rsidRPr="00CB7BA8">
        <w:rPr>
          <w:noProof/>
        </w:rPr>
        <w:t>This proposal will increase</w:t>
      </w:r>
      <w:r w:rsidR="004B13EA">
        <w:rPr>
          <w:noProof/>
        </w:rPr>
        <w:t xml:space="preserve"> transparency for consumers as regards commercial guarantees and will thereby also</w:t>
      </w:r>
      <w:r w:rsidRPr="00CB7BA8" w:rsidDel="004B13EA">
        <w:rPr>
          <w:noProof/>
        </w:rPr>
        <w:t xml:space="preserve"> </w:t>
      </w:r>
      <w:r w:rsidRPr="00CB7BA8">
        <w:rPr>
          <w:noProof/>
        </w:rPr>
        <w:t>incentiv</w:t>
      </w:r>
      <w:r w:rsidR="004B13EA">
        <w:rPr>
          <w:noProof/>
        </w:rPr>
        <w:t>ise</w:t>
      </w:r>
      <w:r w:rsidRPr="00CB7BA8">
        <w:rPr>
          <w:noProof/>
        </w:rPr>
        <w:t xml:space="preserve"> producers to offer commercial guarantees</w:t>
      </w:r>
      <w:r w:rsidR="003A272C" w:rsidRPr="00CB7BA8">
        <w:rPr>
          <w:noProof/>
        </w:rPr>
        <w:t xml:space="preserve"> of durability</w:t>
      </w:r>
      <w:r w:rsidR="00CB3352" w:rsidRPr="004F0D04">
        <w:rPr>
          <w:noProof/>
        </w:rPr>
        <w:t xml:space="preserve"> </w:t>
      </w:r>
      <w:r w:rsidR="00430058" w:rsidRPr="00CB7BA8">
        <w:rPr>
          <w:noProof/>
        </w:rPr>
        <w:t>longer</w:t>
      </w:r>
      <w:r w:rsidR="00EC5F73" w:rsidRPr="00CB7BA8">
        <w:rPr>
          <w:noProof/>
        </w:rPr>
        <w:t xml:space="preserve"> </w:t>
      </w:r>
      <w:r w:rsidR="00EC5F73" w:rsidRPr="00BC7656">
        <w:rPr>
          <w:noProof/>
        </w:rPr>
        <w:t>th</w:t>
      </w:r>
      <w:r w:rsidR="6337736B" w:rsidRPr="00BC7656">
        <w:rPr>
          <w:noProof/>
        </w:rPr>
        <w:t>a</w:t>
      </w:r>
      <w:r w:rsidR="00EC5F73" w:rsidRPr="00BC7656">
        <w:rPr>
          <w:noProof/>
        </w:rPr>
        <w:t>n two years</w:t>
      </w:r>
      <w:r w:rsidR="00CB3352" w:rsidRPr="00BC7656">
        <w:rPr>
          <w:noProof/>
        </w:rPr>
        <w:t xml:space="preserve"> </w:t>
      </w:r>
      <w:r w:rsidR="0083208D" w:rsidRPr="00BC7656">
        <w:rPr>
          <w:noProof/>
        </w:rPr>
        <w:t>by obliging</w:t>
      </w:r>
      <w:r w:rsidR="0083208D">
        <w:rPr>
          <w:noProof/>
        </w:rPr>
        <w:t xml:space="preserve"> traders to provide</w:t>
      </w:r>
      <w:r w:rsidDel="0083208D">
        <w:rPr>
          <w:noProof/>
        </w:rPr>
        <w:t xml:space="preserve"> </w:t>
      </w:r>
      <w:r w:rsidRPr="00CB7BA8">
        <w:rPr>
          <w:noProof/>
        </w:rPr>
        <w:t xml:space="preserve">information at the point of sale on the existence </w:t>
      </w:r>
      <w:r w:rsidR="00284965" w:rsidRPr="004F0D04">
        <w:rPr>
          <w:noProof/>
        </w:rPr>
        <w:t>(</w:t>
      </w:r>
      <w:r w:rsidRPr="00170C9D">
        <w:rPr>
          <w:noProof/>
        </w:rPr>
        <w:t>or absence</w:t>
      </w:r>
      <w:r w:rsidR="00284965" w:rsidRPr="00170C9D">
        <w:rPr>
          <w:noProof/>
        </w:rPr>
        <w:t xml:space="preserve"> in the case of energy-using goods</w:t>
      </w:r>
      <w:r w:rsidR="00284965" w:rsidRPr="004F0D04">
        <w:rPr>
          <w:noProof/>
        </w:rPr>
        <w:t>)</w:t>
      </w:r>
      <w:r w:rsidR="00430058" w:rsidRPr="00CB7BA8">
        <w:rPr>
          <w:noProof/>
        </w:rPr>
        <w:t xml:space="preserve"> and </w:t>
      </w:r>
      <w:r w:rsidR="00D84D92">
        <w:rPr>
          <w:noProof/>
        </w:rPr>
        <w:t>length</w:t>
      </w:r>
      <w:r w:rsidRPr="00CB7BA8">
        <w:rPr>
          <w:noProof/>
        </w:rPr>
        <w:t xml:space="preserve"> of</w:t>
      </w:r>
      <w:r w:rsidR="00CB3352" w:rsidRPr="004F0D04">
        <w:rPr>
          <w:noProof/>
        </w:rPr>
        <w:t xml:space="preserve"> the</w:t>
      </w:r>
      <w:r w:rsidRPr="00CB7BA8">
        <w:rPr>
          <w:noProof/>
        </w:rPr>
        <w:t xml:space="preserve"> </w:t>
      </w:r>
      <w:r w:rsidRPr="00CB3352">
        <w:rPr>
          <w:noProof/>
        </w:rPr>
        <w:t>commercial guarantee</w:t>
      </w:r>
      <w:r w:rsidR="00B73E38" w:rsidRPr="00CB3352">
        <w:rPr>
          <w:noProof/>
        </w:rPr>
        <w:t>s</w:t>
      </w:r>
      <w:r w:rsidRPr="00CB3352">
        <w:rPr>
          <w:noProof/>
        </w:rPr>
        <w:t xml:space="preserve"> of durability</w:t>
      </w:r>
      <w:r w:rsidR="00CB3352">
        <w:rPr>
          <w:noProof/>
        </w:rPr>
        <w:t xml:space="preserve"> </w:t>
      </w:r>
      <w:r w:rsidR="00D80796">
        <w:rPr>
          <w:noProof/>
        </w:rPr>
        <w:t>provided by producers</w:t>
      </w:r>
      <w:r w:rsidR="00BD3899">
        <w:rPr>
          <w:noProof/>
        </w:rPr>
        <w:t>.</w:t>
      </w:r>
      <w:r w:rsidR="00B3003F" w:rsidRPr="00CB7BA8">
        <w:rPr>
          <w:noProof/>
        </w:rPr>
        <w:t xml:space="preserve"> </w:t>
      </w:r>
    </w:p>
    <w:p w:rsidR="004E2BB8" w:rsidRPr="001D16DE" w:rsidRDefault="00B3003F" w:rsidP="008D4FB5">
      <w:pPr>
        <w:spacing w:before="0" w:after="240"/>
        <w:rPr>
          <w:noProof/>
        </w:rPr>
      </w:pPr>
      <w:r>
        <w:rPr>
          <w:noProof/>
        </w:rPr>
        <w:t>B</w:t>
      </w:r>
      <w:r w:rsidR="004E2BB8" w:rsidRPr="001D16DE">
        <w:rPr>
          <w:noProof/>
        </w:rPr>
        <w:t xml:space="preserve">oth </w:t>
      </w:r>
      <w:r w:rsidR="00665EFC" w:rsidRPr="008C2B17">
        <w:rPr>
          <w:noProof/>
        </w:rPr>
        <w:t>the Sale of Goods Directive</w:t>
      </w:r>
      <w:r w:rsidR="00785FE9" w:rsidRPr="008C2B17">
        <w:rPr>
          <w:noProof/>
        </w:rPr>
        <w:t xml:space="preserve"> and the Digital Content Directive</w:t>
      </w:r>
      <w:r w:rsidR="00785FE9" w:rsidRPr="008C2B17">
        <w:rPr>
          <w:rStyle w:val="FootnoteReference0"/>
          <w:noProof/>
        </w:rPr>
        <w:footnoteReference w:id="12"/>
      </w:r>
      <w:r w:rsidR="00665EFC" w:rsidRPr="008C2B17">
        <w:rPr>
          <w:noProof/>
        </w:rPr>
        <w:t xml:space="preserve"> </w:t>
      </w:r>
      <w:r w:rsidR="00745A7C" w:rsidRPr="001D16DE">
        <w:rPr>
          <w:noProof/>
        </w:rPr>
        <w:t>ensure</w:t>
      </w:r>
      <w:r w:rsidR="00665EFC" w:rsidRPr="008C2B17">
        <w:rPr>
          <w:noProof/>
        </w:rPr>
        <w:t xml:space="preserve"> consumers are supplied with software updates so that a product remains in conformity for </w:t>
      </w:r>
      <w:r w:rsidR="003E061C" w:rsidRPr="008C2B17">
        <w:rPr>
          <w:noProof/>
        </w:rPr>
        <w:t xml:space="preserve">the duration of the </w:t>
      </w:r>
      <w:r w:rsidR="003E061C" w:rsidRPr="000B7859">
        <w:rPr>
          <w:noProof/>
        </w:rPr>
        <w:t>contract</w:t>
      </w:r>
      <w:r w:rsidR="004E2BB8" w:rsidRPr="001D16DE">
        <w:rPr>
          <w:noProof/>
        </w:rPr>
        <w:t>,</w:t>
      </w:r>
      <w:r w:rsidR="003E061C" w:rsidRPr="008C2B17">
        <w:rPr>
          <w:noProof/>
        </w:rPr>
        <w:t xml:space="preserve"> or alternatively for </w:t>
      </w:r>
      <w:r w:rsidR="00665EFC" w:rsidRPr="008C2B17">
        <w:rPr>
          <w:noProof/>
        </w:rPr>
        <w:t>a period of time which the consumer might reasonably expect</w:t>
      </w:r>
      <w:r w:rsidR="005A03FF" w:rsidRPr="008C2B17">
        <w:rPr>
          <w:noProof/>
        </w:rPr>
        <w:t xml:space="preserve">. </w:t>
      </w:r>
    </w:p>
    <w:p w:rsidR="00665EFC" w:rsidRDefault="005A03FF" w:rsidP="008D4FB5">
      <w:pPr>
        <w:spacing w:before="0" w:after="240"/>
        <w:rPr>
          <w:noProof/>
        </w:rPr>
      </w:pPr>
      <w:r w:rsidRPr="008C2B17">
        <w:rPr>
          <w:noProof/>
        </w:rPr>
        <w:t>However,</w:t>
      </w:r>
      <w:r w:rsidR="00665EFC" w:rsidRPr="008C2B17">
        <w:rPr>
          <w:noProof/>
        </w:rPr>
        <w:t xml:space="preserve"> the comparability of product</w:t>
      </w:r>
      <w:r w:rsidR="00E516E3" w:rsidRPr="008C2B17">
        <w:rPr>
          <w:noProof/>
        </w:rPr>
        <w:t>s</w:t>
      </w:r>
      <w:r w:rsidR="00665EFC" w:rsidRPr="008C2B17">
        <w:rPr>
          <w:noProof/>
        </w:rPr>
        <w:t xml:space="preserve"> at the point of sale based on the availability of software updates is not addressed. </w:t>
      </w:r>
      <w:r w:rsidR="00665EFC" w:rsidRPr="007D7B63">
        <w:rPr>
          <w:noProof/>
        </w:rPr>
        <w:t>This proposal will provi</w:t>
      </w:r>
      <w:r w:rsidR="00156A8D" w:rsidRPr="007D7B63">
        <w:rPr>
          <w:noProof/>
        </w:rPr>
        <w:t xml:space="preserve">de for an obligation to </w:t>
      </w:r>
      <w:r w:rsidR="00665EFC" w:rsidRPr="007D7B63">
        <w:rPr>
          <w:noProof/>
        </w:rPr>
        <w:t xml:space="preserve">inform </w:t>
      </w:r>
      <w:r w:rsidR="00156A8D" w:rsidRPr="007D7B63">
        <w:rPr>
          <w:noProof/>
        </w:rPr>
        <w:t xml:space="preserve">consumers </w:t>
      </w:r>
      <w:r w:rsidR="003D54EC" w:rsidRPr="007D7B63">
        <w:rPr>
          <w:noProof/>
        </w:rPr>
        <w:t xml:space="preserve">before concluding the contract </w:t>
      </w:r>
      <w:r w:rsidR="00665EFC" w:rsidRPr="007D7B63">
        <w:rPr>
          <w:noProof/>
        </w:rPr>
        <w:t>on the existence of software updates</w:t>
      </w:r>
      <w:r w:rsidR="00BD3899" w:rsidRPr="007D7B63">
        <w:rPr>
          <w:noProof/>
        </w:rPr>
        <w:t xml:space="preserve"> </w:t>
      </w:r>
      <w:r w:rsidR="003D54EC" w:rsidRPr="007D7B63">
        <w:rPr>
          <w:noProof/>
        </w:rPr>
        <w:t>and the period for which the p</w:t>
      </w:r>
      <w:r w:rsidR="0083405A" w:rsidRPr="007D7B63">
        <w:rPr>
          <w:noProof/>
        </w:rPr>
        <w:t>roducer commits to provide them</w:t>
      </w:r>
      <w:r w:rsidR="0095067A" w:rsidRPr="007D7B63">
        <w:rPr>
          <w:noProof/>
        </w:rPr>
        <w:t>,</w:t>
      </w:r>
      <w:r w:rsidR="00665EFC" w:rsidRPr="007D7B63">
        <w:rPr>
          <w:noProof/>
        </w:rPr>
        <w:t xml:space="preserve"> when </w:t>
      </w:r>
      <w:r w:rsidR="00F5343E" w:rsidRPr="007D7B63">
        <w:rPr>
          <w:noProof/>
        </w:rPr>
        <w:t xml:space="preserve">this </w:t>
      </w:r>
      <w:r w:rsidR="006D36FE">
        <w:rPr>
          <w:noProof/>
        </w:rPr>
        <w:t xml:space="preserve">information </w:t>
      </w:r>
      <w:r w:rsidR="00F5343E" w:rsidRPr="007D7B63">
        <w:rPr>
          <w:noProof/>
        </w:rPr>
        <w:t xml:space="preserve">is </w:t>
      </w:r>
      <w:r w:rsidR="00665EFC" w:rsidRPr="007D7B63">
        <w:rPr>
          <w:noProof/>
        </w:rPr>
        <w:t xml:space="preserve">provided </w:t>
      </w:r>
      <w:r w:rsidR="00532C37" w:rsidRPr="007D7B63">
        <w:rPr>
          <w:noProof/>
        </w:rPr>
        <w:t>by the producer</w:t>
      </w:r>
      <w:r w:rsidR="00F5343E" w:rsidRPr="007D7B63">
        <w:rPr>
          <w:noProof/>
        </w:rPr>
        <w:t xml:space="preserve">. When there is already a </w:t>
      </w:r>
      <w:r w:rsidR="00665EFC" w:rsidRPr="007D7B63">
        <w:rPr>
          <w:noProof/>
        </w:rPr>
        <w:t>commercial guarantee of durability</w:t>
      </w:r>
      <w:r w:rsidR="00F5343E">
        <w:rPr>
          <w:noProof/>
        </w:rPr>
        <w:t xml:space="preserve"> </w:t>
      </w:r>
      <w:r w:rsidR="00C91B78">
        <w:rPr>
          <w:noProof/>
        </w:rPr>
        <w:t>offered</w:t>
      </w:r>
      <w:r w:rsidR="00DA127A">
        <w:rPr>
          <w:noProof/>
        </w:rPr>
        <w:t xml:space="preserve"> for longer than two years</w:t>
      </w:r>
      <w:r w:rsidR="00F5343E">
        <w:rPr>
          <w:noProof/>
        </w:rPr>
        <w:t xml:space="preserve">, the information obligation </w:t>
      </w:r>
      <w:r w:rsidR="00C91B78">
        <w:rPr>
          <w:noProof/>
        </w:rPr>
        <w:t xml:space="preserve">for traders </w:t>
      </w:r>
      <w:r w:rsidR="00F5343E">
        <w:rPr>
          <w:noProof/>
        </w:rPr>
        <w:t xml:space="preserve">only remains for software updates when the duration is longer than the duration of the commercial guarantee of </w:t>
      </w:r>
      <w:r w:rsidR="00C91B78">
        <w:rPr>
          <w:noProof/>
        </w:rPr>
        <w:t>durability</w:t>
      </w:r>
      <w:r w:rsidR="00E72531">
        <w:rPr>
          <w:noProof/>
        </w:rPr>
        <w:t>,</w:t>
      </w:r>
      <w:r w:rsidR="00C91B78">
        <w:rPr>
          <w:noProof/>
        </w:rPr>
        <w:t xml:space="preserve"> to avoid unnecessary information for consumers</w:t>
      </w:r>
      <w:r w:rsidR="00665EFC" w:rsidRPr="007D7B63">
        <w:rPr>
          <w:noProof/>
        </w:rPr>
        <w:t>.</w:t>
      </w:r>
    </w:p>
    <w:p w:rsidR="00AE7695" w:rsidRPr="0067086E" w:rsidRDefault="00CA59DB" w:rsidP="008D4FB5">
      <w:pPr>
        <w:spacing w:before="0" w:after="240"/>
        <w:rPr>
          <w:noProof/>
        </w:rPr>
      </w:pPr>
      <w:r>
        <w:rPr>
          <w:noProof/>
        </w:rPr>
        <w:t xml:space="preserve">As this proposal amends existing EU </w:t>
      </w:r>
      <w:r w:rsidR="00053136">
        <w:rPr>
          <w:noProof/>
        </w:rPr>
        <w:t xml:space="preserve">consumer law </w:t>
      </w:r>
      <w:r w:rsidR="00774862">
        <w:rPr>
          <w:noProof/>
        </w:rPr>
        <w:t>d</w:t>
      </w:r>
      <w:r>
        <w:rPr>
          <w:noProof/>
        </w:rPr>
        <w:t>irectives, its provisions</w:t>
      </w:r>
      <w:r w:rsidR="00665EFC" w:rsidRPr="0067086E">
        <w:rPr>
          <w:noProof/>
        </w:rPr>
        <w:t xml:space="preserve"> will </w:t>
      </w:r>
      <w:r w:rsidR="00114F75">
        <w:rPr>
          <w:noProof/>
        </w:rPr>
        <w:t xml:space="preserve">be able to </w:t>
      </w:r>
      <w:r w:rsidR="00665EFC" w:rsidRPr="0067086E">
        <w:rPr>
          <w:noProof/>
        </w:rPr>
        <w:t>rely on the full spectrum of enforcement mechanisms</w:t>
      </w:r>
      <w:r w:rsidR="00CD2892" w:rsidRPr="00605A35">
        <w:rPr>
          <w:noProof/>
        </w:rPr>
        <w:t xml:space="preserve"> in </w:t>
      </w:r>
      <w:r w:rsidR="00CD2892" w:rsidRPr="00822247">
        <w:rPr>
          <w:noProof/>
        </w:rPr>
        <w:t>existing EU consumer law</w:t>
      </w:r>
      <w:r w:rsidR="00665EFC" w:rsidRPr="00822247">
        <w:rPr>
          <w:noProof/>
        </w:rPr>
        <w:t xml:space="preserve">, </w:t>
      </w:r>
      <w:r w:rsidR="00E516E3" w:rsidRPr="00250138">
        <w:rPr>
          <w:noProof/>
        </w:rPr>
        <w:t xml:space="preserve">recently </w:t>
      </w:r>
      <w:r w:rsidR="00665EFC" w:rsidRPr="00250138">
        <w:rPr>
          <w:noProof/>
        </w:rPr>
        <w:t xml:space="preserve">strengthened </w:t>
      </w:r>
      <w:r w:rsidR="00E516E3" w:rsidRPr="00250138">
        <w:rPr>
          <w:noProof/>
        </w:rPr>
        <w:t xml:space="preserve">by </w:t>
      </w:r>
      <w:r w:rsidR="00665EFC" w:rsidRPr="00390B49">
        <w:rPr>
          <w:noProof/>
        </w:rPr>
        <w:t>the Better enforcement and modernisation Directive</w:t>
      </w:r>
      <w:r w:rsidR="00665EFC" w:rsidRPr="0067086E">
        <w:rPr>
          <w:rStyle w:val="FootnoteReference0"/>
          <w:noProof/>
        </w:rPr>
        <w:footnoteReference w:id="13"/>
      </w:r>
      <w:r w:rsidR="00665EFC" w:rsidRPr="0067086E">
        <w:rPr>
          <w:noProof/>
        </w:rPr>
        <w:t>, the Representative Actions Directive</w:t>
      </w:r>
      <w:r w:rsidR="00665EFC" w:rsidRPr="0067086E">
        <w:rPr>
          <w:rStyle w:val="FootnoteReference0"/>
          <w:noProof/>
        </w:rPr>
        <w:footnoteReference w:id="14"/>
      </w:r>
      <w:r w:rsidR="00665EFC" w:rsidRPr="0067086E">
        <w:rPr>
          <w:noProof/>
        </w:rPr>
        <w:t xml:space="preserve"> and the revised C</w:t>
      </w:r>
      <w:r w:rsidR="003E061C" w:rsidRPr="0067086E">
        <w:rPr>
          <w:noProof/>
        </w:rPr>
        <w:t xml:space="preserve">onsumer </w:t>
      </w:r>
      <w:r w:rsidR="00665EFC" w:rsidRPr="00605A35">
        <w:rPr>
          <w:noProof/>
        </w:rPr>
        <w:t>P</w:t>
      </w:r>
      <w:r w:rsidR="003E061C" w:rsidRPr="00605A35">
        <w:rPr>
          <w:noProof/>
        </w:rPr>
        <w:t xml:space="preserve">rotection </w:t>
      </w:r>
      <w:r w:rsidR="00665EFC" w:rsidRPr="00822247">
        <w:rPr>
          <w:noProof/>
        </w:rPr>
        <w:t>C</w:t>
      </w:r>
      <w:r w:rsidR="003E061C" w:rsidRPr="00822247">
        <w:rPr>
          <w:noProof/>
        </w:rPr>
        <w:t>ooperation</w:t>
      </w:r>
      <w:r w:rsidR="00665EFC" w:rsidRPr="00822247">
        <w:rPr>
          <w:noProof/>
        </w:rPr>
        <w:t xml:space="preserve"> Regulation</w:t>
      </w:r>
      <w:r w:rsidR="00665EFC" w:rsidRPr="0067086E">
        <w:rPr>
          <w:rStyle w:val="FootnoteReference0"/>
          <w:noProof/>
        </w:rPr>
        <w:footnoteReference w:id="15"/>
      </w:r>
      <w:r w:rsidR="00AE7695" w:rsidRPr="0067086E">
        <w:rPr>
          <w:noProof/>
        </w:rPr>
        <w:t>.</w:t>
      </w:r>
    </w:p>
    <w:p w:rsidR="00665EFC" w:rsidRPr="007360B2" w:rsidRDefault="00665EFC" w:rsidP="008D4FB5">
      <w:pPr>
        <w:pStyle w:val="ManualHeading2"/>
        <w:spacing w:after="240"/>
        <w:rPr>
          <w:noProof/>
        </w:rPr>
      </w:pPr>
      <w:r w:rsidRPr="007360B2">
        <w:rPr>
          <w:noProof/>
        </w:rPr>
        <w:t>1.3.</w:t>
      </w:r>
      <w:r w:rsidRPr="007360B2">
        <w:rPr>
          <w:noProof/>
        </w:rPr>
        <w:tab/>
        <w:t>Consistency with other EU policies</w:t>
      </w:r>
    </w:p>
    <w:p w:rsidR="003A272C" w:rsidRDefault="0083405A" w:rsidP="008D4FB5">
      <w:pPr>
        <w:autoSpaceDE w:val="0"/>
        <w:autoSpaceDN w:val="0"/>
        <w:adjustRightInd w:val="0"/>
        <w:spacing w:before="0" w:after="240"/>
        <w:ind w:right="-51"/>
        <w:rPr>
          <w:noProof/>
          <w:color w:val="000000"/>
          <w:bdr w:val="none" w:sz="0" w:space="0" w:color="auto" w:frame="1"/>
          <w:shd w:val="clear" w:color="auto" w:fill="FFFFFF"/>
        </w:rPr>
      </w:pPr>
      <w:r>
        <w:rPr>
          <w:noProof/>
          <w:color w:val="000000"/>
          <w:bdr w:val="none" w:sz="0" w:space="0" w:color="auto" w:frame="1"/>
          <w:shd w:val="clear" w:color="auto" w:fill="FFFFFF"/>
        </w:rPr>
        <w:t>With the exception of certain derogations, t</w:t>
      </w:r>
      <w:r w:rsidR="00665EFC" w:rsidRPr="006518A4">
        <w:rPr>
          <w:noProof/>
          <w:color w:val="000000"/>
          <w:bdr w:val="none" w:sz="0" w:space="0" w:color="auto" w:frame="1"/>
          <w:shd w:val="clear" w:color="auto" w:fill="FFFFFF"/>
        </w:rPr>
        <w:t>he two consumer law directives amended by this proposal</w:t>
      </w:r>
      <w:r w:rsidR="002277D0">
        <w:rPr>
          <w:noProof/>
          <w:color w:val="000000"/>
          <w:bdr w:val="none" w:sz="0" w:space="0" w:color="auto" w:frame="1"/>
          <w:shd w:val="clear" w:color="auto" w:fill="FFFFFF"/>
        </w:rPr>
        <w:t xml:space="preserve">, </w:t>
      </w:r>
      <w:r w:rsidR="00665EFC" w:rsidRPr="006518A4">
        <w:rPr>
          <w:noProof/>
          <w:color w:val="000000"/>
          <w:bdr w:val="none" w:sz="0" w:space="0" w:color="auto" w:frame="1"/>
          <w:shd w:val="clear" w:color="auto" w:fill="FFFFFF"/>
        </w:rPr>
        <w:t xml:space="preserve">apply across all economic sectors. Due to their general scope, they apply to many aspects of business-to-consumer transactions that </w:t>
      </w:r>
      <w:r w:rsidR="00114F75">
        <w:rPr>
          <w:noProof/>
          <w:color w:val="000000"/>
          <w:bdr w:val="none" w:sz="0" w:space="0" w:color="auto" w:frame="1"/>
          <w:shd w:val="clear" w:color="auto" w:fill="FFFFFF"/>
        </w:rPr>
        <w:t>may</w:t>
      </w:r>
      <w:r w:rsidR="00114F75" w:rsidRPr="006518A4">
        <w:rPr>
          <w:noProof/>
          <w:color w:val="000000"/>
          <w:bdr w:val="none" w:sz="0" w:space="0" w:color="auto" w:frame="1"/>
          <w:shd w:val="clear" w:color="auto" w:fill="FFFFFF"/>
        </w:rPr>
        <w:t xml:space="preserve"> </w:t>
      </w:r>
      <w:r w:rsidR="00665EFC" w:rsidRPr="006518A4">
        <w:rPr>
          <w:noProof/>
          <w:color w:val="000000"/>
          <w:bdr w:val="none" w:sz="0" w:space="0" w:color="auto" w:frame="1"/>
          <w:shd w:val="clear" w:color="auto" w:fill="FFFFFF"/>
        </w:rPr>
        <w:t>also</w:t>
      </w:r>
      <w:r w:rsidR="00114F75">
        <w:rPr>
          <w:noProof/>
          <w:color w:val="000000"/>
          <w:bdr w:val="none" w:sz="0" w:space="0" w:color="auto" w:frame="1"/>
          <w:shd w:val="clear" w:color="auto" w:fill="FFFFFF"/>
        </w:rPr>
        <w:t xml:space="preserve"> be</w:t>
      </w:r>
      <w:r w:rsidR="00665EFC" w:rsidRPr="006518A4">
        <w:rPr>
          <w:noProof/>
          <w:color w:val="000000"/>
          <w:bdr w:val="none" w:sz="0" w:space="0" w:color="auto" w:frame="1"/>
          <w:shd w:val="clear" w:color="auto" w:fill="FFFFFF"/>
        </w:rPr>
        <w:t xml:space="preserve"> covered by other</w:t>
      </w:r>
      <w:r w:rsidR="00114F75">
        <w:rPr>
          <w:noProof/>
          <w:color w:val="000000"/>
          <w:bdr w:val="none" w:sz="0" w:space="0" w:color="auto" w:frame="1"/>
          <w:shd w:val="clear" w:color="auto" w:fill="FFFFFF"/>
        </w:rPr>
        <w:t>, more specific</w:t>
      </w:r>
      <w:r w:rsidR="00665EFC" w:rsidRPr="006518A4">
        <w:rPr>
          <w:noProof/>
          <w:color w:val="000000"/>
          <w:bdr w:val="none" w:sz="0" w:space="0" w:color="auto" w:frame="1"/>
          <w:shd w:val="clear" w:color="auto" w:fill="FFFFFF"/>
        </w:rPr>
        <w:t xml:space="preserve"> EU legislation</w:t>
      </w:r>
      <w:r w:rsidR="00114F75">
        <w:rPr>
          <w:noProof/>
          <w:color w:val="000000"/>
          <w:bdr w:val="none" w:sz="0" w:space="0" w:color="auto" w:frame="1"/>
          <w:shd w:val="clear" w:color="auto" w:fill="FFFFFF"/>
        </w:rPr>
        <w:t xml:space="preserve"> in different areas</w:t>
      </w:r>
      <w:r w:rsidR="00665EFC" w:rsidRPr="006518A4">
        <w:rPr>
          <w:noProof/>
          <w:color w:val="000000"/>
          <w:bdr w:val="none" w:sz="0" w:space="0" w:color="auto" w:frame="1"/>
          <w:shd w:val="clear" w:color="auto" w:fill="FFFFFF"/>
        </w:rPr>
        <w:t xml:space="preserve">. The interplay between the different </w:t>
      </w:r>
      <w:r w:rsidR="0093276A" w:rsidRPr="00D26A61">
        <w:rPr>
          <w:noProof/>
          <w:color w:val="000000"/>
          <w:bdr w:val="none" w:sz="0" w:space="0" w:color="auto" w:frame="1"/>
          <w:shd w:val="clear" w:color="auto" w:fill="FFFFFF"/>
        </w:rPr>
        <w:t xml:space="preserve">instruments </w:t>
      </w:r>
      <w:r w:rsidR="00665EFC" w:rsidRPr="006518A4">
        <w:rPr>
          <w:noProof/>
          <w:color w:val="000000"/>
          <w:bdr w:val="none" w:sz="0" w:space="0" w:color="auto" w:frame="1"/>
          <w:shd w:val="clear" w:color="auto" w:fill="FFFFFF"/>
        </w:rPr>
        <w:t xml:space="preserve">of </w:t>
      </w:r>
      <w:r w:rsidR="008E402E">
        <w:rPr>
          <w:noProof/>
          <w:color w:val="000000"/>
          <w:bdr w:val="none" w:sz="0" w:space="0" w:color="auto" w:frame="1"/>
          <w:shd w:val="clear" w:color="auto" w:fill="FFFFFF"/>
        </w:rPr>
        <w:t>Union law</w:t>
      </w:r>
      <w:r w:rsidR="00665EFC" w:rsidRPr="006518A4">
        <w:rPr>
          <w:noProof/>
          <w:color w:val="000000"/>
          <w:bdr w:val="none" w:sz="0" w:space="0" w:color="auto" w:frame="1"/>
          <w:shd w:val="clear" w:color="auto" w:fill="FFFFFF"/>
        </w:rPr>
        <w:t xml:space="preserve"> is regulated by the </w:t>
      </w:r>
      <w:r w:rsidR="00665EFC" w:rsidRPr="006518A4">
        <w:rPr>
          <w:i/>
          <w:noProof/>
          <w:color w:val="000000"/>
          <w:bdr w:val="none" w:sz="0" w:space="0" w:color="auto" w:frame="1"/>
          <w:shd w:val="clear" w:color="auto" w:fill="FFFFFF"/>
        </w:rPr>
        <w:t>lex specialis</w:t>
      </w:r>
      <w:r w:rsidR="00665EFC" w:rsidRPr="006518A4">
        <w:rPr>
          <w:noProof/>
          <w:color w:val="000000"/>
          <w:bdr w:val="none" w:sz="0" w:space="0" w:color="auto" w:frame="1"/>
          <w:shd w:val="clear" w:color="auto" w:fill="FFFFFF"/>
        </w:rPr>
        <w:t xml:space="preserve"> principle. Under this principle, the general consumer law directives </w:t>
      </w:r>
      <w:r w:rsidR="009D7D4D">
        <w:rPr>
          <w:noProof/>
          <w:color w:val="000000"/>
          <w:bdr w:val="none" w:sz="0" w:space="0" w:color="auto" w:frame="1"/>
          <w:shd w:val="clear" w:color="auto" w:fill="FFFFFF"/>
        </w:rPr>
        <w:t>apply</w:t>
      </w:r>
      <w:r w:rsidR="00665EFC" w:rsidRPr="006518A4">
        <w:rPr>
          <w:noProof/>
          <w:color w:val="000000"/>
          <w:bdr w:val="none" w:sz="0" w:space="0" w:color="auto" w:frame="1"/>
          <w:shd w:val="clear" w:color="auto" w:fill="FFFFFF"/>
        </w:rPr>
        <w:t xml:space="preserve"> when</w:t>
      </w:r>
      <w:r w:rsidR="00114F75">
        <w:rPr>
          <w:noProof/>
          <w:color w:val="000000"/>
          <w:bdr w:val="none" w:sz="0" w:space="0" w:color="auto" w:frame="1"/>
          <w:shd w:val="clear" w:color="auto" w:fill="FFFFFF"/>
        </w:rPr>
        <w:t>ever</w:t>
      </w:r>
      <w:r w:rsidR="00665EFC" w:rsidRPr="006518A4">
        <w:rPr>
          <w:noProof/>
          <w:color w:val="000000"/>
          <w:bdr w:val="none" w:sz="0" w:space="0" w:color="auto" w:frame="1"/>
          <w:shd w:val="clear" w:color="auto" w:fill="FFFFFF"/>
        </w:rPr>
        <w:t xml:space="preserve"> the relevant aspects of business-to-consumer transactions are not </w:t>
      </w:r>
      <w:r w:rsidR="00911EC5" w:rsidRPr="006518A4">
        <w:rPr>
          <w:noProof/>
          <w:color w:val="000000"/>
          <w:bdr w:val="none" w:sz="0" w:space="0" w:color="auto" w:frame="1"/>
          <w:shd w:val="clear" w:color="auto" w:fill="FFFFFF"/>
        </w:rPr>
        <w:t>regulated by</w:t>
      </w:r>
      <w:r w:rsidR="00665EFC" w:rsidRPr="006518A4">
        <w:rPr>
          <w:noProof/>
          <w:color w:val="000000"/>
          <w:bdr w:val="none" w:sz="0" w:space="0" w:color="auto" w:frame="1"/>
          <w:shd w:val="clear" w:color="auto" w:fill="FFFFFF"/>
        </w:rPr>
        <w:t xml:space="preserve"> </w:t>
      </w:r>
      <w:r w:rsidR="00B542C9">
        <w:rPr>
          <w:noProof/>
          <w:color w:val="000000"/>
          <w:bdr w:val="none" w:sz="0" w:space="0" w:color="auto" w:frame="1"/>
          <w:shd w:val="clear" w:color="auto" w:fill="FFFFFF"/>
        </w:rPr>
        <w:t xml:space="preserve">more </w:t>
      </w:r>
      <w:r w:rsidR="00665EFC" w:rsidRPr="006518A4">
        <w:rPr>
          <w:noProof/>
          <w:color w:val="000000"/>
          <w:bdr w:val="none" w:sz="0" w:space="0" w:color="auto" w:frame="1"/>
          <w:shd w:val="clear" w:color="auto" w:fill="FFFFFF"/>
        </w:rPr>
        <w:t xml:space="preserve">specific </w:t>
      </w:r>
      <w:r w:rsidR="00B542C9">
        <w:rPr>
          <w:noProof/>
          <w:color w:val="000000"/>
          <w:bdr w:val="none" w:sz="0" w:space="0" w:color="auto" w:frame="1"/>
          <w:shd w:val="clear" w:color="auto" w:fill="FFFFFF"/>
        </w:rPr>
        <w:t>provisions of</w:t>
      </w:r>
      <w:r w:rsidR="00665EFC" w:rsidRPr="006518A4">
        <w:rPr>
          <w:noProof/>
          <w:color w:val="000000"/>
          <w:bdr w:val="none" w:sz="0" w:space="0" w:color="auto" w:frame="1"/>
          <w:shd w:val="clear" w:color="auto" w:fill="FFFFFF"/>
        </w:rPr>
        <w:t xml:space="preserve"> EU law. Thus, the general consumer law directives work as a ‘safety net’, ensuring that a high level of consumer protection can be maintained in all sectors, complementing and filling gaps in sector-specific Union law.</w:t>
      </w:r>
    </w:p>
    <w:p w:rsidR="000A4225" w:rsidRDefault="00665EFC" w:rsidP="001001F4">
      <w:pPr>
        <w:autoSpaceDE w:val="0"/>
        <w:autoSpaceDN w:val="0"/>
        <w:adjustRightInd w:val="0"/>
        <w:spacing w:before="0" w:after="240"/>
        <w:ind w:right="-51"/>
        <w:rPr>
          <w:noProof/>
        </w:rPr>
      </w:pPr>
      <w:r>
        <w:rPr>
          <w:noProof/>
          <w:color w:val="000000"/>
          <w:bdr w:val="none" w:sz="0" w:space="0" w:color="auto" w:frame="1"/>
          <w:shd w:val="clear" w:color="auto" w:fill="FFFFFF"/>
        </w:rPr>
        <w:t>Two</w:t>
      </w:r>
      <w:r w:rsidRPr="007E1602">
        <w:rPr>
          <w:noProof/>
          <w:color w:val="000000"/>
          <w:bdr w:val="none" w:sz="0" w:space="0" w:color="auto" w:frame="1"/>
          <w:shd w:val="clear" w:color="auto" w:fill="FFFFFF"/>
        </w:rPr>
        <w:t xml:space="preserve"> other EU-level initiatives </w:t>
      </w:r>
      <w:r w:rsidR="00640418">
        <w:rPr>
          <w:noProof/>
          <w:color w:val="000000"/>
          <w:bdr w:val="none" w:sz="0" w:space="0" w:color="auto" w:frame="1"/>
          <w:shd w:val="clear" w:color="auto" w:fill="FFFFFF"/>
        </w:rPr>
        <w:t>would</w:t>
      </w:r>
      <w:r w:rsidR="00640418" w:rsidRPr="007E1602">
        <w:rPr>
          <w:noProof/>
          <w:color w:val="000000"/>
          <w:bdr w:val="none" w:sz="0" w:space="0" w:color="auto" w:frame="1"/>
          <w:shd w:val="clear" w:color="auto" w:fill="FFFFFF"/>
        </w:rPr>
        <w:t xml:space="preserve"> </w:t>
      </w:r>
      <w:r w:rsidRPr="007E1602">
        <w:rPr>
          <w:noProof/>
          <w:color w:val="000000"/>
          <w:bdr w:val="none" w:sz="0" w:space="0" w:color="auto" w:frame="1"/>
          <w:shd w:val="clear" w:color="auto" w:fill="FFFFFF"/>
        </w:rPr>
        <w:t xml:space="preserve">complement </w:t>
      </w:r>
      <w:r>
        <w:rPr>
          <w:noProof/>
          <w:color w:val="000000"/>
          <w:bdr w:val="none" w:sz="0" w:space="0" w:color="auto" w:frame="1"/>
          <w:shd w:val="clear" w:color="auto" w:fill="FFFFFF"/>
        </w:rPr>
        <w:t>this proposal</w:t>
      </w:r>
      <w:r w:rsidR="00BF56C1" w:rsidRPr="001D16DE">
        <w:rPr>
          <w:noProof/>
          <w:color w:val="000000"/>
          <w:bdr w:val="none" w:sz="0" w:space="0" w:color="auto" w:frame="1"/>
          <w:shd w:val="clear" w:color="auto" w:fill="FFFFFF"/>
        </w:rPr>
        <w:t>:</w:t>
      </w:r>
      <w:r w:rsidRPr="007E1602">
        <w:rPr>
          <w:noProof/>
          <w:color w:val="000000"/>
          <w:bdr w:val="none" w:sz="0" w:space="0" w:color="auto" w:frame="1"/>
          <w:shd w:val="clear" w:color="auto" w:fill="FFFFFF"/>
        </w:rPr>
        <w:t xml:space="preserve"> the Green Claims </w:t>
      </w:r>
      <w:r w:rsidR="00BF56C1" w:rsidRPr="001D16DE">
        <w:rPr>
          <w:noProof/>
          <w:color w:val="000000"/>
          <w:bdr w:val="none" w:sz="0" w:space="0" w:color="auto" w:frame="1"/>
          <w:shd w:val="clear" w:color="auto" w:fill="FFFFFF"/>
        </w:rPr>
        <w:t>i</w:t>
      </w:r>
      <w:r w:rsidRPr="007E1602">
        <w:rPr>
          <w:noProof/>
          <w:color w:val="000000"/>
          <w:bdr w:val="none" w:sz="0" w:space="0" w:color="auto" w:frame="1"/>
          <w:shd w:val="clear" w:color="auto" w:fill="FFFFFF"/>
        </w:rPr>
        <w:t>nitiative and the S</w:t>
      </w:r>
      <w:r w:rsidR="00401DAE">
        <w:rPr>
          <w:noProof/>
          <w:color w:val="000000"/>
          <w:bdr w:val="none" w:sz="0" w:space="0" w:color="auto" w:frame="1"/>
          <w:shd w:val="clear" w:color="auto" w:fill="FFFFFF"/>
        </w:rPr>
        <w:t xml:space="preserve">ustainable Products </w:t>
      </w:r>
      <w:r w:rsidR="00BF56C1" w:rsidRPr="001D16DE">
        <w:rPr>
          <w:noProof/>
          <w:color w:val="000000"/>
          <w:bdr w:val="none" w:sz="0" w:space="0" w:color="auto" w:frame="1"/>
          <w:shd w:val="clear" w:color="auto" w:fill="FFFFFF"/>
        </w:rPr>
        <w:t>i</w:t>
      </w:r>
      <w:r w:rsidR="00401DAE">
        <w:rPr>
          <w:noProof/>
          <w:color w:val="000000"/>
          <w:bdr w:val="none" w:sz="0" w:space="0" w:color="auto" w:frame="1"/>
          <w:shd w:val="clear" w:color="auto" w:fill="FFFFFF"/>
        </w:rPr>
        <w:t>nitiative</w:t>
      </w:r>
      <w:r w:rsidRPr="000A4225">
        <w:rPr>
          <w:noProof/>
          <w:color w:val="000000"/>
          <w:bdr w:val="none" w:sz="0" w:space="0" w:color="auto" w:frame="1"/>
          <w:shd w:val="clear" w:color="auto" w:fill="FFFFFF"/>
        </w:rPr>
        <w:t xml:space="preserve">. </w:t>
      </w:r>
      <w:r w:rsidR="004023C5" w:rsidRPr="000A4225">
        <w:rPr>
          <w:noProof/>
        </w:rPr>
        <w:t>The objective of the</w:t>
      </w:r>
      <w:r w:rsidR="004023C5" w:rsidRPr="000A4225">
        <w:rPr>
          <w:b/>
          <w:noProof/>
        </w:rPr>
        <w:t xml:space="preserve"> </w:t>
      </w:r>
      <w:r w:rsidR="004023C5" w:rsidRPr="000A4225">
        <w:rPr>
          <w:noProof/>
        </w:rPr>
        <w:t xml:space="preserve">Green Claims initiative </w:t>
      </w:r>
      <w:r w:rsidR="000E3125" w:rsidRPr="000A4225">
        <w:rPr>
          <w:noProof/>
        </w:rPr>
        <w:t xml:space="preserve">will </w:t>
      </w:r>
      <w:r w:rsidR="00401DAE" w:rsidRPr="000A4225">
        <w:rPr>
          <w:noProof/>
        </w:rPr>
        <w:t xml:space="preserve">be </w:t>
      </w:r>
      <w:r w:rsidR="004023C5" w:rsidRPr="000A4225">
        <w:rPr>
          <w:noProof/>
        </w:rPr>
        <w:t xml:space="preserve">to introduce </w:t>
      </w:r>
      <w:r w:rsidR="00037AFB" w:rsidRPr="000A4225">
        <w:rPr>
          <w:noProof/>
        </w:rPr>
        <w:t xml:space="preserve">further </w:t>
      </w:r>
      <w:r w:rsidR="004023C5" w:rsidRPr="000A4225">
        <w:rPr>
          <w:noProof/>
        </w:rPr>
        <w:t>requirements in relation to</w:t>
      </w:r>
      <w:r w:rsidR="00BF3EBD" w:rsidRPr="000A4225">
        <w:rPr>
          <w:noProof/>
        </w:rPr>
        <w:t xml:space="preserve"> </w:t>
      </w:r>
      <w:r w:rsidR="004023C5" w:rsidRPr="000A4225">
        <w:rPr>
          <w:noProof/>
        </w:rPr>
        <w:t xml:space="preserve">environmental </w:t>
      </w:r>
      <w:r w:rsidR="000E3125" w:rsidRPr="000A4225">
        <w:rPr>
          <w:noProof/>
        </w:rPr>
        <w:t xml:space="preserve">claims </w:t>
      </w:r>
      <w:r w:rsidR="00FA7FE7" w:rsidRPr="000A4225">
        <w:rPr>
          <w:noProof/>
        </w:rPr>
        <w:t xml:space="preserve">made </w:t>
      </w:r>
      <w:r w:rsidR="009A7F60" w:rsidRPr="000A4225">
        <w:rPr>
          <w:noProof/>
        </w:rPr>
        <w:t>about</w:t>
      </w:r>
      <w:r w:rsidR="00FA7FE7" w:rsidRPr="000A4225">
        <w:rPr>
          <w:noProof/>
        </w:rPr>
        <w:t xml:space="preserve"> </w:t>
      </w:r>
      <w:r w:rsidR="004023C5" w:rsidRPr="000A4225">
        <w:rPr>
          <w:noProof/>
        </w:rPr>
        <w:t>products and organisations</w:t>
      </w:r>
      <w:r w:rsidR="00FA7FE7" w:rsidRPr="000A4225">
        <w:rPr>
          <w:noProof/>
        </w:rPr>
        <w:t>,</w:t>
      </w:r>
      <w:r w:rsidR="005A1C3F" w:rsidRPr="000A4225">
        <w:rPr>
          <w:noProof/>
        </w:rPr>
        <w:t xml:space="preserve"> </w:t>
      </w:r>
      <w:r w:rsidR="00FA7FE7" w:rsidRPr="000A4225">
        <w:rPr>
          <w:noProof/>
        </w:rPr>
        <w:t xml:space="preserve">both </w:t>
      </w:r>
      <w:r w:rsidR="005A1C3F" w:rsidRPr="000A4225">
        <w:rPr>
          <w:noProof/>
        </w:rPr>
        <w:t>when made by businesses towards consumers and by businesses towards other businesses</w:t>
      </w:r>
      <w:r w:rsidR="004023C5" w:rsidRPr="000A4225">
        <w:rPr>
          <w:noProof/>
        </w:rPr>
        <w:t xml:space="preserve">. </w:t>
      </w:r>
    </w:p>
    <w:p w:rsidR="001001F4" w:rsidRDefault="00665EFC" w:rsidP="001001F4">
      <w:pPr>
        <w:autoSpaceDE w:val="0"/>
        <w:autoSpaceDN w:val="0"/>
        <w:adjustRightInd w:val="0"/>
        <w:spacing w:before="0" w:after="240"/>
        <w:ind w:right="-51"/>
        <w:rPr>
          <w:noProof/>
          <w:color w:val="000000"/>
          <w:bdr w:val="none" w:sz="0" w:space="0" w:color="auto" w:frame="1"/>
          <w:shd w:val="clear" w:color="auto" w:fill="FFFFFF"/>
        </w:rPr>
      </w:pPr>
      <w:r w:rsidRPr="000A4225">
        <w:rPr>
          <w:noProof/>
          <w:color w:val="000000"/>
          <w:bdr w:val="none" w:sz="0" w:space="0" w:color="auto" w:frame="1"/>
          <w:shd w:val="clear" w:color="auto" w:fill="FFFFFF"/>
        </w:rPr>
        <w:t xml:space="preserve">The Sustainable Products </w:t>
      </w:r>
      <w:r w:rsidR="00BF56C1" w:rsidRPr="000A4225">
        <w:rPr>
          <w:noProof/>
          <w:color w:val="000000"/>
          <w:bdr w:val="none" w:sz="0" w:space="0" w:color="auto" w:frame="1"/>
          <w:shd w:val="clear" w:color="auto" w:fill="FFFFFF"/>
        </w:rPr>
        <w:t>initiative</w:t>
      </w:r>
      <w:r w:rsidR="004E673A" w:rsidRPr="000A4225">
        <w:rPr>
          <w:noProof/>
          <w:color w:val="000000"/>
          <w:bdr w:val="none" w:sz="0" w:space="0" w:color="auto" w:frame="1"/>
          <w:shd w:val="clear" w:color="auto" w:fill="FFFFFF"/>
        </w:rPr>
        <w:t xml:space="preserve"> (SPI)</w:t>
      </w:r>
      <w:r w:rsidRPr="000A4225">
        <w:rPr>
          <w:noProof/>
          <w:color w:val="000000"/>
          <w:bdr w:val="none" w:sz="0" w:space="0" w:color="auto" w:frame="1"/>
          <w:shd w:val="clear" w:color="auto" w:fill="FFFFFF"/>
        </w:rPr>
        <w:t xml:space="preserve"> </w:t>
      </w:r>
      <w:r w:rsidR="000E3125" w:rsidRPr="000A4225">
        <w:rPr>
          <w:noProof/>
          <w:color w:val="000000"/>
          <w:bdr w:val="none" w:sz="0" w:space="0" w:color="auto" w:frame="1"/>
          <w:shd w:val="clear" w:color="auto" w:fill="FFFFFF"/>
        </w:rPr>
        <w:t>build</w:t>
      </w:r>
      <w:r w:rsidR="00E6300B" w:rsidRPr="000A4225">
        <w:rPr>
          <w:noProof/>
          <w:color w:val="000000"/>
          <w:bdr w:val="none" w:sz="0" w:space="0" w:color="auto" w:frame="1"/>
          <w:shd w:val="clear" w:color="auto" w:fill="FFFFFF"/>
        </w:rPr>
        <w:t>s</w:t>
      </w:r>
      <w:r w:rsidR="000E3125" w:rsidRPr="000A4225">
        <w:rPr>
          <w:noProof/>
          <w:color w:val="000000"/>
          <w:bdr w:val="none" w:sz="0" w:space="0" w:color="auto" w:frame="1"/>
          <w:shd w:val="clear" w:color="auto" w:fill="FFFFFF"/>
        </w:rPr>
        <w:t xml:space="preserve"> on the current Eco-design Directive</w:t>
      </w:r>
      <w:r w:rsidR="000E3125" w:rsidRPr="000A4225">
        <w:rPr>
          <w:rStyle w:val="FootnoteReference0"/>
          <w:noProof/>
        </w:rPr>
        <w:footnoteReference w:id="16"/>
      </w:r>
      <w:r w:rsidR="000E3125" w:rsidRPr="000A4225">
        <w:rPr>
          <w:noProof/>
          <w:color w:val="000000"/>
          <w:bdr w:val="none" w:sz="0" w:space="0" w:color="auto" w:frame="1"/>
          <w:shd w:val="clear" w:color="auto" w:fill="FFFFFF"/>
        </w:rPr>
        <w:t xml:space="preserve"> in order to </w:t>
      </w:r>
      <w:r w:rsidR="004023C5" w:rsidRPr="000A4225">
        <w:rPr>
          <w:noProof/>
          <w:color w:val="000000"/>
          <w:bdr w:val="none" w:sz="0" w:space="0" w:color="auto" w:frame="1"/>
          <w:shd w:val="clear" w:color="auto" w:fill="FFFFFF"/>
        </w:rPr>
        <w:t xml:space="preserve">introduce sustainability </w:t>
      </w:r>
      <w:r w:rsidRPr="000A4225">
        <w:rPr>
          <w:noProof/>
          <w:color w:val="000000"/>
          <w:bdr w:val="none" w:sz="0" w:space="0" w:color="auto" w:frame="1"/>
          <w:shd w:val="clear" w:color="auto" w:fill="FFFFFF"/>
        </w:rPr>
        <w:t>requirements</w:t>
      </w:r>
      <w:r w:rsidR="004023C5" w:rsidRPr="000A4225">
        <w:rPr>
          <w:noProof/>
          <w:color w:val="000000"/>
          <w:bdr w:val="none" w:sz="0" w:space="0" w:color="auto" w:frame="1"/>
          <w:shd w:val="clear" w:color="auto" w:fill="FFFFFF"/>
        </w:rPr>
        <w:t xml:space="preserve"> for products </w:t>
      </w:r>
      <w:r w:rsidR="00C96665" w:rsidRPr="000A4225">
        <w:rPr>
          <w:noProof/>
          <w:color w:val="000000"/>
          <w:bdr w:val="none" w:sz="0" w:space="0" w:color="auto" w:frame="1"/>
          <w:shd w:val="clear" w:color="auto" w:fill="FFFFFF"/>
        </w:rPr>
        <w:t>sold in the EU</w:t>
      </w:r>
      <w:r w:rsidRPr="000A4225">
        <w:rPr>
          <w:noProof/>
          <w:color w:val="000000"/>
          <w:bdr w:val="none" w:sz="0" w:space="0" w:color="auto" w:frame="1"/>
          <w:shd w:val="clear" w:color="auto" w:fill="FFFFFF"/>
        </w:rPr>
        <w:t xml:space="preserve">. </w:t>
      </w:r>
      <w:r w:rsidR="00722663" w:rsidRPr="000A4225">
        <w:rPr>
          <w:noProof/>
          <w:color w:val="000000"/>
          <w:bdr w:val="none" w:sz="0" w:space="0" w:color="auto" w:frame="1"/>
          <w:shd w:val="clear" w:color="auto" w:fill="FFFFFF"/>
        </w:rPr>
        <w:t xml:space="preserve">The three initiatives </w:t>
      </w:r>
      <w:r w:rsidR="00E6300B" w:rsidRPr="000A4225">
        <w:rPr>
          <w:noProof/>
          <w:color w:val="000000"/>
          <w:bdr w:val="none" w:sz="0" w:space="0" w:color="auto" w:frame="1"/>
          <w:shd w:val="clear" w:color="auto" w:fill="FFFFFF"/>
        </w:rPr>
        <w:t>are</w:t>
      </w:r>
      <w:r w:rsidR="00722663" w:rsidRPr="000A4225">
        <w:rPr>
          <w:noProof/>
          <w:color w:val="000000"/>
          <w:bdr w:val="none" w:sz="0" w:space="0" w:color="auto" w:frame="1"/>
          <w:shd w:val="clear" w:color="auto" w:fill="FFFFFF"/>
        </w:rPr>
        <w:t xml:space="preserve"> mutually consistent and complementary.</w:t>
      </w:r>
      <w:r w:rsidRPr="000A4225">
        <w:rPr>
          <w:noProof/>
          <w:color w:val="000000"/>
          <w:bdr w:val="none" w:sz="0" w:space="0" w:color="auto" w:frame="1"/>
          <w:shd w:val="clear" w:color="auto" w:fill="FFFFFF"/>
        </w:rPr>
        <w:t xml:space="preserve"> </w:t>
      </w:r>
    </w:p>
    <w:p w:rsidR="00665EFC" w:rsidRPr="007360B2" w:rsidRDefault="00665EFC" w:rsidP="008D4FB5">
      <w:pPr>
        <w:pStyle w:val="ManualHeading1"/>
        <w:spacing w:after="240"/>
        <w:rPr>
          <w:noProof/>
        </w:rPr>
      </w:pPr>
      <w:r w:rsidRPr="007360B2">
        <w:rPr>
          <w:noProof/>
        </w:rPr>
        <w:t>2.</w:t>
      </w:r>
      <w:r w:rsidRPr="007360B2">
        <w:rPr>
          <w:noProof/>
        </w:rPr>
        <w:tab/>
        <w:t>LEGAL BASIS, SUBSIDIARITY AND PROPORTIONALITY</w:t>
      </w:r>
    </w:p>
    <w:p w:rsidR="00665EFC" w:rsidRPr="00D2643E" w:rsidRDefault="00665EFC" w:rsidP="00064846">
      <w:pPr>
        <w:pStyle w:val="Bullet0"/>
        <w:numPr>
          <w:ilvl w:val="0"/>
          <w:numId w:val="14"/>
        </w:numPr>
        <w:spacing w:before="0" w:after="240"/>
        <w:rPr>
          <w:b/>
          <w:noProof/>
          <w:u w:color="000000"/>
          <w:bdr w:val="nil"/>
        </w:rPr>
      </w:pPr>
      <w:r w:rsidRPr="004F0D04">
        <w:rPr>
          <w:b/>
          <w:noProof/>
          <w:bdr w:val="nil"/>
        </w:rPr>
        <w:t>Legal basis</w:t>
      </w:r>
    </w:p>
    <w:p w:rsidR="00BF2FCF" w:rsidRDefault="00665EFC" w:rsidP="008D4FB5">
      <w:pPr>
        <w:spacing w:before="0" w:after="240"/>
        <w:rPr>
          <w:noProof/>
        </w:rPr>
      </w:pPr>
      <w:r w:rsidRPr="0067086E">
        <w:rPr>
          <w:noProof/>
        </w:rPr>
        <w:t xml:space="preserve">Consumer protection </w:t>
      </w:r>
      <w:r w:rsidR="00004310" w:rsidRPr="001D16DE">
        <w:rPr>
          <w:noProof/>
        </w:rPr>
        <w:t xml:space="preserve">falls within the joint remit (‘shared </w:t>
      </w:r>
      <w:r w:rsidRPr="004F0D04">
        <w:rPr>
          <w:noProof/>
        </w:rPr>
        <w:t>competence</w:t>
      </w:r>
      <w:r w:rsidR="00004310" w:rsidRPr="001D16DE">
        <w:rPr>
          <w:noProof/>
        </w:rPr>
        <w:t>’)</w:t>
      </w:r>
      <w:r w:rsidRPr="004F0D04">
        <w:rPr>
          <w:noProof/>
        </w:rPr>
        <w:t xml:space="preserve"> </w:t>
      </w:r>
      <w:r w:rsidR="00004310" w:rsidRPr="001D16DE">
        <w:rPr>
          <w:noProof/>
        </w:rPr>
        <w:t>of</w:t>
      </w:r>
      <w:r w:rsidRPr="00EC5204">
        <w:rPr>
          <w:noProof/>
        </w:rPr>
        <w:t xml:space="preserve"> </w:t>
      </w:r>
      <w:r w:rsidRPr="0067086E">
        <w:rPr>
          <w:noProof/>
        </w:rPr>
        <w:t xml:space="preserve">the EU and </w:t>
      </w:r>
      <w:r w:rsidR="00004310" w:rsidRPr="001D16DE">
        <w:rPr>
          <w:noProof/>
        </w:rPr>
        <w:t>its m</w:t>
      </w:r>
      <w:r w:rsidRPr="0067086E">
        <w:rPr>
          <w:noProof/>
        </w:rPr>
        <w:t xml:space="preserve">ember </w:t>
      </w:r>
      <w:r w:rsidR="00004310" w:rsidRPr="001D16DE">
        <w:rPr>
          <w:noProof/>
        </w:rPr>
        <w:t>countries</w:t>
      </w:r>
      <w:r w:rsidRPr="0067086E">
        <w:rPr>
          <w:noProof/>
        </w:rPr>
        <w:t>. As stipulated in Article 169 of the Treaty on the Functioning of the E</w:t>
      </w:r>
      <w:r w:rsidRPr="004F0D04">
        <w:rPr>
          <w:noProof/>
        </w:rPr>
        <w:t>U</w:t>
      </w:r>
      <w:r w:rsidR="00004310" w:rsidRPr="001D16DE">
        <w:rPr>
          <w:noProof/>
        </w:rPr>
        <w:t xml:space="preserve"> (TFEU)</w:t>
      </w:r>
      <w:r w:rsidRPr="0067086E">
        <w:rPr>
          <w:noProof/>
        </w:rPr>
        <w:t xml:space="preserve">, the EU must </w:t>
      </w:r>
      <w:r w:rsidR="00004310" w:rsidRPr="001D16DE">
        <w:rPr>
          <w:noProof/>
        </w:rPr>
        <w:t xml:space="preserve">help </w:t>
      </w:r>
      <w:r w:rsidRPr="0067086E">
        <w:rPr>
          <w:noProof/>
        </w:rPr>
        <w:t>protect</w:t>
      </w:r>
      <w:r w:rsidRPr="00605A35">
        <w:rPr>
          <w:noProof/>
        </w:rPr>
        <w:t xml:space="preserve"> the economic interests of consumers and </w:t>
      </w:r>
      <w:r w:rsidRPr="004F0D04">
        <w:rPr>
          <w:noProof/>
        </w:rPr>
        <w:t>promot</w:t>
      </w:r>
      <w:r w:rsidR="00004310" w:rsidRPr="001D16DE">
        <w:rPr>
          <w:noProof/>
        </w:rPr>
        <w:t>e</w:t>
      </w:r>
      <w:r w:rsidRPr="0067086E">
        <w:rPr>
          <w:noProof/>
        </w:rPr>
        <w:t xml:space="preserve"> their right to information and education</w:t>
      </w:r>
      <w:r w:rsidR="00004310" w:rsidRPr="001D16DE">
        <w:rPr>
          <w:noProof/>
        </w:rPr>
        <w:t>,</w:t>
      </w:r>
      <w:r w:rsidRPr="0067086E">
        <w:rPr>
          <w:noProof/>
        </w:rPr>
        <w:t xml:space="preserve"> </w:t>
      </w:r>
      <w:r w:rsidR="007C5112" w:rsidRPr="004F0D04">
        <w:rPr>
          <w:noProof/>
        </w:rPr>
        <w:t>to</w:t>
      </w:r>
      <w:r w:rsidRPr="001D16DE">
        <w:rPr>
          <w:noProof/>
        </w:rPr>
        <w:t xml:space="preserve"> safeguard their interests. This proposal is based on Article 114 </w:t>
      </w:r>
      <w:r w:rsidR="00131657">
        <w:rPr>
          <w:noProof/>
        </w:rPr>
        <w:t xml:space="preserve">which in accordance with </w:t>
      </w:r>
      <w:r w:rsidRPr="00605A35">
        <w:rPr>
          <w:noProof/>
        </w:rPr>
        <w:t>Article 169</w:t>
      </w:r>
      <w:r w:rsidR="002277D0">
        <w:rPr>
          <w:noProof/>
        </w:rPr>
        <w:t>(2)(a)</w:t>
      </w:r>
      <w:r w:rsidRPr="00605A35">
        <w:rPr>
          <w:noProof/>
        </w:rPr>
        <w:t xml:space="preserve"> </w:t>
      </w:r>
      <w:r w:rsidR="00131657">
        <w:rPr>
          <w:noProof/>
        </w:rPr>
        <w:t>is</w:t>
      </w:r>
      <w:r w:rsidR="002277D0">
        <w:rPr>
          <w:noProof/>
        </w:rPr>
        <w:t xml:space="preserve"> the legal basis for adoption of </w:t>
      </w:r>
      <w:r w:rsidR="00131657">
        <w:rPr>
          <w:noProof/>
        </w:rPr>
        <w:t>measures that contribute to attainment of objectives of Article 169 in the context of the completion of the internal market</w:t>
      </w:r>
      <w:r w:rsidRPr="00605A35">
        <w:rPr>
          <w:noProof/>
        </w:rPr>
        <w:t>.</w:t>
      </w:r>
      <w:r w:rsidRPr="007360B2">
        <w:rPr>
          <w:noProof/>
        </w:rPr>
        <w:t xml:space="preserve"> </w:t>
      </w:r>
    </w:p>
    <w:p w:rsidR="00D4004D" w:rsidRPr="0067086E" w:rsidRDefault="00D4004D" w:rsidP="00AA5DB8">
      <w:pPr>
        <w:rPr>
          <w:noProof/>
        </w:rPr>
      </w:pPr>
      <w:r w:rsidRPr="00A625E2">
        <w:rPr>
          <w:noProof/>
        </w:rPr>
        <w:t xml:space="preserve">In addition to pursuing </w:t>
      </w:r>
      <w:r w:rsidR="00004310" w:rsidRPr="00A625E2">
        <w:rPr>
          <w:noProof/>
        </w:rPr>
        <w:t>single</w:t>
      </w:r>
      <w:r w:rsidRPr="00A625E2">
        <w:rPr>
          <w:noProof/>
        </w:rPr>
        <w:t xml:space="preserve"> market and consumer protection objectives, the proposal will also pursue a high level of environmental protection by unlocking opportunities for the circular, clean and green economy. </w:t>
      </w:r>
      <w:r w:rsidR="006E3DBC" w:rsidRPr="00996B23">
        <w:rPr>
          <w:noProof/>
        </w:rPr>
        <w:t xml:space="preserve">As these </w:t>
      </w:r>
      <w:r w:rsidRPr="00996B23">
        <w:rPr>
          <w:noProof/>
        </w:rPr>
        <w:t>environmental benefits are complementary</w:t>
      </w:r>
      <w:r w:rsidR="006E3DBC" w:rsidRPr="00996B23">
        <w:rPr>
          <w:noProof/>
        </w:rPr>
        <w:t xml:space="preserve"> to the primary objectives of consumer protection and completion of the </w:t>
      </w:r>
      <w:r w:rsidR="00004310" w:rsidRPr="000560F8">
        <w:rPr>
          <w:noProof/>
        </w:rPr>
        <w:t>single</w:t>
      </w:r>
      <w:r w:rsidR="006E3DBC" w:rsidRPr="00830AFC">
        <w:rPr>
          <w:noProof/>
        </w:rPr>
        <w:t xml:space="preserve"> market, </w:t>
      </w:r>
      <w:r w:rsidRPr="00466D5F">
        <w:rPr>
          <w:noProof/>
        </w:rPr>
        <w:t>Article</w:t>
      </w:r>
      <w:r w:rsidRPr="009E5F5E">
        <w:rPr>
          <w:noProof/>
        </w:rPr>
        <w:t xml:space="preserve"> 114 </w:t>
      </w:r>
      <w:r w:rsidR="002D5F9C">
        <w:rPr>
          <w:noProof/>
        </w:rPr>
        <w:t>TFEU on internal market completion, with due regard to Article 169 TFEU</w:t>
      </w:r>
      <w:r w:rsidR="002D5F9C" w:rsidRPr="00761FDA" w:rsidDel="002D5F9C">
        <w:rPr>
          <w:noProof/>
        </w:rPr>
        <w:t xml:space="preserve"> </w:t>
      </w:r>
      <w:r w:rsidR="006E3DBC" w:rsidRPr="00463C7E">
        <w:rPr>
          <w:noProof/>
        </w:rPr>
        <w:t>remain</w:t>
      </w:r>
      <w:r w:rsidR="002D5F9C">
        <w:rPr>
          <w:noProof/>
        </w:rPr>
        <w:t>s</w:t>
      </w:r>
      <w:r w:rsidR="006E3DBC" w:rsidRPr="00463C7E">
        <w:rPr>
          <w:noProof/>
        </w:rPr>
        <w:t xml:space="preserve"> the appropriate legal basis</w:t>
      </w:r>
      <w:r w:rsidR="00813B43" w:rsidRPr="00B724B0">
        <w:rPr>
          <w:noProof/>
        </w:rPr>
        <w:t>.</w:t>
      </w:r>
    </w:p>
    <w:p w:rsidR="00665EFC" w:rsidRPr="00D2643E" w:rsidRDefault="00665EFC" w:rsidP="00064846">
      <w:pPr>
        <w:pStyle w:val="Bullet0"/>
        <w:numPr>
          <w:ilvl w:val="0"/>
          <w:numId w:val="16"/>
        </w:numPr>
        <w:spacing w:after="240"/>
        <w:rPr>
          <w:b/>
          <w:noProof/>
          <w:u w:color="000000"/>
          <w:bdr w:val="nil"/>
        </w:rPr>
      </w:pPr>
      <w:r w:rsidRPr="00055D9D">
        <w:rPr>
          <w:b/>
          <w:noProof/>
          <w:bdr w:val="nil"/>
        </w:rPr>
        <w:t xml:space="preserve">Subsidiarity (for </w:t>
      </w:r>
      <w:r w:rsidR="001D16DE" w:rsidRPr="001D16DE">
        <w:rPr>
          <w:b/>
          <w:noProof/>
          <w:u w:color="000000"/>
          <w:bdr w:val="nil"/>
          <w:lang w:eastAsia="en-GB"/>
        </w:rPr>
        <w:t xml:space="preserve">shared </w:t>
      </w:r>
      <w:r w:rsidRPr="004F0D04">
        <w:rPr>
          <w:b/>
          <w:noProof/>
          <w:bdr w:val="nil"/>
        </w:rPr>
        <w:t xml:space="preserve">competence) </w:t>
      </w:r>
    </w:p>
    <w:p w:rsidR="00665EFC" w:rsidRPr="00605A35" w:rsidRDefault="00665EFC" w:rsidP="008D4FB5">
      <w:pPr>
        <w:spacing w:before="0" w:after="240"/>
        <w:rPr>
          <w:noProof/>
        </w:rPr>
      </w:pPr>
      <w:r w:rsidRPr="0067086E">
        <w:rPr>
          <w:noProof/>
        </w:rPr>
        <w:t xml:space="preserve">This proposal amends EU consumer protection rules, whose adoption has been deemed necessary and in line with the principle of subsidiarity. A better functioning </w:t>
      </w:r>
      <w:r w:rsidR="00BB1A3C" w:rsidRPr="001D16DE">
        <w:rPr>
          <w:noProof/>
        </w:rPr>
        <w:t>single market</w:t>
      </w:r>
      <w:r w:rsidRPr="0067086E">
        <w:rPr>
          <w:noProof/>
        </w:rPr>
        <w:t xml:space="preserve"> cannot be achieved by national laws alone. EU consumer protection rules </w:t>
      </w:r>
      <w:r w:rsidR="002C4FC7">
        <w:rPr>
          <w:noProof/>
        </w:rPr>
        <w:t>become increasingly</w:t>
      </w:r>
      <w:r w:rsidR="002C4FC7" w:rsidRPr="0067086E">
        <w:rPr>
          <w:noProof/>
        </w:rPr>
        <w:t xml:space="preserve"> </w:t>
      </w:r>
      <w:r w:rsidRPr="0067086E">
        <w:rPr>
          <w:noProof/>
        </w:rPr>
        <w:t xml:space="preserve">relevant as the </w:t>
      </w:r>
      <w:r w:rsidR="00BB1A3C" w:rsidRPr="001D16DE">
        <w:rPr>
          <w:noProof/>
        </w:rPr>
        <w:t>single market</w:t>
      </w:r>
      <w:r w:rsidRPr="0067086E">
        <w:rPr>
          <w:noProof/>
        </w:rPr>
        <w:t xml:space="preserve"> deepens, and the number of EU consumer transactions increases between Member States.</w:t>
      </w:r>
      <w:r w:rsidR="00B640A4">
        <w:rPr>
          <w:noProof/>
        </w:rPr>
        <w:t xml:space="preserve"> </w:t>
      </w:r>
      <w:r w:rsidRPr="00822247">
        <w:rPr>
          <w:noProof/>
        </w:rPr>
        <w:t xml:space="preserve">The problems addressed by these proposed amendments are </w:t>
      </w:r>
      <w:r w:rsidR="00B4199F" w:rsidRPr="004F0D04">
        <w:rPr>
          <w:noProof/>
        </w:rPr>
        <w:t>EU</w:t>
      </w:r>
      <w:r w:rsidRPr="001D16DE">
        <w:rPr>
          <w:noProof/>
        </w:rPr>
        <w:t xml:space="preserve">-wide </w:t>
      </w:r>
      <w:r w:rsidR="00A13C5F" w:rsidRPr="001D16DE">
        <w:rPr>
          <w:noProof/>
        </w:rPr>
        <w:t>problems</w:t>
      </w:r>
      <w:r w:rsidR="00452A70" w:rsidRPr="001D16DE">
        <w:rPr>
          <w:noProof/>
        </w:rPr>
        <w:t xml:space="preserve"> with the same </w:t>
      </w:r>
      <w:r w:rsidR="00782684" w:rsidRPr="001D16DE">
        <w:rPr>
          <w:noProof/>
        </w:rPr>
        <w:t>causes</w:t>
      </w:r>
      <w:r w:rsidRPr="00605A35">
        <w:rPr>
          <w:noProof/>
        </w:rPr>
        <w:t>.</w:t>
      </w:r>
      <w:r w:rsidRPr="00822247">
        <w:rPr>
          <w:noProof/>
        </w:rPr>
        <w:t xml:space="preserve"> </w:t>
      </w:r>
      <w:r w:rsidR="00452A70" w:rsidRPr="007D7B63">
        <w:rPr>
          <w:noProof/>
        </w:rPr>
        <w:t>Therefore</w:t>
      </w:r>
      <w:r w:rsidR="00782684" w:rsidRPr="007D7B63">
        <w:rPr>
          <w:noProof/>
        </w:rPr>
        <w:t xml:space="preserve">, </w:t>
      </w:r>
      <w:r w:rsidRPr="0067086E">
        <w:rPr>
          <w:noProof/>
        </w:rPr>
        <w:t>only action taken at EU level will be effective.</w:t>
      </w:r>
    </w:p>
    <w:p w:rsidR="00665EFC" w:rsidRPr="00605A35" w:rsidRDefault="00665EFC" w:rsidP="008D4FB5">
      <w:pPr>
        <w:spacing w:before="0" w:after="240"/>
        <w:rPr>
          <w:noProof/>
        </w:rPr>
      </w:pPr>
      <w:r w:rsidRPr="00822247">
        <w:rPr>
          <w:noProof/>
        </w:rPr>
        <w:t xml:space="preserve">Within the EU, the volume and intensity of cross-border trade are high enough to make </w:t>
      </w:r>
      <w:r w:rsidR="002C4FC7">
        <w:rPr>
          <w:noProof/>
        </w:rPr>
        <w:t>the efficient functioning of the single market</w:t>
      </w:r>
      <w:r w:rsidR="002C4FC7" w:rsidRPr="00822247">
        <w:rPr>
          <w:noProof/>
        </w:rPr>
        <w:t xml:space="preserve"> </w:t>
      </w:r>
      <w:r w:rsidRPr="00822247">
        <w:rPr>
          <w:noProof/>
        </w:rPr>
        <w:t xml:space="preserve">vulnerable to inconsistent — or even merely divergent — policy choices by Member States. Moreover, traders can reach consumers across Member States' borders. This can create problems that national lawmakers and regulators are </w:t>
      </w:r>
      <w:r w:rsidR="007C5112" w:rsidRPr="004F0D04">
        <w:rPr>
          <w:noProof/>
        </w:rPr>
        <w:t>ill</w:t>
      </w:r>
      <w:r w:rsidR="007C5112" w:rsidRPr="001D16DE">
        <w:rPr>
          <w:noProof/>
        </w:rPr>
        <w:t xml:space="preserve"> </w:t>
      </w:r>
      <w:r w:rsidR="007C5112" w:rsidRPr="004F0D04">
        <w:rPr>
          <w:noProof/>
        </w:rPr>
        <w:t>placed</w:t>
      </w:r>
      <w:r w:rsidRPr="0067086E">
        <w:rPr>
          <w:noProof/>
        </w:rPr>
        <w:t xml:space="preserve"> to </w:t>
      </w:r>
      <w:r w:rsidR="00782684" w:rsidRPr="001D16DE">
        <w:rPr>
          <w:noProof/>
        </w:rPr>
        <w:t xml:space="preserve">address </w:t>
      </w:r>
      <w:r w:rsidRPr="0067086E">
        <w:rPr>
          <w:noProof/>
        </w:rPr>
        <w:t xml:space="preserve">adequately </w:t>
      </w:r>
      <w:r w:rsidR="00782684" w:rsidRPr="001D16DE">
        <w:rPr>
          <w:noProof/>
        </w:rPr>
        <w:t>by acting alone</w:t>
      </w:r>
      <w:r w:rsidRPr="0067086E">
        <w:rPr>
          <w:noProof/>
        </w:rPr>
        <w:t>.</w:t>
      </w:r>
    </w:p>
    <w:p w:rsidR="009B0C60" w:rsidRDefault="009B0C60" w:rsidP="008D4FB5">
      <w:pPr>
        <w:spacing w:before="0" w:after="240"/>
        <w:rPr>
          <w:noProof/>
        </w:rPr>
      </w:pPr>
      <w:r w:rsidRPr="009B5734">
        <w:rPr>
          <w:noProof/>
        </w:rPr>
        <w:t xml:space="preserve">In the absence of EU-level action, </w:t>
      </w:r>
      <w:r w:rsidR="00582AB7">
        <w:rPr>
          <w:noProof/>
        </w:rPr>
        <w:t>n</w:t>
      </w:r>
      <w:r w:rsidRPr="009B5734">
        <w:rPr>
          <w:noProof/>
        </w:rPr>
        <w:t xml:space="preserve">ational initiatives, while bringing certain benefits to consumers and the </w:t>
      </w:r>
      <w:r w:rsidR="00582AB7">
        <w:rPr>
          <w:noProof/>
        </w:rPr>
        <w:t>national markets</w:t>
      </w:r>
      <w:r w:rsidRPr="009B5734">
        <w:rPr>
          <w:noProof/>
        </w:rPr>
        <w:t xml:space="preserve">, could lead to a fragmentation of the </w:t>
      </w:r>
      <w:r w:rsidR="00782684" w:rsidRPr="001D16DE">
        <w:rPr>
          <w:noProof/>
        </w:rPr>
        <w:t>s</w:t>
      </w:r>
      <w:r w:rsidRPr="001D16DE">
        <w:rPr>
          <w:noProof/>
        </w:rPr>
        <w:t xml:space="preserve">ingle </w:t>
      </w:r>
      <w:r w:rsidR="00782684" w:rsidRPr="001D16DE">
        <w:rPr>
          <w:noProof/>
        </w:rPr>
        <w:t>m</w:t>
      </w:r>
      <w:r w:rsidRPr="001D16DE">
        <w:rPr>
          <w:noProof/>
        </w:rPr>
        <w:t xml:space="preserve">arket, </w:t>
      </w:r>
      <w:r w:rsidR="00782684" w:rsidRPr="001D16DE">
        <w:rPr>
          <w:noProof/>
        </w:rPr>
        <w:t>in turn</w:t>
      </w:r>
      <w:r w:rsidRPr="009B5734">
        <w:rPr>
          <w:noProof/>
        </w:rPr>
        <w:t xml:space="preserve"> bringing legal uncertainty and raising compliance costs.</w:t>
      </w:r>
    </w:p>
    <w:p w:rsidR="00AE7695" w:rsidRPr="00605A35" w:rsidRDefault="00665EFC" w:rsidP="008D4FB5">
      <w:pPr>
        <w:spacing w:before="0" w:after="240"/>
        <w:rPr>
          <w:noProof/>
        </w:rPr>
      </w:pPr>
      <w:r w:rsidRPr="0067086E">
        <w:rPr>
          <w:noProof/>
        </w:rPr>
        <w:t xml:space="preserve">Directive 2005/29/EC ensures full </w:t>
      </w:r>
      <w:r w:rsidRPr="008C2B17">
        <w:rPr>
          <w:noProof/>
        </w:rPr>
        <w:t>harmonisation</w:t>
      </w:r>
      <w:r w:rsidR="00B3003F" w:rsidRPr="008C2B17">
        <w:rPr>
          <w:noProof/>
        </w:rPr>
        <w:t xml:space="preserve"> </w:t>
      </w:r>
      <w:r w:rsidRPr="001D16DE">
        <w:rPr>
          <w:noProof/>
        </w:rPr>
        <w:t xml:space="preserve">of national rules on unfair commercial practices </w:t>
      </w:r>
      <w:r w:rsidR="00782684" w:rsidRPr="001D16DE">
        <w:rPr>
          <w:noProof/>
        </w:rPr>
        <w:t xml:space="preserve">that </w:t>
      </w:r>
      <w:r w:rsidRPr="0067086E">
        <w:rPr>
          <w:noProof/>
        </w:rPr>
        <w:t>harm</w:t>
      </w:r>
      <w:r w:rsidRPr="00605A35">
        <w:rPr>
          <w:noProof/>
        </w:rPr>
        <w:t xml:space="preserve"> consumers' economic interests. Directive 2011/83/EU </w:t>
      </w:r>
      <w:r w:rsidR="00F2522D">
        <w:rPr>
          <w:noProof/>
        </w:rPr>
        <w:t xml:space="preserve">in principle </w:t>
      </w:r>
      <w:r w:rsidRPr="00605A35">
        <w:rPr>
          <w:noProof/>
        </w:rPr>
        <w:t xml:space="preserve">provides full </w:t>
      </w:r>
      <w:r w:rsidR="00F2522D">
        <w:rPr>
          <w:noProof/>
        </w:rPr>
        <w:t>harmonisation of</w:t>
      </w:r>
      <w:r w:rsidR="00F2522D" w:rsidRPr="008C2B17">
        <w:rPr>
          <w:noProof/>
        </w:rPr>
        <w:t xml:space="preserve"> </w:t>
      </w:r>
      <w:r w:rsidRPr="0067086E">
        <w:rPr>
          <w:noProof/>
        </w:rPr>
        <w:t>rules on pre-contractual information requirements</w:t>
      </w:r>
      <w:r w:rsidR="002D2BCC">
        <w:rPr>
          <w:noProof/>
        </w:rPr>
        <w:t>.</w:t>
      </w:r>
      <w:r w:rsidRPr="0067086E">
        <w:rPr>
          <w:noProof/>
        </w:rPr>
        <w:t xml:space="preserve"> </w:t>
      </w:r>
    </w:p>
    <w:p w:rsidR="00AE7695" w:rsidRPr="001D16DE" w:rsidRDefault="00FB070D" w:rsidP="008D4FB5">
      <w:pPr>
        <w:spacing w:before="0" w:after="240"/>
        <w:rPr>
          <w:noProof/>
        </w:rPr>
      </w:pPr>
      <w:r w:rsidRPr="007D7B63">
        <w:rPr>
          <w:noProof/>
        </w:rPr>
        <w:t>Any n</w:t>
      </w:r>
      <w:r w:rsidR="00665EFC" w:rsidRPr="007D7B63">
        <w:rPr>
          <w:noProof/>
        </w:rPr>
        <w:t xml:space="preserve">ew national legislation within the scope of these Directives would go against the fully </w:t>
      </w:r>
      <w:r w:rsidRPr="007D7B63">
        <w:rPr>
          <w:noProof/>
        </w:rPr>
        <w:t xml:space="preserve">harmonised </w:t>
      </w:r>
      <w:r w:rsidR="00782684" w:rsidRPr="007D7B63">
        <w:rPr>
          <w:noProof/>
        </w:rPr>
        <w:t>legal framework</w:t>
      </w:r>
      <w:r w:rsidR="00665EFC" w:rsidRPr="007D7B63">
        <w:rPr>
          <w:noProof/>
        </w:rPr>
        <w:t>.</w:t>
      </w:r>
      <w:r w:rsidR="0019113E" w:rsidRPr="0067086E">
        <w:rPr>
          <w:noProof/>
        </w:rPr>
        <w:t xml:space="preserve"> </w:t>
      </w:r>
      <w:r w:rsidR="00665EFC" w:rsidRPr="0067086E">
        <w:rPr>
          <w:noProof/>
        </w:rPr>
        <w:t xml:space="preserve">This proposal helps alleviate the difficulties faced by national authorities in enforcing the existing principle-based </w:t>
      </w:r>
      <w:r w:rsidR="00B4199F" w:rsidRPr="004F0D04">
        <w:rPr>
          <w:noProof/>
        </w:rPr>
        <w:t>rules</w:t>
      </w:r>
      <w:r w:rsidR="00665EFC" w:rsidRPr="004F0D04">
        <w:rPr>
          <w:noProof/>
        </w:rPr>
        <w:t xml:space="preserve"> </w:t>
      </w:r>
      <w:r w:rsidR="00B4199F" w:rsidRPr="004F0D04">
        <w:rPr>
          <w:noProof/>
        </w:rPr>
        <w:t>in</w:t>
      </w:r>
      <w:r w:rsidR="00665EFC" w:rsidRPr="0067086E">
        <w:rPr>
          <w:noProof/>
        </w:rPr>
        <w:t xml:space="preserve"> Directive 2005/29/EC in such complex areas as misleading </w:t>
      </w:r>
      <w:r w:rsidR="00635107" w:rsidRPr="00605A35">
        <w:rPr>
          <w:noProof/>
        </w:rPr>
        <w:t>environmental</w:t>
      </w:r>
      <w:r w:rsidR="00665EFC" w:rsidRPr="00605A35">
        <w:rPr>
          <w:noProof/>
        </w:rPr>
        <w:t xml:space="preserve"> claims</w:t>
      </w:r>
      <w:r w:rsidR="009B0C60" w:rsidRPr="00822247">
        <w:rPr>
          <w:noProof/>
        </w:rPr>
        <w:t>,</w:t>
      </w:r>
      <w:r w:rsidR="007C1209" w:rsidRPr="00822247">
        <w:rPr>
          <w:noProof/>
        </w:rPr>
        <w:t xml:space="preserve"> </w:t>
      </w:r>
      <w:r w:rsidR="009B0C60" w:rsidRPr="00822247">
        <w:rPr>
          <w:noProof/>
        </w:rPr>
        <w:t xml:space="preserve">early </w:t>
      </w:r>
      <w:r w:rsidR="00665EFC" w:rsidRPr="00250138">
        <w:rPr>
          <w:noProof/>
        </w:rPr>
        <w:t xml:space="preserve">obsolescence </w:t>
      </w:r>
      <w:r w:rsidR="00665EFC" w:rsidRPr="00516374">
        <w:rPr>
          <w:noProof/>
        </w:rPr>
        <w:t>practices</w:t>
      </w:r>
      <w:r w:rsidR="009B0C60" w:rsidRPr="00516374">
        <w:rPr>
          <w:noProof/>
        </w:rPr>
        <w:t xml:space="preserve"> and non-transparent sustainability labels and </w:t>
      </w:r>
      <w:r w:rsidR="00A13C5F" w:rsidRPr="00C31CA3">
        <w:rPr>
          <w:noProof/>
        </w:rPr>
        <w:t>sustainability</w:t>
      </w:r>
      <w:r w:rsidR="009B0C60" w:rsidRPr="00C31CA3">
        <w:rPr>
          <w:noProof/>
        </w:rPr>
        <w:t xml:space="preserve"> information tools</w:t>
      </w:r>
      <w:r w:rsidR="00665EFC" w:rsidRPr="00516374">
        <w:rPr>
          <w:noProof/>
        </w:rPr>
        <w:t>. By specifying</w:t>
      </w:r>
      <w:r w:rsidR="00665EFC" w:rsidRPr="00064846">
        <w:rPr>
          <w:noProof/>
        </w:rPr>
        <w:t xml:space="preserve"> further when and how such practices </w:t>
      </w:r>
      <w:r w:rsidR="00665EFC" w:rsidRPr="00D2643E">
        <w:rPr>
          <w:noProof/>
        </w:rPr>
        <w:t>would qualify as unfair, it would increase the effectiveness of consumer protection within the EU.</w:t>
      </w:r>
    </w:p>
    <w:p w:rsidR="00665EFC" w:rsidRPr="00822247" w:rsidRDefault="00B73E38" w:rsidP="008D4FB5">
      <w:pPr>
        <w:spacing w:before="0" w:after="240"/>
        <w:rPr>
          <w:noProof/>
        </w:rPr>
      </w:pPr>
      <w:r w:rsidRPr="001D16DE">
        <w:rPr>
          <w:noProof/>
        </w:rPr>
        <w:t xml:space="preserve">This proposal also amends Directive 2011/83/EU by requiring </w:t>
      </w:r>
      <w:r w:rsidR="008D730F">
        <w:rPr>
          <w:noProof/>
        </w:rPr>
        <w:t>traders</w:t>
      </w:r>
      <w:r w:rsidR="00131657">
        <w:rPr>
          <w:noProof/>
        </w:rPr>
        <w:t xml:space="preserve"> </w:t>
      </w:r>
      <w:r w:rsidRPr="001D16DE">
        <w:rPr>
          <w:noProof/>
        </w:rPr>
        <w:t>to provide information on the durability and reparabili</w:t>
      </w:r>
      <w:r w:rsidR="00181B16" w:rsidRPr="001D16DE">
        <w:rPr>
          <w:noProof/>
        </w:rPr>
        <w:t>t</w:t>
      </w:r>
      <w:r w:rsidRPr="001D16DE">
        <w:rPr>
          <w:noProof/>
        </w:rPr>
        <w:t>y of products</w:t>
      </w:r>
      <w:r w:rsidR="00E76A6D">
        <w:rPr>
          <w:noProof/>
        </w:rPr>
        <w:t xml:space="preserve"> before concluding a contract</w:t>
      </w:r>
      <w:r w:rsidR="00440164" w:rsidRPr="001D16DE">
        <w:rPr>
          <w:noProof/>
        </w:rPr>
        <w:t>,</w:t>
      </w:r>
      <w:r w:rsidRPr="0067086E">
        <w:rPr>
          <w:noProof/>
        </w:rPr>
        <w:t xml:space="preserve"> to ensure consumers can make better</w:t>
      </w:r>
      <w:r w:rsidR="00440164" w:rsidRPr="001D16DE">
        <w:rPr>
          <w:noProof/>
        </w:rPr>
        <w:t>-</w:t>
      </w:r>
      <w:r w:rsidRPr="0067086E">
        <w:rPr>
          <w:noProof/>
        </w:rPr>
        <w:t xml:space="preserve">informed purchasing choices. This will </w:t>
      </w:r>
      <w:r w:rsidRPr="00605A35">
        <w:rPr>
          <w:noProof/>
        </w:rPr>
        <w:t xml:space="preserve">ensure </w:t>
      </w:r>
      <w:r w:rsidRPr="0067086E">
        <w:rPr>
          <w:noProof/>
        </w:rPr>
        <w:t xml:space="preserve">consumers can benefit from such information </w:t>
      </w:r>
      <w:r w:rsidR="00181B16" w:rsidRPr="004F0D04">
        <w:rPr>
          <w:noProof/>
        </w:rPr>
        <w:t>w</w:t>
      </w:r>
      <w:r w:rsidR="00440164" w:rsidRPr="001D16DE">
        <w:rPr>
          <w:noProof/>
        </w:rPr>
        <w:t xml:space="preserve">hen buying products </w:t>
      </w:r>
      <w:r w:rsidR="00181B16" w:rsidRPr="004F0D04">
        <w:rPr>
          <w:noProof/>
        </w:rPr>
        <w:t>in</w:t>
      </w:r>
      <w:r w:rsidR="00181B16" w:rsidRPr="0067086E">
        <w:rPr>
          <w:noProof/>
        </w:rPr>
        <w:t xml:space="preserve"> the </w:t>
      </w:r>
      <w:r w:rsidR="00181B16" w:rsidRPr="00605A35">
        <w:rPr>
          <w:noProof/>
        </w:rPr>
        <w:t>single market</w:t>
      </w:r>
      <w:r w:rsidR="00B3672E" w:rsidRPr="00605A35">
        <w:rPr>
          <w:noProof/>
        </w:rPr>
        <w:t>.</w:t>
      </w:r>
      <w:r w:rsidR="00181B16" w:rsidRPr="00822247">
        <w:rPr>
          <w:noProof/>
        </w:rPr>
        <w:t xml:space="preserve"> </w:t>
      </w:r>
    </w:p>
    <w:p w:rsidR="00665EFC" w:rsidRPr="00D2643E" w:rsidRDefault="00665EFC" w:rsidP="00064846">
      <w:pPr>
        <w:pStyle w:val="Bullet0"/>
        <w:spacing w:after="240"/>
        <w:rPr>
          <w:b/>
          <w:noProof/>
          <w:u w:color="000000"/>
          <w:bdr w:val="nil"/>
        </w:rPr>
      </w:pPr>
      <w:r w:rsidRPr="004F0D04">
        <w:rPr>
          <w:b/>
          <w:noProof/>
          <w:bdr w:val="nil"/>
        </w:rPr>
        <w:t>Proportionality</w:t>
      </w:r>
    </w:p>
    <w:p w:rsidR="00665EFC" w:rsidRDefault="00665EFC" w:rsidP="008D4FB5">
      <w:pPr>
        <w:pBdr>
          <w:top w:val="nil"/>
          <w:left w:val="nil"/>
          <w:bottom w:val="nil"/>
          <w:right w:val="nil"/>
          <w:between w:val="nil"/>
          <w:bar w:val="nil"/>
        </w:pBdr>
        <w:spacing w:before="0" w:after="240"/>
        <w:rPr>
          <w:rFonts w:eastAsia="Arial Unicode MS"/>
          <w:noProof/>
        </w:rPr>
      </w:pPr>
      <w:r w:rsidRPr="00B32D3F">
        <w:rPr>
          <w:noProof/>
        </w:rPr>
        <w:t>The measures in the proposal are proportionate to the objectives of enabling informed purchasing decisions by consumers</w:t>
      </w:r>
      <w:r w:rsidR="00440164" w:rsidRPr="001D16DE">
        <w:rPr>
          <w:noProof/>
        </w:rPr>
        <w:t>,</w:t>
      </w:r>
      <w:r w:rsidRPr="00B32D3F">
        <w:rPr>
          <w:noProof/>
        </w:rPr>
        <w:t xml:space="preserve"> to </w:t>
      </w:r>
      <w:r w:rsidR="007C5112" w:rsidRPr="001D16DE">
        <w:rPr>
          <w:noProof/>
        </w:rPr>
        <w:t>promote</w:t>
      </w:r>
      <w:r w:rsidRPr="00B32D3F">
        <w:rPr>
          <w:noProof/>
        </w:rPr>
        <w:t xml:space="preserve"> sustainable consumption, </w:t>
      </w:r>
      <w:r w:rsidRPr="001D16DE">
        <w:rPr>
          <w:noProof/>
        </w:rPr>
        <w:t>eliminat</w:t>
      </w:r>
      <w:r w:rsidR="00440164" w:rsidRPr="001D16DE">
        <w:rPr>
          <w:noProof/>
        </w:rPr>
        <w:t>e</w:t>
      </w:r>
      <w:r w:rsidRPr="00B32D3F">
        <w:rPr>
          <w:noProof/>
        </w:rPr>
        <w:t xml:space="preserve"> </w:t>
      </w:r>
      <w:r w:rsidR="000317D0">
        <w:rPr>
          <w:noProof/>
        </w:rPr>
        <w:t>unfair commercial</w:t>
      </w:r>
      <w:r w:rsidRPr="00B32D3F">
        <w:rPr>
          <w:noProof/>
        </w:rPr>
        <w:t xml:space="preserve"> practices </w:t>
      </w:r>
      <w:r w:rsidR="00A63F87" w:rsidRPr="00B32D3F">
        <w:rPr>
          <w:noProof/>
        </w:rPr>
        <w:t xml:space="preserve">by traders </w:t>
      </w:r>
      <w:r w:rsidRPr="00B32D3F">
        <w:rPr>
          <w:noProof/>
        </w:rPr>
        <w:t>that cause damage to the sustainable economy and lead consumers away from sustainable consumption choices, and ensuring a better and</w:t>
      </w:r>
      <w:r w:rsidR="007560F2">
        <w:rPr>
          <w:noProof/>
        </w:rPr>
        <w:t xml:space="preserve"> more</w:t>
      </w:r>
      <w:r w:rsidRPr="00B32D3F">
        <w:rPr>
          <w:noProof/>
        </w:rPr>
        <w:t xml:space="preserve"> </w:t>
      </w:r>
      <w:r w:rsidR="007C5112" w:rsidRPr="001D16DE">
        <w:rPr>
          <w:noProof/>
        </w:rPr>
        <w:t>consistent</w:t>
      </w:r>
      <w:r w:rsidRPr="00B32D3F">
        <w:rPr>
          <w:noProof/>
        </w:rPr>
        <w:t xml:space="preserve"> application of EU consumer </w:t>
      </w:r>
      <w:r w:rsidR="00A63F87" w:rsidRPr="00B32D3F">
        <w:rPr>
          <w:noProof/>
        </w:rPr>
        <w:t xml:space="preserve">protection </w:t>
      </w:r>
      <w:r w:rsidR="00440164" w:rsidRPr="001D16DE">
        <w:rPr>
          <w:noProof/>
        </w:rPr>
        <w:t>rules</w:t>
      </w:r>
      <w:r w:rsidRPr="00B32D3F">
        <w:rPr>
          <w:noProof/>
        </w:rPr>
        <w:t>.</w:t>
      </w:r>
    </w:p>
    <w:p w:rsidR="0061798A" w:rsidRPr="001D16DE" w:rsidRDefault="00273FB7" w:rsidP="008D4FB5">
      <w:pPr>
        <w:pBdr>
          <w:top w:val="nil"/>
          <w:left w:val="nil"/>
          <w:bottom w:val="nil"/>
          <w:right w:val="nil"/>
          <w:between w:val="nil"/>
          <w:bar w:val="nil"/>
        </w:pBdr>
        <w:spacing w:before="0" w:after="240"/>
        <w:rPr>
          <w:noProof/>
        </w:rPr>
      </w:pPr>
      <w:r>
        <w:rPr>
          <w:noProof/>
        </w:rPr>
        <w:t>The requirement to provide</w:t>
      </w:r>
      <w:r w:rsidR="00FA3E17">
        <w:rPr>
          <w:noProof/>
        </w:rPr>
        <w:t xml:space="preserve"> information about the presence of a producer’s commercial guarantee of durability </w:t>
      </w:r>
      <w:r w:rsidR="0086210E">
        <w:rPr>
          <w:noProof/>
        </w:rPr>
        <w:t xml:space="preserve">of more than two years </w:t>
      </w:r>
      <w:r w:rsidR="00FA3E17">
        <w:rPr>
          <w:noProof/>
        </w:rPr>
        <w:t xml:space="preserve">is only needed when a </w:t>
      </w:r>
      <w:r w:rsidR="0086210E">
        <w:rPr>
          <w:noProof/>
        </w:rPr>
        <w:t>producer makes this information available to the trader.</w:t>
      </w:r>
      <w:r w:rsidR="00FA3E17">
        <w:rPr>
          <w:noProof/>
        </w:rPr>
        <w:t xml:space="preserve"> </w:t>
      </w:r>
      <w:r w:rsidR="0086210E" w:rsidRPr="00170C9D">
        <w:rPr>
          <w:noProof/>
        </w:rPr>
        <w:t xml:space="preserve">Moreover, </w:t>
      </w:r>
      <w:r w:rsidR="00752D16">
        <w:rPr>
          <w:noProof/>
        </w:rPr>
        <w:t>for energy</w:t>
      </w:r>
      <w:r w:rsidR="00337EAF">
        <w:rPr>
          <w:noProof/>
        </w:rPr>
        <w:t>-</w:t>
      </w:r>
      <w:r w:rsidR="00752D16">
        <w:rPr>
          <w:noProof/>
        </w:rPr>
        <w:t>using goods, consumers should also be informed of the fact that the producer has not made that information available. T</w:t>
      </w:r>
      <w:r w:rsidR="00665EFC" w:rsidRPr="00170C9D">
        <w:rPr>
          <w:noProof/>
        </w:rPr>
        <w:t xml:space="preserve">raders are only subject to this requirement in relation to </w:t>
      </w:r>
      <w:r w:rsidR="00752D16">
        <w:rPr>
          <w:noProof/>
        </w:rPr>
        <w:t>energy</w:t>
      </w:r>
      <w:r w:rsidR="00F021B3">
        <w:rPr>
          <w:noProof/>
        </w:rPr>
        <w:t>-</w:t>
      </w:r>
      <w:r w:rsidR="00752D16">
        <w:rPr>
          <w:noProof/>
        </w:rPr>
        <w:t xml:space="preserve">using </w:t>
      </w:r>
      <w:r w:rsidR="00665EFC" w:rsidRPr="00170C9D">
        <w:rPr>
          <w:noProof/>
        </w:rPr>
        <w:t>goods for which durability can be reliably estimated</w:t>
      </w:r>
      <w:r w:rsidR="003B2078" w:rsidRPr="00170C9D">
        <w:rPr>
          <w:noProof/>
        </w:rPr>
        <w:t xml:space="preserve"> and about which consumers are mostly interested to receive </w:t>
      </w:r>
      <w:r w:rsidR="00FA3E17" w:rsidRPr="00170C9D">
        <w:rPr>
          <w:noProof/>
        </w:rPr>
        <w:t xml:space="preserve">this </w:t>
      </w:r>
      <w:r w:rsidR="003B2078" w:rsidRPr="00170C9D">
        <w:rPr>
          <w:noProof/>
        </w:rPr>
        <w:t>information</w:t>
      </w:r>
      <w:r w:rsidR="00665EFC" w:rsidRPr="00170C9D">
        <w:rPr>
          <w:noProof/>
        </w:rPr>
        <w:t>.</w:t>
      </w:r>
      <w:r w:rsidR="00732515" w:rsidRPr="00AE7695">
        <w:rPr>
          <w:noProof/>
        </w:rPr>
        <w:t xml:space="preserve"> </w:t>
      </w:r>
    </w:p>
    <w:p w:rsidR="00F2522D" w:rsidRDefault="00F2522D" w:rsidP="00F2522D">
      <w:pPr>
        <w:pBdr>
          <w:top w:val="nil"/>
          <w:left w:val="nil"/>
          <w:bottom w:val="nil"/>
          <w:right w:val="nil"/>
          <w:between w:val="nil"/>
          <w:bar w:val="nil"/>
        </w:pBdr>
        <w:spacing w:before="0" w:after="240"/>
        <w:rPr>
          <w:noProof/>
        </w:rPr>
      </w:pPr>
      <w:r w:rsidRPr="00F2522D">
        <w:rPr>
          <w:noProof/>
        </w:rPr>
        <w:t xml:space="preserve">For goods with digital elements, the provision </w:t>
      </w:r>
      <w:r w:rsidRPr="00F2522D">
        <w:rPr>
          <w:i/>
          <w:noProof/>
        </w:rPr>
        <w:t>of information about available software updates</w:t>
      </w:r>
      <w:r w:rsidRPr="00F2522D">
        <w:rPr>
          <w:noProof/>
        </w:rPr>
        <w:t xml:space="preserve"> is required only when updates are supplied for a period longer than the period covered by the producer’s commercial guarantee of durability, and when such information is provided to the trader by the producer. Furthermore, such information should only be provided in case of a single act of supply of the digital elements in question. </w:t>
      </w:r>
    </w:p>
    <w:p w:rsidR="00F2522D" w:rsidRDefault="00F2522D" w:rsidP="00B3003F">
      <w:pPr>
        <w:pBdr>
          <w:top w:val="nil"/>
          <w:left w:val="nil"/>
          <w:bottom w:val="nil"/>
          <w:right w:val="nil"/>
          <w:between w:val="nil"/>
          <w:bar w:val="nil"/>
        </w:pBdr>
        <w:spacing w:before="0" w:after="240"/>
        <w:rPr>
          <w:rFonts w:eastAsia="Arial Unicode MS"/>
          <w:noProof/>
        </w:rPr>
      </w:pPr>
      <w:r w:rsidRPr="00F2522D">
        <w:rPr>
          <w:rFonts w:eastAsia="Arial Unicode MS"/>
          <w:noProof/>
        </w:rPr>
        <w:t xml:space="preserve">For digital services and digital content, the provision of </w:t>
      </w:r>
      <w:r w:rsidRPr="00F2522D">
        <w:rPr>
          <w:i/>
          <w:noProof/>
        </w:rPr>
        <w:t>information about available software updates</w:t>
      </w:r>
      <w:r w:rsidRPr="00F2522D">
        <w:rPr>
          <w:noProof/>
        </w:rPr>
        <w:t xml:space="preserve"> is required only when such information is provided to the trader by the provider when the provider is different from the trader. Furthermore, such information should only be provided in case of a single act of supply of the digital service or content in question.</w:t>
      </w:r>
    </w:p>
    <w:p w:rsidR="00665EFC" w:rsidRDefault="00CC15C0" w:rsidP="008D4FB5">
      <w:pPr>
        <w:pBdr>
          <w:top w:val="nil"/>
          <w:left w:val="nil"/>
          <w:bottom w:val="nil"/>
          <w:right w:val="nil"/>
          <w:between w:val="nil"/>
          <w:bar w:val="nil"/>
        </w:pBdr>
        <w:spacing w:before="0" w:after="240"/>
        <w:rPr>
          <w:rFonts w:eastAsia="Arial Unicode MS"/>
          <w:noProof/>
        </w:rPr>
      </w:pPr>
      <w:r w:rsidRPr="004F0567">
        <w:rPr>
          <w:rFonts w:eastAsia="Arial Unicode MS"/>
          <w:noProof/>
        </w:rPr>
        <w:t>P</w:t>
      </w:r>
      <w:r w:rsidR="00665EFC" w:rsidRPr="004F0567">
        <w:rPr>
          <w:rFonts w:eastAsia="Arial Unicode MS"/>
          <w:noProof/>
        </w:rPr>
        <w:t>rovi</w:t>
      </w:r>
      <w:r w:rsidR="003D561D" w:rsidRPr="004F0567">
        <w:rPr>
          <w:rFonts w:eastAsia="Arial Unicode MS"/>
          <w:noProof/>
        </w:rPr>
        <w:t>ding</w:t>
      </w:r>
      <w:r w:rsidR="00665EFC" w:rsidRPr="004F0D04">
        <w:rPr>
          <w:i/>
          <w:noProof/>
        </w:rPr>
        <w:t xml:space="preserve"> information on the reparability of products through a </w:t>
      </w:r>
      <w:r w:rsidR="002F35C3" w:rsidRPr="004F0D04">
        <w:rPr>
          <w:i/>
          <w:noProof/>
        </w:rPr>
        <w:t xml:space="preserve">reparability </w:t>
      </w:r>
      <w:r w:rsidR="00665EFC" w:rsidRPr="004F0D04">
        <w:rPr>
          <w:i/>
          <w:noProof/>
        </w:rPr>
        <w:t>scor</w:t>
      </w:r>
      <w:r w:rsidR="00BC6C8B" w:rsidRPr="004F0D04">
        <w:rPr>
          <w:i/>
          <w:noProof/>
        </w:rPr>
        <w:t>e</w:t>
      </w:r>
      <w:r w:rsidR="00C91A83" w:rsidRPr="004F0D04">
        <w:rPr>
          <w:i/>
          <w:noProof/>
        </w:rPr>
        <w:t xml:space="preserve"> </w:t>
      </w:r>
      <w:r w:rsidR="00665EFC" w:rsidRPr="004F0D04">
        <w:rPr>
          <w:i/>
          <w:noProof/>
        </w:rPr>
        <w:t>or other relevant repair information</w:t>
      </w:r>
      <w:r w:rsidR="00273FB7">
        <w:rPr>
          <w:rFonts w:eastAsia="Arial Unicode MS"/>
          <w:noProof/>
        </w:rPr>
        <w:t xml:space="preserve"> is </w:t>
      </w:r>
      <w:r w:rsidR="00B3003F">
        <w:rPr>
          <w:rFonts w:eastAsia="Arial Unicode MS"/>
          <w:noProof/>
        </w:rPr>
        <w:t>required</w:t>
      </w:r>
      <w:r w:rsidR="0049763F">
        <w:rPr>
          <w:rFonts w:eastAsia="Arial Unicode MS"/>
          <w:noProof/>
        </w:rPr>
        <w:t xml:space="preserve"> </w:t>
      </w:r>
      <w:r w:rsidR="00665EFC" w:rsidRPr="006518A4">
        <w:rPr>
          <w:rFonts w:eastAsia="Arial Unicode MS"/>
          <w:noProof/>
        </w:rPr>
        <w:t xml:space="preserve">at the point of sale only </w:t>
      </w:r>
      <w:r w:rsidR="00665EFC" w:rsidRPr="001D16DE">
        <w:rPr>
          <w:rFonts w:eastAsia="Arial Unicode MS"/>
          <w:noProof/>
        </w:rPr>
        <w:t>i</w:t>
      </w:r>
      <w:r w:rsidR="003D561D" w:rsidRPr="001D16DE">
        <w:rPr>
          <w:rFonts w:eastAsia="Arial Unicode MS"/>
          <w:noProof/>
        </w:rPr>
        <w:t>f</w:t>
      </w:r>
      <w:r w:rsidR="001341A6" w:rsidRPr="006518A4">
        <w:rPr>
          <w:rFonts w:eastAsia="Arial Unicode MS"/>
          <w:noProof/>
        </w:rPr>
        <w:t xml:space="preserve"> </w:t>
      </w:r>
      <w:r w:rsidR="002F35C3" w:rsidRPr="006518A4">
        <w:rPr>
          <w:rFonts w:eastAsiaTheme="minorEastAsia"/>
          <w:noProof/>
        </w:rPr>
        <w:t>a reparability</w:t>
      </w:r>
      <w:r w:rsidR="002E0EAF" w:rsidRPr="006518A4">
        <w:rPr>
          <w:rFonts w:eastAsiaTheme="minorEastAsia"/>
          <w:noProof/>
        </w:rPr>
        <w:t xml:space="preserve"> score</w:t>
      </w:r>
      <w:r w:rsidR="001341A6" w:rsidRPr="006518A4">
        <w:rPr>
          <w:rFonts w:eastAsiaTheme="minorEastAsia"/>
          <w:noProof/>
        </w:rPr>
        <w:t xml:space="preserve"> is </w:t>
      </w:r>
      <w:r w:rsidR="00A63F87" w:rsidRPr="007D7B63">
        <w:rPr>
          <w:noProof/>
        </w:rPr>
        <w:t xml:space="preserve">already </w:t>
      </w:r>
      <w:r w:rsidR="00AF5C2E">
        <w:rPr>
          <w:noProof/>
        </w:rPr>
        <w:t>established</w:t>
      </w:r>
      <w:r w:rsidR="001341A6" w:rsidRPr="006518A4">
        <w:rPr>
          <w:rFonts w:eastAsiaTheme="minorEastAsia"/>
          <w:noProof/>
        </w:rPr>
        <w:t xml:space="preserve"> for that product </w:t>
      </w:r>
      <w:r w:rsidR="003D561D" w:rsidRPr="001D16DE">
        <w:rPr>
          <w:rFonts w:eastAsiaTheme="minorEastAsia"/>
          <w:noProof/>
        </w:rPr>
        <w:t xml:space="preserve">under </w:t>
      </w:r>
      <w:r w:rsidR="001341A6" w:rsidRPr="006518A4">
        <w:rPr>
          <w:rFonts w:eastAsiaTheme="minorEastAsia"/>
          <w:noProof/>
        </w:rPr>
        <w:t>EU law</w:t>
      </w:r>
      <w:r w:rsidR="0049763F">
        <w:rPr>
          <w:rFonts w:eastAsiaTheme="minorEastAsia"/>
          <w:noProof/>
        </w:rPr>
        <w:t>,</w:t>
      </w:r>
      <w:r w:rsidR="001341A6" w:rsidRPr="006518A4">
        <w:rPr>
          <w:rFonts w:eastAsiaTheme="minorEastAsia"/>
          <w:noProof/>
        </w:rPr>
        <w:t xml:space="preserve"> or whenever other relevant repair information </w:t>
      </w:r>
      <w:r w:rsidR="00665EFC" w:rsidRPr="006518A4">
        <w:rPr>
          <w:rFonts w:eastAsia="Arial Unicode MS"/>
          <w:noProof/>
        </w:rPr>
        <w:t>is made available by the producer.</w:t>
      </w:r>
      <w:r w:rsidR="00665EFC" w:rsidRPr="006518A4">
        <w:rPr>
          <w:rFonts w:eastAsiaTheme="minorEastAsia"/>
          <w:noProof/>
        </w:rPr>
        <w:t xml:space="preserve"> </w:t>
      </w:r>
      <w:r w:rsidR="00142AFB" w:rsidRPr="006518A4">
        <w:rPr>
          <w:rFonts w:eastAsia="Arial Unicode MS"/>
          <w:noProof/>
        </w:rPr>
        <w:t>T</w:t>
      </w:r>
      <w:r w:rsidR="00665EFC" w:rsidRPr="006518A4">
        <w:rPr>
          <w:rFonts w:eastAsia="Arial Unicode MS"/>
          <w:noProof/>
        </w:rPr>
        <w:t xml:space="preserve">raders are not obliged to inform </w:t>
      </w:r>
      <w:r w:rsidR="003D561D" w:rsidRPr="001D16DE">
        <w:rPr>
          <w:rFonts w:eastAsia="Arial Unicode MS"/>
          <w:noProof/>
        </w:rPr>
        <w:t xml:space="preserve">consumers </w:t>
      </w:r>
      <w:r w:rsidR="00665EFC" w:rsidRPr="006518A4">
        <w:rPr>
          <w:rFonts w:eastAsia="Arial Unicode MS"/>
          <w:noProof/>
        </w:rPr>
        <w:t xml:space="preserve">at the point of sale </w:t>
      </w:r>
      <w:r w:rsidR="003D561D" w:rsidRPr="001D16DE">
        <w:rPr>
          <w:rFonts w:eastAsia="Arial Unicode MS"/>
          <w:noProof/>
        </w:rPr>
        <w:t xml:space="preserve">if no </w:t>
      </w:r>
      <w:r w:rsidR="00665EFC" w:rsidRPr="006518A4">
        <w:rPr>
          <w:rFonts w:eastAsia="Arial Unicode MS"/>
          <w:noProof/>
        </w:rPr>
        <w:t>such information</w:t>
      </w:r>
      <w:r w:rsidR="003D561D" w:rsidRPr="001D16DE">
        <w:rPr>
          <w:rFonts w:eastAsia="Arial Unicode MS"/>
          <w:noProof/>
        </w:rPr>
        <w:t xml:space="preserve"> is available</w:t>
      </w:r>
      <w:r w:rsidR="00665EFC" w:rsidRPr="001D16DE">
        <w:rPr>
          <w:rFonts w:eastAsia="Arial Unicode MS"/>
          <w:noProof/>
        </w:rPr>
        <w:t>.</w:t>
      </w:r>
      <w:r w:rsidR="00665EFC" w:rsidRPr="006518A4">
        <w:rPr>
          <w:rFonts w:eastAsia="Arial Unicode MS"/>
          <w:noProof/>
        </w:rPr>
        <w:t xml:space="preserve"> </w:t>
      </w:r>
    </w:p>
    <w:p w:rsidR="00FA529E" w:rsidRDefault="00FA529E" w:rsidP="00FA529E">
      <w:pPr>
        <w:rPr>
          <w:rFonts w:eastAsia="Arial Unicode MS"/>
          <w:noProof/>
        </w:rPr>
      </w:pPr>
      <w:r>
        <w:rPr>
          <w:noProof/>
        </w:rPr>
        <w:t xml:space="preserve">The </w:t>
      </w:r>
      <w:r w:rsidRPr="00AC0219">
        <w:rPr>
          <w:rFonts w:eastAsia="Arial Unicode MS"/>
          <w:i/>
          <w:noProof/>
        </w:rPr>
        <w:t>ban on</w:t>
      </w:r>
      <w:r w:rsidRPr="00AC0219">
        <w:rPr>
          <w:i/>
          <w:noProof/>
        </w:rPr>
        <w:t xml:space="preserve"> </w:t>
      </w:r>
      <w:r>
        <w:rPr>
          <w:i/>
          <w:noProof/>
        </w:rPr>
        <w:t>generic</w:t>
      </w:r>
      <w:r w:rsidRPr="00AC0219">
        <w:rPr>
          <w:i/>
          <w:noProof/>
        </w:rPr>
        <w:t xml:space="preserve"> environmental claims used in marketing towards consumers</w:t>
      </w:r>
      <w:r w:rsidRPr="006D2780">
        <w:rPr>
          <w:noProof/>
        </w:rPr>
        <w:t xml:space="preserve"> </w:t>
      </w:r>
      <w:r>
        <w:rPr>
          <w:rFonts w:eastAsia="Arial Unicode MS"/>
          <w:noProof/>
        </w:rPr>
        <w:t xml:space="preserve">is expected to bring significant benefits for consumers while limiting the burden on traders. Traders are allowed to make generic environmental claims in cases where </w:t>
      </w:r>
      <w:r w:rsidRPr="001D16DE">
        <w:rPr>
          <w:rFonts w:eastAsia="Arial Unicode MS"/>
          <w:noProof/>
        </w:rPr>
        <w:t xml:space="preserve">the </w:t>
      </w:r>
      <w:r w:rsidR="005B5998" w:rsidRPr="00D258D2">
        <w:rPr>
          <w:rFonts w:eastAsia="Arial Unicode MS"/>
          <w:noProof/>
        </w:rPr>
        <w:t xml:space="preserve">excellent </w:t>
      </w:r>
      <w:r w:rsidRPr="00D258D2">
        <w:rPr>
          <w:rFonts w:eastAsia="Arial Unicode MS"/>
          <w:noProof/>
        </w:rPr>
        <w:t>environmental</w:t>
      </w:r>
      <w:r w:rsidRPr="00D258D2" w:rsidDel="005B5998">
        <w:rPr>
          <w:rFonts w:eastAsia="Arial Unicode MS"/>
          <w:noProof/>
        </w:rPr>
        <w:t xml:space="preserve"> </w:t>
      </w:r>
      <w:r w:rsidRPr="00D258D2">
        <w:rPr>
          <w:rFonts w:eastAsia="Arial Unicode MS"/>
          <w:noProof/>
        </w:rPr>
        <w:t xml:space="preserve">performance </w:t>
      </w:r>
      <w:r w:rsidRPr="001D16DE">
        <w:rPr>
          <w:rFonts w:eastAsia="Arial Unicode MS"/>
          <w:noProof/>
        </w:rPr>
        <w:t>by</w:t>
      </w:r>
      <w:r w:rsidRPr="00D258D2">
        <w:rPr>
          <w:rFonts w:eastAsia="Arial Unicode MS"/>
          <w:noProof/>
        </w:rPr>
        <w:t xml:space="preserve"> products or traders can be demonstrated </w:t>
      </w:r>
      <w:r w:rsidR="007560F2">
        <w:rPr>
          <w:rFonts w:eastAsia="Arial Unicode MS"/>
          <w:noProof/>
        </w:rPr>
        <w:t>in accordance with</w:t>
      </w:r>
      <w:r w:rsidR="007560F2" w:rsidRPr="00D258D2">
        <w:rPr>
          <w:rFonts w:eastAsia="Arial Unicode MS"/>
          <w:noProof/>
        </w:rPr>
        <w:t xml:space="preserve"> </w:t>
      </w:r>
      <w:r w:rsidRPr="00D258D2">
        <w:rPr>
          <w:rFonts w:eastAsia="Arial Unicode MS"/>
          <w:noProof/>
        </w:rPr>
        <w:t xml:space="preserve">Regulation (EC) 66/2010 (EU Ecolabel), </w:t>
      </w:r>
      <w:r w:rsidRPr="001D16DE">
        <w:rPr>
          <w:rFonts w:eastAsia="Arial Unicode MS"/>
          <w:noProof/>
        </w:rPr>
        <w:t xml:space="preserve">by </w:t>
      </w:r>
      <w:r w:rsidRPr="00D258D2">
        <w:rPr>
          <w:rFonts w:eastAsia="Arial Unicode MS"/>
          <w:noProof/>
        </w:rPr>
        <w:t>officially recognised eco</w:t>
      </w:r>
      <w:r w:rsidR="007560F2">
        <w:rPr>
          <w:rFonts w:eastAsia="Arial Unicode MS"/>
          <w:noProof/>
        </w:rPr>
        <w:t>-</w:t>
      </w:r>
      <w:r w:rsidRPr="00D258D2">
        <w:rPr>
          <w:rFonts w:eastAsia="Arial Unicode MS"/>
          <w:noProof/>
        </w:rPr>
        <w:t xml:space="preserve">labelling schemes in the Member States in accordance with Article 11 of Regulation (EC) 66/2010, or in accordance with other applicable </w:t>
      </w:r>
      <w:r>
        <w:rPr>
          <w:rFonts w:eastAsia="Arial Unicode MS"/>
          <w:noProof/>
        </w:rPr>
        <w:t xml:space="preserve">Union </w:t>
      </w:r>
      <w:r w:rsidRPr="00D258D2">
        <w:rPr>
          <w:rFonts w:eastAsia="Arial Unicode MS"/>
          <w:noProof/>
        </w:rPr>
        <w:t>laws.</w:t>
      </w:r>
      <w:r>
        <w:rPr>
          <w:rFonts w:eastAsia="Arial Unicode MS"/>
          <w:noProof/>
        </w:rPr>
        <w:t xml:space="preserve"> </w:t>
      </w:r>
    </w:p>
    <w:p w:rsidR="00D12A1E" w:rsidRPr="006C7214" w:rsidRDefault="00D12A1E" w:rsidP="00D12A1E">
      <w:pPr>
        <w:rPr>
          <w:rFonts w:eastAsia="Arial Unicode MS"/>
          <w:noProof/>
        </w:rPr>
      </w:pPr>
      <w:r w:rsidRPr="002D2BCC">
        <w:rPr>
          <w:rFonts w:eastAsia="Arial Unicode MS"/>
          <w:noProof/>
        </w:rPr>
        <w:t xml:space="preserve">The </w:t>
      </w:r>
      <w:r w:rsidRPr="002D2BCC">
        <w:rPr>
          <w:rFonts w:eastAsia="Arial Unicode MS"/>
          <w:i/>
          <w:noProof/>
        </w:rPr>
        <w:t xml:space="preserve">ban on making an environmental claim about the entire product when it actually concerns only a certain aspect of the product </w:t>
      </w:r>
      <w:r w:rsidRPr="002D2BCC">
        <w:rPr>
          <w:rFonts w:eastAsia="Arial Unicode MS"/>
          <w:noProof/>
        </w:rPr>
        <w:t xml:space="preserve">is also expected to bring </w:t>
      </w:r>
      <w:r w:rsidR="00F2637A">
        <w:rPr>
          <w:rFonts w:eastAsia="Arial Unicode MS"/>
          <w:noProof/>
        </w:rPr>
        <w:t>significant</w:t>
      </w:r>
      <w:r w:rsidRPr="002D2BCC">
        <w:rPr>
          <w:rFonts w:eastAsia="Arial Unicode MS"/>
          <w:noProof/>
        </w:rPr>
        <w:t xml:space="preserve"> benefits for consumers while clarifying the rules for traders</w:t>
      </w:r>
      <w:r w:rsidR="00F2637A">
        <w:rPr>
          <w:rFonts w:eastAsia="Arial Unicode MS"/>
          <w:noProof/>
        </w:rPr>
        <w:t>,</w:t>
      </w:r>
      <w:r w:rsidRPr="002D2BCC">
        <w:rPr>
          <w:rFonts w:eastAsia="Arial Unicode MS"/>
          <w:noProof/>
        </w:rPr>
        <w:t xml:space="preserve"> ensuring a level playing field among them.</w:t>
      </w:r>
      <w:r w:rsidR="00F2637A">
        <w:rPr>
          <w:rFonts w:eastAsia="Arial Unicode MS"/>
          <w:noProof/>
        </w:rPr>
        <w:t xml:space="preserve"> It will allow traders to continue to make environmental claims about a certain aspect of a product as long as it is made clear to the consumer that the claim relates to a certain aspect and not to the whole product.</w:t>
      </w:r>
    </w:p>
    <w:p w:rsidR="005E1037" w:rsidRPr="00822247" w:rsidRDefault="00665EFC" w:rsidP="00D12A1E">
      <w:pPr>
        <w:rPr>
          <w:noProof/>
        </w:rPr>
      </w:pPr>
      <w:r w:rsidRPr="00BA537A">
        <w:rPr>
          <w:noProof/>
        </w:rPr>
        <w:t>The</w:t>
      </w:r>
      <w:r w:rsidRPr="001D16DE">
        <w:rPr>
          <w:i/>
          <w:noProof/>
        </w:rPr>
        <w:t xml:space="preserve"> </w:t>
      </w:r>
      <w:r w:rsidR="006D2780">
        <w:rPr>
          <w:i/>
          <w:noProof/>
        </w:rPr>
        <w:t>b</w:t>
      </w:r>
      <w:r w:rsidRPr="004F0D04">
        <w:rPr>
          <w:i/>
          <w:noProof/>
        </w:rPr>
        <w:t>an o</w:t>
      </w:r>
      <w:r w:rsidR="00CC15C0" w:rsidRPr="004F0D04">
        <w:rPr>
          <w:i/>
          <w:noProof/>
        </w:rPr>
        <w:t>n</w:t>
      </w:r>
      <w:r w:rsidRPr="004F0D04">
        <w:rPr>
          <w:i/>
          <w:noProof/>
        </w:rPr>
        <w:t xml:space="preserve"> practices related to the early obsolescence of products</w:t>
      </w:r>
      <w:r>
        <w:rPr>
          <w:rFonts w:eastAsia="Arial Unicode MS"/>
          <w:noProof/>
        </w:rPr>
        <w:t xml:space="preserve"> </w:t>
      </w:r>
      <w:r>
        <w:rPr>
          <w:noProof/>
        </w:rPr>
        <w:t xml:space="preserve">is </w:t>
      </w:r>
      <w:r w:rsidR="00273FB7">
        <w:rPr>
          <w:noProof/>
        </w:rPr>
        <w:t>targeted</w:t>
      </w:r>
      <w:r w:rsidR="00273FB7">
        <w:rPr>
          <w:rFonts w:eastAsia="Arial Unicode MS"/>
          <w:noProof/>
        </w:rPr>
        <w:t xml:space="preserve"> at</w:t>
      </w:r>
      <w:r w:rsidR="009C410C">
        <w:rPr>
          <w:rFonts w:eastAsia="Arial Unicode MS"/>
          <w:noProof/>
        </w:rPr>
        <w:t xml:space="preserve"> specific </w:t>
      </w:r>
      <w:r w:rsidR="00BF2F6A">
        <w:rPr>
          <w:rFonts w:eastAsia="Arial Unicode MS"/>
          <w:noProof/>
        </w:rPr>
        <w:t xml:space="preserve">and well defined </w:t>
      </w:r>
      <w:r w:rsidR="00142AFB">
        <w:rPr>
          <w:rFonts w:eastAsia="Arial Unicode MS"/>
          <w:noProof/>
        </w:rPr>
        <w:t xml:space="preserve">existing </w:t>
      </w:r>
      <w:r w:rsidR="009C410C">
        <w:rPr>
          <w:rFonts w:eastAsia="Arial Unicode MS"/>
          <w:noProof/>
        </w:rPr>
        <w:t>practices</w:t>
      </w:r>
      <w:r w:rsidR="00273FB7">
        <w:rPr>
          <w:rFonts w:eastAsia="Arial Unicode MS"/>
          <w:noProof/>
        </w:rPr>
        <w:t xml:space="preserve"> and aims at </w:t>
      </w:r>
      <w:r w:rsidR="00B3003F">
        <w:rPr>
          <w:noProof/>
        </w:rPr>
        <w:t xml:space="preserve">ensuring </w:t>
      </w:r>
      <w:r w:rsidR="009C410C" w:rsidRPr="0067086E">
        <w:rPr>
          <w:noProof/>
        </w:rPr>
        <w:t xml:space="preserve">legal certainty for traders </w:t>
      </w:r>
      <w:r w:rsidR="00273FB7">
        <w:rPr>
          <w:rFonts w:eastAsia="Arial Unicode MS"/>
          <w:noProof/>
        </w:rPr>
        <w:t>and</w:t>
      </w:r>
      <w:r w:rsidR="009C410C">
        <w:rPr>
          <w:rFonts w:eastAsia="Arial Unicode MS"/>
          <w:noProof/>
        </w:rPr>
        <w:t xml:space="preserve"> </w:t>
      </w:r>
      <w:r w:rsidR="00BF2F6A">
        <w:rPr>
          <w:rFonts w:eastAsia="Arial Unicode MS"/>
          <w:noProof/>
        </w:rPr>
        <w:t>facilitat</w:t>
      </w:r>
      <w:r w:rsidR="00273FB7">
        <w:rPr>
          <w:rFonts w:eastAsia="Arial Unicode MS"/>
          <w:noProof/>
        </w:rPr>
        <w:t>ing</w:t>
      </w:r>
      <w:r w:rsidR="009C410C" w:rsidRPr="00605A35">
        <w:rPr>
          <w:noProof/>
        </w:rPr>
        <w:t xml:space="preserve"> enforcement, as enforcement authorities will not be required to prove th</w:t>
      </w:r>
      <w:r w:rsidR="00BF2F6A" w:rsidRPr="00822247">
        <w:rPr>
          <w:noProof/>
        </w:rPr>
        <w:t>at a</w:t>
      </w:r>
      <w:r w:rsidR="009C410C" w:rsidRPr="00250138">
        <w:rPr>
          <w:noProof/>
        </w:rPr>
        <w:t xml:space="preserve"> product has been designed </w:t>
      </w:r>
      <w:r w:rsidR="000A4023" w:rsidRPr="001D16DE">
        <w:rPr>
          <w:noProof/>
        </w:rPr>
        <w:t xml:space="preserve">for early obsolescence, </w:t>
      </w:r>
      <w:r w:rsidR="009C410C" w:rsidRPr="0067086E">
        <w:rPr>
          <w:noProof/>
        </w:rPr>
        <w:t xml:space="preserve">with the intention of stimulating </w:t>
      </w:r>
      <w:r w:rsidR="00BF2F6A" w:rsidRPr="00605A35">
        <w:rPr>
          <w:noProof/>
        </w:rPr>
        <w:t>the purchase of a new model</w:t>
      </w:r>
      <w:r w:rsidR="00BF2F6A" w:rsidRPr="00822247">
        <w:rPr>
          <w:noProof/>
        </w:rPr>
        <w:t xml:space="preserve">. </w:t>
      </w:r>
    </w:p>
    <w:p w:rsidR="00665EFC" w:rsidRPr="001B6AA7" w:rsidRDefault="00665EFC" w:rsidP="00064846">
      <w:pPr>
        <w:pStyle w:val="Bullet0"/>
        <w:spacing w:after="240"/>
        <w:rPr>
          <w:b/>
          <w:noProof/>
          <w:u w:color="000000"/>
          <w:bdr w:val="nil"/>
        </w:rPr>
      </w:pPr>
      <w:r w:rsidRPr="004F0D04">
        <w:rPr>
          <w:b/>
          <w:noProof/>
          <w:bdr w:val="nil"/>
        </w:rPr>
        <w:t>Choice of instrument</w:t>
      </w:r>
    </w:p>
    <w:p w:rsidR="00665EFC" w:rsidRPr="00665EFC" w:rsidRDefault="00665EFC" w:rsidP="008D4FB5">
      <w:pPr>
        <w:pBdr>
          <w:top w:val="nil"/>
          <w:left w:val="nil"/>
          <w:bottom w:val="nil"/>
          <w:right w:val="nil"/>
          <w:between w:val="nil"/>
          <w:bar w:val="nil"/>
        </w:pBdr>
        <w:spacing w:before="0" w:after="240"/>
        <w:rPr>
          <w:rFonts w:eastAsia="Arial Unicode MS"/>
          <w:noProof/>
        </w:rPr>
      </w:pPr>
      <w:r w:rsidRPr="00665EFC">
        <w:rPr>
          <w:rFonts w:eastAsia="Arial Unicode MS"/>
          <w:noProof/>
        </w:rPr>
        <w:t>As this proposal amends two existing Directives, the most appropriate instrument is a directive.</w:t>
      </w:r>
    </w:p>
    <w:p w:rsidR="00665EFC" w:rsidRPr="007360B2" w:rsidRDefault="00665EFC" w:rsidP="00665EFC">
      <w:pPr>
        <w:pStyle w:val="ManualHeading1"/>
        <w:rPr>
          <w:noProof/>
        </w:rPr>
      </w:pPr>
      <w:r w:rsidRPr="007360B2">
        <w:rPr>
          <w:noProof/>
        </w:rPr>
        <w:t>3.</w:t>
      </w:r>
      <w:r w:rsidRPr="007360B2">
        <w:rPr>
          <w:noProof/>
        </w:rPr>
        <w:tab/>
        <w:t>RESULTS OF EX-POST EVALUATIONS, STAKEHOLDER CONSULTATIONS AND IMPACT ASSESSMENTS</w:t>
      </w:r>
    </w:p>
    <w:p w:rsidR="00906BBD" w:rsidRPr="008D4FB5" w:rsidRDefault="00665EFC" w:rsidP="00064846">
      <w:pPr>
        <w:pStyle w:val="Bullet0"/>
        <w:spacing w:after="240"/>
        <w:rPr>
          <w:b/>
          <w:noProof/>
          <w:u w:color="000000"/>
          <w:bdr w:val="nil"/>
        </w:rPr>
      </w:pPr>
      <w:r w:rsidRPr="004F0D04">
        <w:rPr>
          <w:b/>
          <w:noProof/>
          <w:bdr w:val="nil"/>
        </w:rPr>
        <w:t xml:space="preserve">Ex-post evaluations/fitness checks </w:t>
      </w:r>
      <w:r w:rsidRPr="001D16DE">
        <w:rPr>
          <w:b/>
          <w:noProof/>
          <w:u w:color="000000"/>
          <w:bdr w:val="nil"/>
          <w:lang w:eastAsia="en-GB"/>
        </w:rPr>
        <w:t>o</w:t>
      </w:r>
      <w:r w:rsidR="00250589" w:rsidRPr="001D16DE">
        <w:rPr>
          <w:b/>
          <w:noProof/>
          <w:u w:color="000000"/>
          <w:bdr w:val="nil"/>
          <w:lang w:eastAsia="en-GB"/>
        </w:rPr>
        <w:t>n</w:t>
      </w:r>
      <w:r w:rsidRPr="004F0D04">
        <w:rPr>
          <w:b/>
          <w:noProof/>
          <w:bdr w:val="nil"/>
        </w:rPr>
        <w:t xml:space="preserve"> existing legislation</w:t>
      </w:r>
    </w:p>
    <w:p w:rsidR="00906BBD" w:rsidRDefault="00906BBD" w:rsidP="006B5604">
      <w:pPr>
        <w:spacing w:before="0" w:after="240"/>
        <w:rPr>
          <w:noProof/>
        </w:rPr>
      </w:pPr>
      <w:r>
        <w:rPr>
          <w:noProof/>
        </w:rPr>
        <w:t xml:space="preserve">In 2017, the EU Consumer and Marketing Law and the Consumer Rights Directive underwent a </w:t>
      </w:r>
      <w:r w:rsidR="00250589" w:rsidRPr="001D16DE">
        <w:rPr>
          <w:noProof/>
        </w:rPr>
        <w:t>f</w:t>
      </w:r>
      <w:r w:rsidRPr="001D16DE">
        <w:rPr>
          <w:noProof/>
        </w:rPr>
        <w:t xml:space="preserve">itness </w:t>
      </w:r>
      <w:r w:rsidR="00250589" w:rsidRPr="001D16DE">
        <w:rPr>
          <w:noProof/>
        </w:rPr>
        <w:t>c</w:t>
      </w:r>
      <w:r>
        <w:rPr>
          <w:noProof/>
        </w:rPr>
        <w:t>heck and evaluation, respectively. The findings from this exercise pointed primarily to the need to improve awareness</w:t>
      </w:r>
      <w:r w:rsidR="00250589" w:rsidRPr="001D16DE">
        <w:rPr>
          <w:noProof/>
        </w:rPr>
        <w:t xml:space="preserve"> and</w:t>
      </w:r>
      <w:r>
        <w:rPr>
          <w:noProof/>
        </w:rPr>
        <w:t xml:space="preserve"> enforcement of the rules and opportunities </w:t>
      </w:r>
      <w:r w:rsidR="00F354DA" w:rsidRPr="001D16DE">
        <w:rPr>
          <w:noProof/>
        </w:rPr>
        <w:t>for consumers to seek redress,</w:t>
      </w:r>
      <w:r w:rsidRPr="001D16DE">
        <w:rPr>
          <w:noProof/>
        </w:rPr>
        <w:t xml:space="preserve"> </w:t>
      </w:r>
      <w:r>
        <w:rPr>
          <w:noProof/>
        </w:rPr>
        <w:t>to make the best of the existing legislation</w:t>
      </w:r>
      <w:r w:rsidR="00250589" w:rsidRPr="001D16DE">
        <w:rPr>
          <w:noProof/>
        </w:rPr>
        <w:t>,</w:t>
      </w:r>
      <w:r>
        <w:rPr>
          <w:noProof/>
        </w:rPr>
        <w:t xml:space="preserve"> and highlighted a limited range of necessary changes due to digitalisation. </w:t>
      </w:r>
    </w:p>
    <w:p w:rsidR="004974C9" w:rsidRDefault="00906BBD" w:rsidP="006B5604">
      <w:pPr>
        <w:spacing w:before="0" w:after="240"/>
        <w:rPr>
          <w:noProof/>
        </w:rPr>
      </w:pPr>
      <w:r>
        <w:rPr>
          <w:noProof/>
        </w:rPr>
        <w:t xml:space="preserve">Given the focus on enforcement and digitalisation, there were no specific conclusions </w:t>
      </w:r>
      <w:r w:rsidR="00250589" w:rsidRPr="001D16DE">
        <w:rPr>
          <w:noProof/>
        </w:rPr>
        <w:t>o</w:t>
      </w:r>
      <w:r>
        <w:rPr>
          <w:noProof/>
        </w:rPr>
        <w:t xml:space="preserve">n the contribution of </w:t>
      </w:r>
      <w:r w:rsidR="00250589" w:rsidRPr="001D16DE">
        <w:rPr>
          <w:noProof/>
        </w:rPr>
        <w:t>EU</w:t>
      </w:r>
      <w:r>
        <w:rPr>
          <w:noProof/>
        </w:rPr>
        <w:t xml:space="preserve"> consumer </w:t>
      </w:r>
      <w:r w:rsidR="00250589" w:rsidRPr="001D16DE">
        <w:rPr>
          <w:noProof/>
        </w:rPr>
        <w:t>law</w:t>
      </w:r>
      <w:r>
        <w:rPr>
          <w:noProof/>
        </w:rPr>
        <w:t xml:space="preserve"> to sustainable consumption, an issue which gained further political prominence </w:t>
      </w:r>
      <w:r w:rsidR="00250589" w:rsidRPr="001D16DE">
        <w:rPr>
          <w:noProof/>
        </w:rPr>
        <w:t xml:space="preserve">some </w:t>
      </w:r>
      <w:r>
        <w:rPr>
          <w:noProof/>
        </w:rPr>
        <w:t xml:space="preserve">years later with the announcement of the European Green Deal. Nevertheless, whenever possible and relevant, this instrument draws on the findings and conclusions collected in </w:t>
      </w:r>
      <w:r w:rsidRPr="001D16DE">
        <w:rPr>
          <w:noProof/>
        </w:rPr>
        <w:t>th</w:t>
      </w:r>
      <w:r w:rsidR="00250589" w:rsidRPr="001D16DE">
        <w:rPr>
          <w:noProof/>
        </w:rPr>
        <w:t>e 2017</w:t>
      </w:r>
      <w:r>
        <w:rPr>
          <w:noProof/>
        </w:rPr>
        <w:t xml:space="preserve"> exercise</w:t>
      </w:r>
      <w:r>
        <w:rPr>
          <w:rStyle w:val="FootnoteReference0"/>
          <w:noProof/>
        </w:rPr>
        <w:footnoteReference w:id="17"/>
      </w:r>
      <w:r>
        <w:rPr>
          <w:noProof/>
        </w:rPr>
        <w:t xml:space="preserve">.  </w:t>
      </w:r>
    </w:p>
    <w:p w:rsidR="004974C9" w:rsidRPr="002C5B2D" w:rsidRDefault="00665EFC" w:rsidP="00064846">
      <w:pPr>
        <w:pStyle w:val="Bullet0"/>
        <w:spacing w:before="0" w:after="240"/>
        <w:rPr>
          <w:b/>
          <w:noProof/>
          <w:u w:color="000000"/>
          <w:bdr w:val="nil"/>
        </w:rPr>
      </w:pPr>
      <w:r w:rsidRPr="004F0D04">
        <w:rPr>
          <w:b/>
          <w:noProof/>
          <w:bdr w:val="nil"/>
        </w:rPr>
        <w:t>Stakeholder consultations</w:t>
      </w:r>
    </w:p>
    <w:p w:rsidR="00906BBD" w:rsidRDefault="00B34F8C" w:rsidP="006B5604">
      <w:pPr>
        <w:spacing w:before="0" w:after="240"/>
        <w:rPr>
          <w:noProof/>
        </w:rPr>
      </w:pPr>
      <w:r>
        <w:rPr>
          <w:noProof/>
        </w:rPr>
        <w:t>In preparing this proposal, the Commission consulted with stakeholders via:</w:t>
      </w:r>
    </w:p>
    <w:p w:rsidR="00B34F8C" w:rsidRDefault="00250589" w:rsidP="006B5604">
      <w:pPr>
        <w:pStyle w:val="Tiret1"/>
        <w:numPr>
          <w:ilvl w:val="0"/>
          <w:numId w:val="20"/>
        </w:numPr>
        <w:spacing w:before="0"/>
        <w:rPr>
          <w:noProof/>
        </w:rPr>
      </w:pPr>
      <w:r w:rsidRPr="001D16DE">
        <w:rPr>
          <w:noProof/>
        </w:rPr>
        <w:t>a</w:t>
      </w:r>
      <w:r w:rsidR="00B34F8C">
        <w:rPr>
          <w:noProof/>
        </w:rPr>
        <w:t xml:space="preserve"> feedback mechanism on the </w:t>
      </w:r>
      <w:r w:rsidRPr="001D16DE">
        <w:rPr>
          <w:noProof/>
        </w:rPr>
        <w:t>i</w:t>
      </w:r>
      <w:r w:rsidR="00B34F8C">
        <w:rPr>
          <w:noProof/>
        </w:rPr>
        <w:t xml:space="preserve">nception </w:t>
      </w:r>
      <w:r w:rsidR="0061798A" w:rsidRPr="001D16DE">
        <w:rPr>
          <w:noProof/>
        </w:rPr>
        <w:t>impact assessment</w:t>
      </w:r>
      <w:r w:rsidR="00B34F8C">
        <w:rPr>
          <w:noProof/>
        </w:rPr>
        <w:t>;</w:t>
      </w:r>
    </w:p>
    <w:p w:rsidR="00B34F8C" w:rsidRDefault="00250589" w:rsidP="0067086E">
      <w:pPr>
        <w:pStyle w:val="Tiret1"/>
        <w:spacing w:before="0" w:after="240"/>
        <w:rPr>
          <w:noProof/>
        </w:rPr>
      </w:pPr>
      <w:r w:rsidRPr="001D16DE">
        <w:rPr>
          <w:noProof/>
        </w:rPr>
        <w:t>an</w:t>
      </w:r>
      <w:r w:rsidR="00B34F8C">
        <w:rPr>
          <w:noProof/>
        </w:rPr>
        <w:t xml:space="preserve"> online public consultation;</w:t>
      </w:r>
    </w:p>
    <w:p w:rsidR="00B34F8C" w:rsidRDefault="00B34F8C" w:rsidP="006B5604">
      <w:pPr>
        <w:pStyle w:val="Tiret1"/>
        <w:spacing w:before="0"/>
        <w:rPr>
          <w:noProof/>
        </w:rPr>
      </w:pPr>
      <w:r>
        <w:rPr>
          <w:noProof/>
        </w:rPr>
        <w:t>targeted consultations with key stakeholders</w:t>
      </w:r>
      <w:r w:rsidR="00250589" w:rsidRPr="001D16DE">
        <w:rPr>
          <w:noProof/>
        </w:rPr>
        <w:t>,</w:t>
      </w:r>
      <w:r>
        <w:rPr>
          <w:noProof/>
        </w:rPr>
        <w:t xml:space="preserve"> consisting of </w:t>
      </w:r>
      <w:r w:rsidR="009B72C5">
        <w:rPr>
          <w:noProof/>
        </w:rPr>
        <w:t>about 150</w:t>
      </w:r>
      <w:r w:rsidRPr="00B34F8C">
        <w:rPr>
          <w:noProof/>
        </w:rPr>
        <w:t xml:space="preserve"> in-depth interviews wi</w:t>
      </w:r>
      <w:r>
        <w:rPr>
          <w:noProof/>
        </w:rPr>
        <w:t xml:space="preserve">th </w:t>
      </w:r>
      <w:r w:rsidRPr="00B34F8C">
        <w:rPr>
          <w:noProof/>
        </w:rPr>
        <w:t>the main groups concerned by the initiative: national authorities, EU and national business associations and EU and</w:t>
      </w:r>
      <w:r>
        <w:rPr>
          <w:noProof/>
        </w:rPr>
        <w:t xml:space="preserve"> national consumer associations;</w:t>
      </w:r>
    </w:p>
    <w:p w:rsidR="00B34F8C" w:rsidRDefault="004809DF" w:rsidP="006B5604">
      <w:pPr>
        <w:pStyle w:val="Tiret1"/>
        <w:spacing w:before="0"/>
        <w:rPr>
          <w:noProof/>
        </w:rPr>
      </w:pPr>
      <w:r>
        <w:rPr>
          <w:noProof/>
        </w:rPr>
        <w:t xml:space="preserve">computer-assisted telephone </w:t>
      </w:r>
      <w:r w:rsidRPr="001D16DE">
        <w:rPr>
          <w:noProof/>
        </w:rPr>
        <w:t>interview</w:t>
      </w:r>
      <w:r w:rsidR="00250589" w:rsidRPr="001D16DE">
        <w:rPr>
          <w:noProof/>
        </w:rPr>
        <w:t>s</w:t>
      </w:r>
      <w:r w:rsidRPr="001D16DE">
        <w:rPr>
          <w:noProof/>
        </w:rPr>
        <w:t xml:space="preserve"> </w:t>
      </w:r>
      <w:r w:rsidR="00250589" w:rsidRPr="001D16DE">
        <w:rPr>
          <w:noProof/>
        </w:rPr>
        <w:t>with</w:t>
      </w:r>
      <w:r w:rsidR="00B34F8C" w:rsidRPr="00B34F8C">
        <w:rPr>
          <w:noProof/>
        </w:rPr>
        <w:t xml:space="preserve"> </w:t>
      </w:r>
      <w:r w:rsidR="00250589" w:rsidRPr="001D16DE">
        <w:rPr>
          <w:noProof/>
        </w:rPr>
        <w:t xml:space="preserve">over </w:t>
      </w:r>
      <w:r w:rsidR="00B34F8C" w:rsidRPr="00B34F8C">
        <w:rPr>
          <w:noProof/>
        </w:rPr>
        <w:t>1</w:t>
      </w:r>
      <w:r w:rsidR="009B72C5">
        <w:rPr>
          <w:noProof/>
        </w:rPr>
        <w:t>0</w:t>
      </w:r>
      <w:r w:rsidR="00B34F8C" w:rsidRPr="00B34F8C">
        <w:rPr>
          <w:noProof/>
        </w:rPr>
        <w:t>0 companies</w:t>
      </w:r>
      <w:r w:rsidR="00B34F8C">
        <w:rPr>
          <w:noProof/>
        </w:rPr>
        <w:t>;</w:t>
      </w:r>
    </w:p>
    <w:p w:rsidR="00B34F8C" w:rsidRDefault="00B34F8C" w:rsidP="006B5604">
      <w:pPr>
        <w:pStyle w:val="Tiret1"/>
        <w:spacing w:before="0"/>
        <w:rPr>
          <w:noProof/>
        </w:rPr>
      </w:pPr>
      <w:r>
        <w:rPr>
          <w:noProof/>
        </w:rPr>
        <w:t>a</w:t>
      </w:r>
      <w:r w:rsidRPr="00B34F8C">
        <w:rPr>
          <w:noProof/>
        </w:rPr>
        <w:t xml:space="preserve">n online consumer survey of </w:t>
      </w:r>
      <w:r w:rsidR="009B72C5">
        <w:rPr>
          <w:noProof/>
        </w:rPr>
        <w:t>almost 12 000</w:t>
      </w:r>
      <w:r w:rsidRPr="00B34F8C">
        <w:rPr>
          <w:noProof/>
        </w:rPr>
        <w:t xml:space="preserve"> consumers</w:t>
      </w:r>
      <w:r w:rsidR="005F035D" w:rsidRPr="001D16DE">
        <w:rPr>
          <w:noProof/>
        </w:rPr>
        <w:t xml:space="preserve"> in all EU countries</w:t>
      </w:r>
      <w:r>
        <w:rPr>
          <w:noProof/>
        </w:rPr>
        <w:t>;</w:t>
      </w:r>
      <w:r w:rsidR="004974C9">
        <w:rPr>
          <w:noProof/>
        </w:rPr>
        <w:t xml:space="preserve"> </w:t>
      </w:r>
    </w:p>
    <w:p w:rsidR="00B34F8C" w:rsidRDefault="00B34F8C" w:rsidP="006B5604">
      <w:pPr>
        <w:pStyle w:val="Tiret1"/>
        <w:spacing w:before="0" w:after="240"/>
        <w:rPr>
          <w:noProof/>
        </w:rPr>
      </w:pPr>
      <w:r>
        <w:rPr>
          <w:noProof/>
        </w:rPr>
        <w:t>four expert workshops with</w:t>
      </w:r>
      <w:r w:rsidR="004809DF">
        <w:rPr>
          <w:noProof/>
        </w:rPr>
        <w:t xml:space="preserve"> different</w:t>
      </w:r>
      <w:r>
        <w:rPr>
          <w:noProof/>
        </w:rPr>
        <w:t xml:space="preserve"> stakeholder</w:t>
      </w:r>
      <w:r w:rsidR="004809DF">
        <w:rPr>
          <w:noProof/>
        </w:rPr>
        <w:t xml:space="preserve"> groups</w:t>
      </w:r>
      <w:r>
        <w:rPr>
          <w:noProof/>
        </w:rPr>
        <w:t>.</w:t>
      </w:r>
    </w:p>
    <w:p w:rsidR="00BD0957" w:rsidRPr="00DD4986" w:rsidRDefault="004809DF" w:rsidP="008D4FB5">
      <w:pPr>
        <w:spacing w:before="0" w:after="240"/>
        <w:rPr>
          <w:i/>
          <w:noProof/>
        </w:rPr>
      </w:pPr>
      <w:r w:rsidRPr="00DD4986">
        <w:rPr>
          <w:i/>
          <w:noProof/>
        </w:rPr>
        <w:t>The</w:t>
      </w:r>
      <w:r w:rsidR="00DD4986">
        <w:rPr>
          <w:i/>
          <w:noProof/>
        </w:rPr>
        <w:t xml:space="preserve"> online</w:t>
      </w:r>
      <w:r w:rsidR="00DD4986" w:rsidRPr="00DD4986">
        <w:rPr>
          <w:i/>
          <w:noProof/>
        </w:rPr>
        <w:t xml:space="preserve"> Open Public Consultation</w:t>
      </w:r>
      <w:r w:rsidRPr="00DD4986">
        <w:rPr>
          <w:i/>
          <w:noProof/>
        </w:rPr>
        <w:t xml:space="preserve"> </w:t>
      </w:r>
    </w:p>
    <w:p w:rsidR="00320A7D" w:rsidRPr="001D16DE" w:rsidRDefault="00BD0957" w:rsidP="008D4FB5">
      <w:pPr>
        <w:spacing w:before="0" w:after="240"/>
        <w:rPr>
          <w:noProof/>
        </w:rPr>
      </w:pPr>
      <w:r w:rsidRPr="001D16DE">
        <w:rPr>
          <w:noProof/>
        </w:rPr>
        <w:t>Th</w:t>
      </w:r>
      <w:r w:rsidR="00090EDC" w:rsidRPr="001D16DE">
        <w:rPr>
          <w:noProof/>
        </w:rPr>
        <w:t>is</w:t>
      </w:r>
      <w:r w:rsidR="004809DF">
        <w:rPr>
          <w:noProof/>
        </w:rPr>
        <w:t xml:space="preserve"> </w:t>
      </w:r>
      <w:r w:rsidR="00953689">
        <w:rPr>
          <w:noProof/>
        </w:rPr>
        <w:t>open public consultation found that verify</w:t>
      </w:r>
      <w:r w:rsidR="007F3497">
        <w:rPr>
          <w:noProof/>
        </w:rPr>
        <w:t>ing</w:t>
      </w:r>
      <w:r w:rsidR="00953689">
        <w:rPr>
          <w:noProof/>
        </w:rPr>
        <w:t xml:space="preserve"> the reliability of environmental claims </w:t>
      </w:r>
      <w:r w:rsidR="00320A7D" w:rsidRPr="001D16DE">
        <w:rPr>
          <w:noProof/>
        </w:rPr>
        <w:t xml:space="preserve">about </w:t>
      </w:r>
      <w:r w:rsidR="00953689">
        <w:rPr>
          <w:noProof/>
        </w:rPr>
        <w:t xml:space="preserve">products was the biggest obstacle to </w:t>
      </w:r>
      <w:r w:rsidR="007C5112" w:rsidRPr="001D16DE">
        <w:rPr>
          <w:noProof/>
        </w:rPr>
        <w:t>improve</w:t>
      </w:r>
      <w:r w:rsidR="00953689" w:rsidRPr="001D16DE">
        <w:rPr>
          <w:noProof/>
        </w:rPr>
        <w:t>d</w:t>
      </w:r>
      <w:r w:rsidR="00953689">
        <w:rPr>
          <w:noProof/>
        </w:rPr>
        <w:t xml:space="preserve"> consumer participation in the green transition and towards more sustainable consumption behaviour</w:t>
      </w:r>
      <w:r w:rsidR="00FD46F7">
        <w:rPr>
          <w:noProof/>
        </w:rPr>
        <w:t>. C</w:t>
      </w:r>
      <w:r w:rsidR="007F3497">
        <w:rPr>
          <w:noProof/>
        </w:rPr>
        <w:t>onsumer</w:t>
      </w:r>
      <w:r w:rsidR="00FA2A7C">
        <w:rPr>
          <w:noProof/>
        </w:rPr>
        <w:t xml:space="preserve"> organisations</w:t>
      </w:r>
      <w:r w:rsidR="00246891">
        <w:rPr>
          <w:noProof/>
        </w:rPr>
        <w:t xml:space="preserve"> were more likely than business associations to identify </w:t>
      </w:r>
      <w:r w:rsidR="00320A7D" w:rsidRPr="001D16DE">
        <w:rPr>
          <w:noProof/>
        </w:rPr>
        <w:t>this</w:t>
      </w:r>
      <w:r w:rsidR="00FA2A7C">
        <w:rPr>
          <w:noProof/>
        </w:rPr>
        <w:t xml:space="preserve"> as an obstacle</w:t>
      </w:r>
      <w:r w:rsidR="00953689">
        <w:rPr>
          <w:noProof/>
        </w:rPr>
        <w:t xml:space="preserve">. </w:t>
      </w:r>
    </w:p>
    <w:p w:rsidR="00320A7D" w:rsidRPr="001D16DE" w:rsidRDefault="00953689" w:rsidP="008D4FB5">
      <w:pPr>
        <w:spacing w:before="0" w:after="240"/>
        <w:rPr>
          <w:noProof/>
        </w:rPr>
      </w:pPr>
      <w:r>
        <w:rPr>
          <w:noProof/>
        </w:rPr>
        <w:t>Most respondents had experienced the unexpected failure of a product in the last three years. I</w:t>
      </w:r>
      <w:r w:rsidR="00DD4986">
        <w:rPr>
          <w:noProof/>
        </w:rPr>
        <w:t>C</w:t>
      </w:r>
      <w:r>
        <w:rPr>
          <w:noProof/>
        </w:rPr>
        <w:t>T products were identified as most problematic, followed by small household appliances and clothing and footwear.</w:t>
      </w:r>
      <w:r w:rsidR="00B0145D">
        <w:rPr>
          <w:noProof/>
        </w:rPr>
        <w:t xml:space="preserve"> </w:t>
      </w:r>
    </w:p>
    <w:p w:rsidR="00320A7D" w:rsidRPr="001D16DE" w:rsidRDefault="00953689" w:rsidP="008D4FB5">
      <w:pPr>
        <w:spacing w:before="0" w:after="240"/>
        <w:rPr>
          <w:noProof/>
        </w:rPr>
      </w:pPr>
      <w:r>
        <w:rPr>
          <w:noProof/>
        </w:rPr>
        <w:t xml:space="preserve">‘Information about the reparability of the product’ was identified as the option most </w:t>
      </w:r>
      <w:r w:rsidR="00320A7D" w:rsidRPr="001D16DE">
        <w:rPr>
          <w:noProof/>
        </w:rPr>
        <w:t xml:space="preserve">likely </w:t>
      </w:r>
      <w:r>
        <w:rPr>
          <w:noProof/>
        </w:rPr>
        <w:t>to enable consumers to choose more sustainable products and participate in the circular economy. This was strongly favoured by public authorities and citizens, but not by companies/business organisations, who instead favoured the provision of ‘</w:t>
      </w:r>
      <w:r w:rsidR="00320A7D" w:rsidRPr="004F0D04">
        <w:rPr>
          <w:i/>
          <w:noProof/>
        </w:rPr>
        <w:t>i</w:t>
      </w:r>
      <w:r w:rsidRPr="004F0D04">
        <w:rPr>
          <w:i/>
          <w:noProof/>
        </w:rPr>
        <w:t>nformation on the product’s life-cycle environmental and climate footprint</w:t>
      </w:r>
      <w:r>
        <w:rPr>
          <w:noProof/>
        </w:rPr>
        <w:t xml:space="preserve">’. This was also rated as the second-best option </w:t>
      </w:r>
      <w:r w:rsidR="008C4180">
        <w:rPr>
          <w:noProof/>
        </w:rPr>
        <w:t xml:space="preserve">overall. </w:t>
      </w:r>
    </w:p>
    <w:p w:rsidR="00953689" w:rsidRDefault="008C4180" w:rsidP="008D4FB5">
      <w:pPr>
        <w:spacing w:before="0" w:after="240"/>
        <w:rPr>
          <w:noProof/>
        </w:rPr>
      </w:pPr>
      <w:r>
        <w:rPr>
          <w:noProof/>
        </w:rPr>
        <w:t>Providing</w:t>
      </w:r>
      <w:r w:rsidR="00953689">
        <w:rPr>
          <w:noProof/>
        </w:rPr>
        <w:t xml:space="preserve"> better information on products’ durability/lifespan was identified as the best option to empower consumers </w:t>
      </w:r>
      <w:r w:rsidR="00320A7D" w:rsidRPr="001D16DE">
        <w:rPr>
          <w:noProof/>
        </w:rPr>
        <w:t>in</w:t>
      </w:r>
      <w:r w:rsidR="00953689">
        <w:rPr>
          <w:noProof/>
        </w:rPr>
        <w:t xml:space="preserve"> the green transition. This was strongly favoured by consumer </w:t>
      </w:r>
      <w:r>
        <w:rPr>
          <w:noProof/>
        </w:rPr>
        <w:t>organisations and</w:t>
      </w:r>
      <w:r w:rsidR="00953689">
        <w:rPr>
          <w:noProof/>
        </w:rPr>
        <w:t xml:space="preserve"> citizens, but not by company/business organisations or business associations, who favoured ‘</w:t>
      </w:r>
      <w:r w:rsidR="00320A7D" w:rsidRPr="004F0D04">
        <w:rPr>
          <w:i/>
          <w:noProof/>
        </w:rPr>
        <w:t>r</w:t>
      </w:r>
      <w:r w:rsidR="00953689" w:rsidRPr="004F0D04">
        <w:rPr>
          <w:i/>
          <w:noProof/>
        </w:rPr>
        <w:t>aising awareness about the role of consumers on circular economy and green transition</w:t>
      </w:r>
      <w:r w:rsidR="00953689">
        <w:rPr>
          <w:noProof/>
        </w:rPr>
        <w:t>’.</w:t>
      </w:r>
    </w:p>
    <w:p w:rsidR="00BD0957" w:rsidRPr="004F0D04" w:rsidRDefault="00BD0957" w:rsidP="008D4FB5">
      <w:pPr>
        <w:spacing w:before="0" w:after="240"/>
        <w:rPr>
          <w:i/>
          <w:noProof/>
        </w:rPr>
      </w:pPr>
      <w:r w:rsidRPr="004F0D04">
        <w:rPr>
          <w:i/>
          <w:noProof/>
        </w:rPr>
        <w:t>T</w:t>
      </w:r>
      <w:r w:rsidR="00906BBD" w:rsidRPr="004F0D04">
        <w:rPr>
          <w:i/>
          <w:noProof/>
        </w:rPr>
        <w:t xml:space="preserve">argeted consultation </w:t>
      </w:r>
    </w:p>
    <w:p w:rsidR="00674F82" w:rsidRPr="001D16DE" w:rsidRDefault="00090EDC" w:rsidP="008D4FB5">
      <w:pPr>
        <w:spacing w:before="0" w:after="240"/>
        <w:rPr>
          <w:noProof/>
        </w:rPr>
      </w:pPr>
      <w:r w:rsidRPr="001D16DE">
        <w:rPr>
          <w:noProof/>
        </w:rPr>
        <w:t xml:space="preserve">In this consultation – </w:t>
      </w:r>
      <w:r w:rsidR="00906BBD">
        <w:rPr>
          <w:noProof/>
        </w:rPr>
        <w:t xml:space="preserve">conducted to </w:t>
      </w:r>
      <w:r w:rsidR="00674F82" w:rsidRPr="001D16DE">
        <w:rPr>
          <w:noProof/>
        </w:rPr>
        <w:t xml:space="preserve">expand on </w:t>
      </w:r>
      <w:r w:rsidR="00906BBD">
        <w:rPr>
          <w:noProof/>
        </w:rPr>
        <w:t>the feedback collected i</w:t>
      </w:r>
      <w:r w:rsidR="004809DF">
        <w:rPr>
          <w:noProof/>
        </w:rPr>
        <w:t xml:space="preserve">n the </w:t>
      </w:r>
      <w:r w:rsidR="00674F82" w:rsidRPr="001D16DE">
        <w:rPr>
          <w:noProof/>
        </w:rPr>
        <w:t xml:space="preserve">online </w:t>
      </w:r>
      <w:r w:rsidR="004809DF">
        <w:rPr>
          <w:noProof/>
        </w:rPr>
        <w:t>Open Public Consultation, a</w:t>
      </w:r>
      <w:r w:rsidR="00953689">
        <w:rPr>
          <w:noProof/>
        </w:rPr>
        <w:t xml:space="preserve">lmost all stakeholders (except those representing industry) </w:t>
      </w:r>
      <w:r w:rsidRPr="001D16DE">
        <w:rPr>
          <w:noProof/>
        </w:rPr>
        <w:t>agreed</w:t>
      </w:r>
      <w:r w:rsidR="00953689">
        <w:rPr>
          <w:noProof/>
        </w:rPr>
        <w:t xml:space="preserve"> with the view that consumers are not given, or do not have</w:t>
      </w:r>
      <w:r w:rsidR="003D0585">
        <w:rPr>
          <w:noProof/>
        </w:rPr>
        <w:t xml:space="preserve"> sufficient</w:t>
      </w:r>
      <w:r w:rsidR="00953689">
        <w:rPr>
          <w:noProof/>
        </w:rPr>
        <w:t xml:space="preserve"> access to</w:t>
      </w:r>
      <w:r w:rsidR="00A078FB">
        <w:rPr>
          <w:noProof/>
        </w:rPr>
        <w:t xml:space="preserve"> </w:t>
      </w:r>
      <w:r w:rsidR="00953689">
        <w:rPr>
          <w:noProof/>
        </w:rPr>
        <w:t xml:space="preserve">information on </w:t>
      </w:r>
      <w:r w:rsidR="00674F82" w:rsidRPr="001D16DE">
        <w:rPr>
          <w:noProof/>
        </w:rPr>
        <w:t xml:space="preserve">(i) </w:t>
      </w:r>
      <w:r w:rsidR="00953689">
        <w:rPr>
          <w:noProof/>
        </w:rPr>
        <w:t>products’ environmental impact</w:t>
      </w:r>
      <w:r w:rsidR="00A078FB">
        <w:rPr>
          <w:noProof/>
        </w:rPr>
        <w:t xml:space="preserve">, </w:t>
      </w:r>
      <w:r w:rsidR="00674F82" w:rsidRPr="001D16DE">
        <w:rPr>
          <w:noProof/>
        </w:rPr>
        <w:t xml:space="preserve">(ii) </w:t>
      </w:r>
      <w:r w:rsidR="00953689">
        <w:rPr>
          <w:noProof/>
        </w:rPr>
        <w:t>the lifespan of goods</w:t>
      </w:r>
      <w:r w:rsidR="00674F82" w:rsidRPr="001D16DE">
        <w:rPr>
          <w:noProof/>
        </w:rPr>
        <w:t>,</w:t>
      </w:r>
      <w:r w:rsidR="00953689" w:rsidRPr="001D16DE">
        <w:rPr>
          <w:noProof/>
        </w:rPr>
        <w:t xml:space="preserve"> </w:t>
      </w:r>
      <w:r w:rsidR="00674F82" w:rsidRPr="001D16DE">
        <w:rPr>
          <w:noProof/>
        </w:rPr>
        <w:t>(iii)</w:t>
      </w:r>
      <w:r w:rsidR="00953689">
        <w:rPr>
          <w:noProof/>
        </w:rPr>
        <w:t xml:space="preserve"> product-specific features that may lead to early failure</w:t>
      </w:r>
      <w:r w:rsidR="00A078FB">
        <w:rPr>
          <w:noProof/>
        </w:rPr>
        <w:t>,</w:t>
      </w:r>
      <w:r w:rsidR="00953689">
        <w:rPr>
          <w:noProof/>
        </w:rPr>
        <w:t xml:space="preserve"> and </w:t>
      </w:r>
      <w:r w:rsidR="00674F82" w:rsidRPr="001D16DE">
        <w:rPr>
          <w:noProof/>
        </w:rPr>
        <w:t xml:space="preserve">(iv) </w:t>
      </w:r>
      <w:r w:rsidR="00953689">
        <w:rPr>
          <w:noProof/>
        </w:rPr>
        <w:t xml:space="preserve">the availability of repair services spare parts and software updates/upgrades. </w:t>
      </w:r>
    </w:p>
    <w:p w:rsidR="00953689" w:rsidRDefault="00953689" w:rsidP="008D4FB5">
      <w:pPr>
        <w:spacing w:before="0" w:after="240"/>
        <w:rPr>
          <w:noProof/>
        </w:rPr>
      </w:pPr>
      <w:r>
        <w:rPr>
          <w:noProof/>
        </w:rPr>
        <w:t>Most consumer organisations considered that consumers are subjected to ‘greenwashing’ and that ‘premature obsolescence’ occurs to some extent</w:t>
      </w:r>
      <w:r w:rsidR="00A078FB">
        <w:rPr>
          <w:noProof/>
        </w:rPr>
        <w:t>.</w:t>
      </w:r>
      <w:r w:rsidR="00A2653F">
        <w:rPr>
          <w:noProof/>
        </w:rPr>
        <w:t xml:space="preserve"> </w:t>
      </w:r>
      <w:r w:rsidR="00A078FB">
        <w:rPr>
          <w:noProof/>
        </w:rPr>
        <w:t>R</w:t>
      </w:r>
      <w:r>
        <w:rPr>
          <w:noProof/>
        </w:rPr>
        <w:t>epresentatives from industry tended to disagree. The proliferation of sustainability labels was also identified as a problem by most stakeholder groups.</w:t>
      </w:r>
    </w:p>
    <w:p w:rsidR="00BD0957" w:rsidRPr="004F0D04" w:rsidRDefault="00BD0957" w:rsidP="008D4FB5">
      <w:pPr>
        <w:spacing w:before="0" w:after="240"/>
        <w:rPr>
          <w:i/>
          <w:noProof/>
        </w:rPr>
      </w:pPr>
      <w:r w:rsidRPr="004F0D04">
        <w:rPr>
          <w:i/>
          <w:noProof/>
        </w:rPr>
        <w:t>C</w:t>
      </w:r>
      <w:r w:rsidR="004809DF" w:rsidRPr="004F0D04">
        <w:rPr>
          <w:i/>
          <w:noProof/>
        </w:rPr>
        <w:t xml:space="preserve">omputer-assisted telephone interview </w:t>
      </w:r>
      <w:r w:rsidR="00953689" w:rsidRPr="004F0D04">
        <w:rPr>
          <w:i/>
          <w:noProof/>
        </w:rPr>
        <w:t>survey</w:t>
      </w:r>
    </w:p>
    <w:p w:rsidR="00B73267" w:rsidRPr="001D16DE" w:rsidRDefault="00BD0957" w:rsidP="008D4FB5">
      <w:pPr>
        <w:spacing w:before="0" w:after="240"/>
        <w:rPr>
          <w:noProof/>
        </w:rPr>
      </w:pPr>
      <w:r w:rsidRPr="00DD4986">
        <w:rPr>
          <w:noProof/>
        </w:rPr>
        <w:t>M</w:t>
      </w:r>
      <w:r w:rsidR="00953689">
        <w:rPr>
          <w:noProof/>
        </w:rPr>
        <w:t xml:space="preserve">anufacturers and retailers were asked to indicate the scale of impact and cost of </w:t>
      </w:r>
      <w:r w:rsidR="00953689" w:rsidRPr="001D16DE">
        <w:rPr>
          <w:noProof/>
        </w:rPr>
        <w:t>introducin</w:t>
      </w:r>
      <w:r w:rsidR="00B73267" w:rsidRPr="001D16DE">
        <w:rPr>
          <w:noProof/>
        </w:rPr>
        <w:t>g</w:t>
      </w:r>
      <w:r w:rsidR="00953689">
        <w:rPr>
          <w:noProof/>
        </w:rPr>
        <w:t xml:space="preserve"> various legal requirements</w:t>
      </w:r>
      <w:r w:rsidR="00D3028D">
        <w:rPr>
          <w:noProof/>
        </w:rPr>
        <w:t xml:space="preserve"> </w:t>
      </w:r>
      <w:r w:rsidR="00B73267" w:rsidRPr="001D16DE">
        <w:rPr>
          <w:noProof/>
        </w:rPr>
        <w:t>on</w:t>
      </w:r>
      <w:r w:rsidR="00D3028D">
        <w:rPr>
          <w:noProof/>
        </w:rPr>
        <w:t xml:space="preserve"> their organisation</w:t>
      </w:r>
      <w:r w:rsidR="00953689">
        <w:rPr>
          <w:noProof/>
        </w:rPr>
        <w:t xml:space="preserve">. </w:t>
      </w:r>
      <w:r w:rsidR="00B73267" w:rsidRPr="001D16DE">
        <w:rPr>
          <w:noProof/>
        </w:rPr>
        <w:t>The responses for each requirement were as follows:</w:t>
      </w:r>
      <w:r w:rsidR="00953689" w:rsidRPr="001D16DE">
        <w:rPr>
          <w:noProof/>
        </w:rPr>
        <w:t xml:space="preserve"> </w:t>
      </w:r>
    </w:p>
    <w:p w:rsidR="00B73267" w:rsidRPr="00BF6A96" w:rsidRDefault="00953689" w:rsidP="00AA5DB8">
      <w:pPr>
        <w:pStyle w:val="Bullet0"/>
        <w:rPr>
          <w:noProof/>
        </w:rPr>
      </w:pPr>
      <w:r w:rsidRPr="006C6B6C">
        <w:rPr>
          <w:noProof/>
        </w:rPr>
        <w:t>‘</w:t>
      </w:r>
      <w:r w:rsidRPr="00AA5DB8">
        <w:rPr>
          <w:noProof/>
        </w:rPr>
        <w:t>Provide information on aspects in the product’s design that can cause its early failure</w:t>
      </w:r>
      <w:r w:rsidRPr="006C6B6C">
        <w:rPr>
          <w:noProof/>
        </w:rPr>
        <w:t xml:space="preserve">’ would have the biggest impact and would be most costly. </w:t>
      </w:r>
    </w:p>
    <w:p w:rsidR="00B73267" w:rsidRPr="006C6B6C" w:rsidRDefault="00953689" w:rsidP="00AA5DB8">
      <w:pPr>
        <w:pStyle w:val="Bullet0"/>
        <w:rPr>
          <w:noProof/>
        </w:rPr>
      </w:pPr>
      <w:r w:rsidRPr="00BF6A96">
        <w:rPr>
          <w:noProof/>
        </w:rPr>
        <w:t>‘</w:t>
      </w:r>
      <w:r w:rsidRPr="00AA5DB8">
        <w:rPr>
          <w:noProof/>
        </w:rPr>
        <w:t>Stronger consumer protection against planned (intentional) obsolescence practices</w:t>
      </w:r>
      <w:r w:rsidRPr="006C6B6C">
        <w:rPr>
          <w:noProof/>
        </w:rPr>
        <w:t xml:space="preserve">’ would have the lowest impact </w:t>
      </w:r>
    </w:p>
    <w:p w:rsidR="00953689" w:rsidRPr="006C6B6C" w:rsidRDefault="00953689" w:rsidP="00AA5DB8">
      <w:pPr>
        <w:pStyle w:val="Bullet0"/>
        <w:rPr>
          <w:noProof/>
        </w:rPr>
      </w:pPr>
      <w:r w:rsidRPr="00BF6A96">
        <w:rPr>
          <w:noProof/>
        </w:rPr>
        <w:t>‘</w:t>
      </w:r>
      <w:r w:rsidRPr="00AA5DB8">
        <w:rPr>
          <w:noProof/>
        </w:rPr>
        <w:t>Obligation to provide information on the duration of the commercial guarantee for all products</w:t>
      </w:r>
      <w:r w:rsidRPr="006C6B6C">
        <w:rPr>
          <w:noProof/>
        </w:rPr>
        <w:t xml:space="preserve">’ and </w:t>
      </w:r>
      <w:r w:rsidR="00B73267" w:rsidRPr="00DD4986">
        <w:rPr>
          <w:noProof/>
        </w:rPr>
        <w:t xml:space="preserve">the </w:t>
      </w:r>
      <w:r w:rsidRPr="00BF6A96">
        <w:rPr>
          <w:noProof/>
        </w:rPr>
        <w:t>‘</w:t>
      </w:r>
      <w:r w:rsidRPr="00AA5DB8">
        <w:rPr>
          <w:noProof/>
        </w:rPr>
        <w:t>Obligation to expressly inform the consumer that no commercial guarantee of durability</w:t>
      </w:r>
      <w:r w:rsidR="0061798A" w:rsidRPr="00AA5DB8">
        <w:rPr>
          <w:noProof/>
        </w:rPr>
        <w:t xml:space="preserve"> </w:t>
      </w:r>
      <w:r w:rsidRPr="00AA5DB8">
        <w:rPr>
          <w:noProof/>
        </w:rPr>
        <w:t>is provided for the given product</w:t>
      </w:r>
      <w:r w:rsidRPr="006C6B6C">
        <w:rPr>
          <w:noProof/>
        </w:rPr>
        <w:t>’ would be least costly.</w:t>
      </w:r>
    </w:p>
    <w:p w:rsidR="005F035D" w:rsidRPr="004F0D04" w:rsidRDefault="005F035D" w:rsidP="008D4FB5">
      <w:pPr>
        <w:spacing w:before="0" w:after="240"/>
        <w:rPr>
          <w:i/>
          <w:noProof/>
        </w:rPr>
      </w:pPr>
      <w:r w:rsidRPr="004F0D04">
        <w:rPr>
          <w:i/>
          <w:noProof/>
        </w:rPr>
        <w:t>O</w:t>
      </w:r>
      <w:r w:rsidR="004809DF" w:rsidRPr="004F0D04">
        <w:rPr>
          <w:i/>
          <w:noProof/>
        </w:rPr>
        <w:t>nline consumer survey</w:t>
      </w:r>
      <w:r w:rsidR="00906BBD" w:rsidRPr="004F0D04">
        <w:rPr>
          <w:i/>
          <w:noProof/>
        </w:rPr>
        <w:t xml:space="preserve"> </w:t>
      </w:r>
    </w:p>
    <w:p w:rsidR="00906BBD" w:rsidRDefault="005F035D" w:rsidP="008D4FB5">
      <w:pPr>
        <w:spacing w:before="0" w:after="240"/>
        <w:rPr>
          <w:noProof/>
        </w:rPr>
      </w:pPr>
      <w:r w:rsidRPr="001D16DE">
        <w:rPr>
          <w:noProof/>
        </w:rPr>
        <w:t>The survey</w:t>
      </w:r>
      <w:r w:rsidR="00953689">
        <w:rPr>
          <w:noProof/>
        </w:rPr>
        <w:t xml:space="preserve"> found that consumers </w:t>
      </w:r>
      <w:r w:rsidR="00953689" w:rsidRPr="001D16DE">
        <w:rPr>
          <w:noProof/>
        </w:rPr>
        <w:t>a</w:t>
      </w:r>
      <w:r w:rsidRPr="001D16DE">
        <w:rPr>
          <w:noProof/>
        </w:rPr>
        <w:t>ppear</w:t>
      </w:r>
      <w:r w:rsidR="00953689">
        <w:rPr>
          <w:noProof/>
        </w:rPr>
        <w:t xml:space="preserve"> </w:t>
      </w:r>
      <w:r w:rsidRPr="001D16DE">
        <w:rPr>
          <w:noProof/>
        </w:rPr>
        <w:t xml:space="preserve">to be </w:t>
      </w:r>
      <w:r w:rsidR="00953689">
        <w:rPr>
          <w:noProof/>
        </w:rPr>
        <w:t xml:space="preserve">open to participating in the green transition. Most respondents were unwilling to pay for information (e.g. via an app) on the durability and reparability of ‘durable goods’. Around half </w:t>
      </w:r>
      <w:r w:rsidR="00A078FB">
        <w:rPr>
          <w:noProof/>
        </w:rPr>
        <w:t>of respondent</w:t>
      </w:r>
      <w:r w:rsidR="005B3818">
        <w:rPr>
          <w:noProof/>
        </w:rPr>
        <w:t>s</w:t>
      </w:r>
      <w:r w:rsidR="00953689">
        <w:rPr>
          <w:noProof/>
        </w:rPr>
        <w:t xml:space="preserve"> </w:t>
      </w:r>
      <w:r w:rsidR="000317D0">
        <w:rPr>
          <w:noProof/>
        </w:rPr>
        <w:t xml:space="preserve">said they </w:t>
      </w:r>
      <w:r w:rsidR="00953689">
        <w:rPr>
          <w:noProof/>
        </w:rPr>
        <w:t>were willing to pay extra on top of the initial price for a product that lasts longer without having to be repaired</w:t>
      </w:r>
      <w:r w:rsidR="00A078FB">
        <w:rPr>
          <w:noProof/>
        </w:rPr>
        <w:t>,</w:t>
      </w:r>
      <w:r w:rsidR="00953689">
        <w:rPr>
          <w:noProof/>
        </w:rPr>
        <w:t xml:space="preserve"> and a similar proportion </w:t>
      </w:r>
      <w:r w:rsidR="000317D0">
        <w:rPr>
          <w:noProof/>
        </w:rPr>
        <w:t xml:space="preserve">said they </w:t>
      </w:r>
      <w:r w:rsidR="00953689">
        <w:rPr>
          <w:noProof/>
        </w:rPr>
        <w:t xml:space="preserve">were willing to pay extra for an identical product that lasts longer with minor/reasonable repairs. An even larger share </w:t>
      </w:r>
      <w:r w:rsidR="000317D0">
        <w:rPr>
          <w:noProof/>
        </w:rPr>
        <w:t xml:space="preserve">said they </w:t>
      </w:r>
      <w:r w:rsidR="00953689">
        <w:rPr>
          <w:noProof/>
        </w:rPr>
        <w:t>were willing to pay extra for an identical product covered by a commercial guarantee that would cover the cost of repairs. The ‘</w:t>
      </w:r>
      <w:r w:rsidR="00953689" w:rsidRPr="004F0D04">
        <w:rPr>
          <w:i/>
          <w:noProof/>
        </w:rPr>
        <w:t>Perceived higher price of environmentally-friendly products</w:t>
      </w:r>
      <w:r w:rsidR="00953689">
        <w:rPr>
          <w:noProof/>
        </w:rPr>
        <w:t>’ was identified as the main obstacle that prevents consumers from adopting more sustainable behaviours and ‘</w:t>
      </w:r>
      <w:r w:rsidR="00953689" w:rsidRPr="004F0D04">
        <w:rPr>
          <w:i/>
          <w:noProof/>
        </w:rPr>
        <w:t>Providing better information on products’ durability/lifespan</w:t>
      </w:r>
      <w:r w:rsidR="00953689">
        <w:rPr>
          <w:noProof/>
        </w:rPr>
        <w:t>’ and ‘</w:t>
      </w:r>
      <w:r w:rsidR="00953689" w:rsidRPr="004F0D04">
        <w:rPr>
          <w:i/>
          <w:noProof/>
        </w:rPr>
        <w:t>Providing better consumer information on the life-cycle environmental and climate footprint of the product</w:t>
      </w:r>
      <w:r w:rsidR="00953689">
        <w:rPr>
          <w:noProof/>
        </w:rPr>
        <w:t xml:space="preserve">’ were identified as the most effective options to help consumers choose more environmentally sustainable products. </w:t>
      </w:r>
    </w:p>
    <w:p w:rsidR="00CC4A06" w:rsidRPr="004F0D04" w:rsidRDefault="00CC4A06" w:rsidP="008D4FB5">
      <w:pPr>
        <w:spacing w:before="0" w:after="240"/>
        <w:rPr>
          <w:i/>
          <w:noProof/>
        </w:rPr>
      </w:pPr>
      <w:r w:rsidRPr="004F0D04">
        <w:rPr>
          <w:i/>
          <w:noProof/>
        </w:rPr>
        <w:t xml:space="preserve">Expert </w:t>
      </w:r>
      <w:r w:rsidR="004809DF" w:rsidRPr="004F0D04">
        <w:rPr>
          <w:i/>
          <w:noProof/>
        </w:rPr>
        <w:t xml:space="preserve">workshops </w:t>
      </w:r>
    </w:p>
    <w:p w:rsidR="00CC4A06" w:rsidRPr="004F0D04" w:rsidRDefault="00CC4A06" w:rsidP="004F0D04">
      <w:pPr>
        <w:spacing w:before="0"/>
        <w:rPr>
          <w:b/>
          <w:noProof/>
        </w:rPr>
      </w:pPr>
      <w:r w:rsidRPr="004F0D04">
        <w:rPr>
          <w:b/>
          <w:noProof/>
        </w:rPr>
        <w:t>1</w:t>
      </w:r>
      <w:r w:rsidRPr="004F0D04">
        <w:rPr>
          <w:b/>
          <w:noProof/>
          <w:vertAlign w:val="superscript"/>
        </w:rPr>
        <w:t>st</w:t>
      </w:r>
      <w:r w:rsidRPr="004F0D04">
        <w:rPr>
          <w:b/>
          <w:noProof/>
        </w:rPr>
        <w:t xml:space="preserve"> workshop </w:t>
      </w:r>
    </w:p>
    <w:p w:rsidR="00DD4986" w:rsidRPr="00BF6A96" w:rsidRDefault="00CC4A06" w:rsidP="000A4225">
      <w:pPr>
        <w:spacing w:before="0"/>
        <w:rPr>
          <w:noProof/>
        </w:rPr>
      </w:pPr>
      <w:r w:rsidRPr="004F0D04">
        <w:rPr>
          <w:noProof/>
        </w:rPr>
        <w:t>C</w:t>
      </w:r>
      <w:r w:rsidR="002C1DA1">
        <w:rPr>
          <w:noProof/>
        </w:rPr>
        <w:t>ollected</w:t>
      </w:r>
      <w:r w:rsidR="00906BBD">
        <w:rPr>
          <w:noProof/>
        </w:rPr>
        <w:t xml:space="preserve"> views on the </w:t>
      </w:r>
      <w:r w:rsidR="00906BBD" w:rsidRPr="004F0D04">
        <w:rPr>
          <w:b/>
          <w:noProof/>
        </w:rPr>
        <w:t>extent of the problems</w:t>
      </w:r>
      <w:r w:rsidR="00906BBD">
        <w:rPr>
          <w:noProof/>
        </w:rPr>
        <w:t xml:space="preserve"> and </w:t>
      </w:r>
      <w:r w:rsidR="00906BBD" w:rsidRPr="004F0D04">
        <w:rPr>
          <w:b/>
          <w:noProof/>
        </w:rPr>
        <w:t xml:space="preserve">examples of effective </w:t>
      </w:r>
      <w:r w:rsidR="007C5112" w:rsidRPr="004F0D04">
        <w:rPr>
          <w:b/>
          <w:noProof/>
        </w:rPr>
        <w:t>action</w:t>
      </w:r>
      <w:r w:rsidR="00906BBD" w:rsidRPr="001D16DE">
        <w:rPr>
          <w:noProof/>
        </w:rPr>
        <w:t xml:space="preserve">. </w:t>
      </w:r>
      <w:r w:rsidRPr="001D16DE">
        <w:rPr>
          <w:noProof/>
        </w:rPr>
        <w:t>It</w:t>
      </w:r>
      <w:r w:rsidR="004809DF">
        <w:rPr>
          <w:noProof/>
        </w:rPr>
        <w:t xml:space="preserve"> validated many of the findings from the other strands of consultation.</w:t>
      </w:r>
      <w:r w:rsidR="00F86E94">
        <w:rPr>
          <w:noProof/>
        </w:rPr>
        <w:t xml:space="preserve"> </w:t>
      </w:r>
      <w:r w:rsidR="004809DF" w:rsidRPr="006C6B6C">
        <w:rPr>
          <w:noProof/>
        </w:rPr>
        <w:t>It was largely agreed that greenwashing occurs and that information on product durability can be difficult to obtain.</w:t>
      </w:r>
      <w:r w:rsidR="00F86E94">
        <w:rPr>
          <w:noProof/>
        </w:rPr>
        <w:t xml:space="preserve"> </w:t>
      </w:r>
      <w:r w:rsidR="004809DF" w:rsidRPr="00BF6A96">
        <w:rPr>
          <w:noProof/>
        </w:rPr>
        <w:t xml:space="preserve">Doubts were raised that products are intentionally designed to fail early. </w:t>
      </w:r>
    </w:p>
    <w:p w:rsidR="00CC4A06" w:rsidRPr="004F0D04" w:rsidRDefault="00CC4A06" w:rsidP="00DD4986">
      <w:pPr>
        <w:spacing w:after="240"/>
        <w:rPr>
          <w:b/>
          <w:noProof/>
        </w:rPr>
      </w:pPr>
      <w:r w:rsidRPr="001D16DE">
        <w:rPr>
          <w:b/>
          <w:noProof/>
        </w:rPr>
        <w:t>2</w:t>
      </w:r>
      <w:r w:rsidRPr="004F0D04">
        <w:rPr>
          <w:b/>
          <w:noProof/>
          <w:vertAlign w:val="superscript"/>
        </w:rPr>
        <w:t>nd</w:t>
      </w:r>
      <w:r w:rsidRPr="001D16DE">
        <w:rPr>
          <w:b/>
          <w:noProof/>
        </w:rPr>
        <w:t xml:space="preserve"> w</w:t>
      </w:r>
      <w:r w:rsidR="004809DF" w:rsidRPr="004F0D04">
        <w:rPr>
          <w:b/>
          <w:noProof/>
        </w:rPr>
        <w:t>orkshop</w:t>
      </w:r>
      <w:r w:rsidR="00906BBD" w:rsidRPr="004F0D04">
        <w:rPr>
          <w:b/>
          <w:noProof/>
        </w:rPr>
        <w:t xml:space="preserve"> </w:t>
      </w:r>
    </w:p>
    <w:p w:rsidR="00CC4A06" w:rsidRPr="001D16DE" w:rsidRDefault="00CC4A06" w:rsidP="004F0D04">
      <w:pPr>
        <w:spacing w:after="240"/>
        <w:rPr>
          <w:noProof/>
        </w:rPr>
      </w:pPr>
      <w:r w:rsidRPr="001D16DE">
        <w:rPr>
          <w:noProof/>
        </w:rPr>
        <w:t>C</w:t>
      </w:r>
      <w:r w:rsidR="00906BBD" w:rsidRPr="001D16DE">
        <w:rPr>
          <w:noProof/>
        </w:rPr>
        <w:t>ollect</w:t>
      </w:r>
      <w:r w:rsidRPr="001D16DE">
        <w:rPr>
          <w:noProof/>
        </w:rPr>
        <w:t>ed</w:t>
      </w:r>
      <w:r w:rsidR="00906BBD">
        <w:rPr>
          <w:noProof/>
        </w:rPr>
        <w:t xml:space="preserve"> views </w:t>
      </w:r>
      <w:r w:rsidRPr="001D16DE">
        <w:rPr>
          <w:noProof/>
        </w:rPr>
        <w:t xml:space="preserve">of </w:t>
      </w:r>
      <w:r w:rsidRPr="001D16DE">
        <w:rPr>
          <w:b/>
          <w:noProof/>
        </w:rPr>
        <w:t>industry associations</w:t>
      </w:r>
      <w:r w:rsidRPr="001D16DE">
        <w:rPr>
          <w:noProof/>
        </w:rPr>
        <w:t xml:space="preserve"> </w:t>
      </w:r>
      <w:r w:rsidR="00906BBD">
        <w:rPr>
          <w:noProof/>
        </w:rPr>
        <w:t xml:space="preserve">on how digital means can be used to provide product information. </w:t>
      </w:r>
      <w:r w:rsidR="00F65D84">
        <w:rPr>
          <w:noProof/>
        </w:rPr>
        <w:t>It</w:t>
      </w:r>
      <w:r w:rsidR="004809DF">
        <w:rPr>
          <w:noProof/>
        </w:rPr>
        <w:t xml:space="preserve"> highlighted some of the opportunities that digital tools (e.g. QR codes, e-labels) offer for conveying mandatory product information and simplifying product labels. </w:t>
      </w:r>
    </w:p>
    <w:p w:rsidR="00CC4A06" w:rsidRPr="001D16DE" w:rsidRDefault="004809DF" w:rsidP="00DD4986">
      <w:pPr>
        <w:spacing w:after="240"/>
        <w:rPr>
          <w:noProof/>
        </w:rPr>
      </w:pPr>
      <w:r>
        <w:rPr>
          <w:noProof/>
        </w:rPr>
        <w:t xml:space="preserve">It also highlighted some of the challenges, particularly for SMEs who may need financial support to implement these tools and for vulnerable consumers who do not have access to, or who cannot use, them. </w:t>
      </w:r>
    </w:p>
    <w:p w:rsidR="00CC4A06" w:rsidRPr="004F0D04" w:rsidRDefault="00CC4A06" w:rsidP="00DD4986">
      <w:pPr>
        <w:spacing w:after="240"/>
        <w:rPr>
          <w:b/>
          <w:noProof/>
        </w:rPr>
      </w:pPr>
      <w:r w:rsidRPr="001D16DE">
        <w:rPr>
          <w:b/>
          <w:noProof/>
        </w:rPr>
        <w:t>3</w:t>
      </w:r>
      <w:r w:rsidRPr="00DD4986">
        <w:rPr>
          <w:b/>
          <w:noProof/>
          <w:vertAlign w:val="superscript"/>
        </w:rPr>
        <w:t>rd</w:t>
      </w:r>
      <w:r w:rsidRPr="001D16DE">
        <w:rPr>
          <w:b/>
          <w:noProof/>
        </w:rPr>
        <w:t xml:space="preserve"> </w:t>
      </w:r>
      <w:r w:rsidR="004809DF" w:rsidRPr="004F0D04">
        <w:rPr>
          <w:b/>
          <w:noProof/>
        </w:rPr>
        <w:t>workshop</w:t>
      </w:r>
      <w:r w:rsidR="00906BBD" w:rsidRPr="004F0D04">
        <w:rPr>
          <w:b/>
          <w:noProof/>
        </w:rPr>
        <w:t xml:space="preserve"> </w:t>
      </w:r>
    </w:p>
    <w:p w:rsidR="00CC4A06" w:rsidRPr="001D16DE" w:rsidRDefault="00CC4A06" w:rsidP="004F0D04">
      <w:pPr>
        <w:spacing w:after="240"/>
        <w:rPr>
          <w:noProof/>
        </w:rPr>
      </w:pPr>
      <w:r w:rsidRPr="001D16DE">
        <w:rPr>
          <w:noProof/>
        </w:rPr>
        <w:t>C</w:t>
      </w:r>
      <w:r w:rsidR="00906BBD" w:rsidRPr="001D16DE">
        <w:rPr>
          <w:noProof/>
        </w:rPr>
        <w:t>ollect</w:t>
      </w:r>
      <w:r w:rsidRPr="001D16DE">
        <w:rPr>
          <w:noProof/>
        </w:rPr>
        <w:t>ed</w:t>
      </w:r>
      <w:r w:rsidR="00906BBD">
        <w:rPr>
          <w:noProof/>
        </w:rPr>
        <w:t xml:space="preserve"> feedback on possible </w:t>
      </w:r>
      <w:r w:rsidR="00906BBD" w:rsidRPr="004F0D04">
        <w:rPr>
          <w:b/>
          <w:noProof/>
        </w:rPr>
        <w:t xml:space="preserve">options to address the </w:t>
      </w:r>
      <w:r w:rsidR="00B0145D" w:rsidRPr="004F0D04">
        <w:rPr>
          <w:b/>
          <w:noProof/>
        </w:rPr>
        <w:t xml:space="preserve">various </w:t>
      </w:r>
      <w:r w:rsidR="00906BBD" w:rsidRPr="004F0D04">
        <w:rPr>
          <w:b/>
          <w:noProof/>
        </w:rPr>
        <w:t>problem</w:t>
      </w:r>
      <w:r w:rsidR="00B0145D" w:rsidRPr="004F0D04">
        <w:rPr>
          <w:b/>
          <w:noProof/>
        </w:rPr>
        <w:t>s</w:t>
      </w:r>
      <w:r w:rsidR="00906BBD">
        <w:rPr>
          <w:noProof/>
        </w:rPr>
        <w:t xml:space="preserve">. </w:t>
      </w:r>
      <w:r w:rsidR="00CF5212">
        <w:rPr>
          <w:noProof/>
        </w:rPr>
        <w:t>The workshop participants</w:t>
      </w:r>
      <w:r w:rsidR="004809DF">
        <w:rPr>
          <w:noProof/>
        </w:rPr>
        <w:t xml:space="preserve"> reiterated many of the same points that were raised in the previous consultation activities</w:t>
      </w:r>
      <w:r w:rsidR="00CF5212">
        <w:rPr>
          <w:noProof/>
        </w:rPr>
        <w:t xml:space="preserve"> and confirmed support for certain policy options under examination</w:t>
      </w:r>
      <w:r w:rsidR="004809DF">
        <w:rPr>
          <w:noProof/>
        </w:rPr>
        <w:t xml:space="preserve">. </w:t>
      </w:r>
    </w:p>
    <w:p w:rsidR="00CC4A06" w:rsidRPr="004F0D04" w:rsidRDefault="00CC4A06" w:rsidP="004F0D04">
      <w:pPr>
        <w:spacing w:after="240"/>
        <w:rPr>
          <w:b/>
          <w:noProof/>
        </w:rPr>
      </w:pPr>
      <w:r w:rsidRPr="004F0D04">
        <w:rPr>
          <w:b/>
          <w:noProof/>
        </w:rPr>
        <w:t>4</w:t>
      </w:r>
      <w:r w:rsidRPr="004F0D04">
        <w:rPr>
          <w:b/>
          <w:noProof/>
          <w:vertAlign w:val="superscript"/>
        </w:rPr>
        <w:t>th</w:t>
      </w:r>
      <w:r w:rsidR="00906BBD" w:rsidRPr="004F0D04">
        <w:rPr>
          <w:b/>
          <w:noProof/>
        </w:rPr>
        <w:t xml:space="preserve"> </w:t>
      </w:r>
      <w:r w:rsidR="004809DF" w:rsidRPr="004F0D04">
        <w:rPr>
          <w:b/>
          <w:noProof/>
        </w:rPr>
        <w:t xml:space="preserve">workshop </w:t>
      </w:r>
    </w:p>
    <w:p w:rsidR="00FA529E" w:rsidRDefault="00CC4A06" w:rsidP="004F0D04">
      <w:pPr>
        <w:spacing w:after="240"/>
        <w:rPr>
          <w:noProof/>
        </w:rPr>
      </w:pPr>
      <w:r w:rsidRPr="001D16DE">
        <w:rPr>
          <w:noProof/>
        </w:rPr>
        <w:t>C</w:t>
      </w:r>
      <w:r w:rsidR="002C1DA1">
        <w:rPr>
          <w:noProof/>
        </w:rPr>
        <w:t>ollected</w:t>
      </w:r>
      <w:r w:rsidR="00906BBD">
        <w:rPr>
          <w:noProof/>
        </w:rPr>
        <w:t xml:space="preserve"> the view</w:t>
      </w:r>
      <w:r w:rsidR="002C1DA1">
        <w:rPr>
          <w:noProof/>
        </w:rPr>
        <w:t>s</w:t>
      </w:r>
      <w:r w:rsidR="00906BBD">
        <w:rPr>
          <w:noProof/>
        </w:rPr>
        <w:t xml:space="preserve"> of </w:t>
      </w:r>
      <w:r w:rsidR="00906BBD" w:rsidRPr="004F0D04">
        <w:rPr>
          <w:b/>
          <w:noProof/>
        </w:rPr>
        <w:t>consumer protection enforcement authorities</w:t>
      </w:r>
      <w:r w:rsidR="00906BBD">
        <w:rPr>
          <w:noProof/>
        </w:rPr>
        <w:t xml:space="preserve"> (CPC authorities) on enforcement challenges. </w:t>
      </w:r>
      <w:r w:rsidR="00953689">
        <w:rPr>
          <w:noProof/>
        </w:rPr>
        <w:t xml:space="preserve">Participants highlighted the difficulty of proving intent with regard to planned obsolescence. </w:t>
      </w:r>
    </w:p>
    <w:p w:rsidR="00AE7695" w:rsidRDefault="00953689" w:rsidP="004F0D04">
      <w:pPr>
        <w:spacing w:after="240"/>
        <w:rPr>
          <w:noProof/>
        </w:rPr>
      </w:pPr>
      <w:r>
        <w:rPr>
          <w:noProof/>
        </w:rPr>
        <w:t xml:space="preserve">Public authorities noted that they lack technical expertise to be able to enforce </w:t>
      </w:r>
      <w:r w:rsidR="00F65D84">
        <w:rPr>
          <w:noProof/>
        </w:rPr>
        <w:t>environmental</w:t>
      </w:r>
      <w:r>
        <w:rPr>
          <w:noProof/>
        </w:rPr>
        <w:t xml:space="preserve"> claims, </w:t>
      </w:r>
      <w:r w:rsidR="000F63AA">
        <w:rPr>
          <w:noProof/>
        </w:rPr>
        <w:t xml:space="preserve">and </w:t>
      </w:r>
      <w:r>
        <w:rPr>
          <w:noProof/>
        </w:rPr>
        <w:t xml:space="preserve">were divided on whether enforcement of the current </w:t>
      </w:r>
      <w:r w:rsidR="00FA2A7C">
        <w:rPr>
          <w:noProof/>
        </w:rPr>
        <w:t xml:space="preserve">rules </w:t>
      </w:r>
      <w:r w:rsidR="00B4199F" w:rsidRPr="001D16DE">
        <w:rPr>
          <w:noProof/>
        </w:rPr>
        <w:t>in</w:t>
      </w:r>
      <w:r w:rsidR="00FA2A7C">
        <w:rPr>
          <w:noProof/>
        </w:rPr>
        <w:t xml:space="preserve"> the Unfair Commercial Practices Directive</w:t>
      </w:r>
      <w:r w:rsidR="00AE7695">
        <w:rPr>
          <w:noProof/>
        </w:rPr>
        <w:t xml:space="preserve"> is effective.</w:t>
      </w:r>
      <w:r w:rsidR="00FA529E">
        <w:rPr>
          <w:noProof/>
        </w:rPr>
        <w:t xml:space="preserve"> </w:t>
      </w:r>
    </w:p>
    <w:p w:rsidR="00665EFC" w:rsidRPr="004974C9" w:rsidRDefault="00665EFC" w:rsidP="00064846">
      <w:pPr>
        <w:pStyle w:val="Bullet0"/>
        <w:spacing w:after="240"/>
        <w:rPr>
          <w:b/>
          <w:noProof/>
          <w:u w:color="000000"/>
          <w:bdr w:val="nil"/>
        </w:rPr>
      </w:pPr>
      <w:r w:rsidRPr="004F0D04">
        <w:rPr>
          <w:b/>
          <w:noProof/>
          <w:bdr w:val="nil"/>
        </w:rPr>
        <w:t>Impact assessment</w:t>
      </w:r>
    </w:p>
    <w:p w:rsidR="00710411" w:rsidRPr="001D16DE" w:rsidRDefault="00665EFC" w:rsidP="00B819A4">
      <w:pPr>
        <w:spacing w:before="0" w:after="240"/>
        <w:rPr>
          <w:noProof/>
        </w:rPr>
      </w:pPr>
      <w:r w:rsidRPr="000D5685">
        <w:rPr>
          <w:noProof/>
        </w:rPr>
        <w:t xml:space="preserve">This proposal is based on an </w:t>
      </w:r>
      <w:r w:rsidR="0061798A" w:rsidRPr="001D16DE">
        <w:rPr>
          <w:noProof/>
        </w:rPr>
        <w:t>i</w:t>
      </w:r>
      <w:r w:rsidRPr="001D16DE">
        <w:rPr>
          <w:noProof/>
        </w:rPr>
        <w:t xml:space="preserve">mpact </w:t>
      </w:r>
      <w:r w:rsidR="0061798A" w:rsidRPr="001D16DE">
        <w:rPr>
          <w:noProof/>
        </w:rPr>
        <w:t>a</w:t>
      </w:r>
      <w:r w:rsidRPr="000D5685">
        <w:rPr>
          <w:noProof/>
        </w:rPr>
        <w:t>ssessment</w:t>
      </w:r>
      <w:r>
        <w:rPr>
          <w:rStyle w:val="FootnoteReference0"/>
          <w:noProof/>
        </w:rPr>
        <w:footnoteReference w:id="18"/>
      </w:r>
      <w:r>
        <w:rPr>
          <w:noProof/>
        </w:rPr>
        <w:t>. The</w:t>
      </w:r>
      <w:r w:rsidRPr="001D16DE">
        <w:rPr>
          <w:noProof/>
        </w:rPr>
        <w:t xml:space="preserve"> </w:t>
      </w:r>
      <w:r w:rsidR="0061798A" w:rsidRPr="001D16DE">
        <w:rPr>
          <w:noProof/>
        </w:rPr>
        <w:t>Commission’s</w:t>
      </w:r>
      <w:r w:rsidRPr="000D5685">
        <w:rPr>
          <w:noProof/>
        </w:rPr>
        <w:t xml:space="preserve"> Regulatory Scrutiny Board (RSB) first issued a negative opinion </w:t>
      </w:r>
      <w:r w:rsidR="00710411" w:rsidRPr="001D16DE">
        <w:rPr>
          <w:noProof/>
        </w:rPr>
        <w:t>(</w:t>
      </w:r>
      <w:r w:rsidRPr="000D5685">
        <w:rPr>
          <w:noProof/>
        </w:rPr>
        <w:t>with comprehen</w:t>
      </w:r>
      <w:r>
        <w:rPr>
          <w:noProof/>
        </w:rPr>
        <w:t>sive comments</w:t>
      </w:r>
      <w:r w:rsidR="00710411" w:rsidRPr="001D16DE">
        <w:rPr>
          <w:noProof/>
        </w:rPr>
        <w:t>)</w:t>
      </w:r>
      <w:r>
        <w:rPr>
          <w:noProof/>
        </w:rPr>
        <w:t xml:space="preserve"> on 5 February 2021</w:t>
      </w:r>
      <w:r w:rsidRPr="000D5685">
        <w:rPr>
          <w:noProof/>
        </w:rPr>
        <w:t xml:space="preserve">. </w:t>
      </w:r>
    </w:p>
    <w:p w:rsidR="00665EFC" w:rsidRDefault="00665EFC" w:rsidP="00B819A4">
      <w:pPr>
        <w:spacing w:before="0" w:after="240"/>
        <w:rPr>
          <w:noProof/>
        </w:rPr>
      </w:pPr>
      <w:r w:rsidRPr="000D5685">
        <w:rPr>
          <w:noProof/>
        </w:rPr>
        <w:t xml:space="preserve">After a significant revision of the initial draft, the RSB provided a positive opinion with further comments on </w:t>
      </w:r>
      <w:r w:rsidR="00AD6E9C" w:rsidRPr="00813B43">
        <w:rPr>
          <w:noProof/>
        </w:rPr>
        <w:t>17 September 2021</w:t>
      </w:r>
      <w:r w:rsidR="00D61854">
        <w:rPr>
          <w:rStyle w:val="FootnoteReference0"/>
          <w:noProof/>
        </w:rPr>
        <w:footnoteReference w:id="19"/>
      </w:r>
      <w:r w:rsidRPr="000D5685">
        <w:rPr>
          <w:noProof/>
        </w:rPr>
        <w:t xml:space="preserve">. Annex I </w:t>
      </w:r>
      <w:r w:rsidR="008A2523">
        <w:rPr>
          <w:noProof/>
        </w:rPr>
        <w:t>of</w:t>
      </w:r>
      <w:r w:rsidRPr="000D5685">
        <w:rPr>
          <w:noProof/>
        </w:rPr>
        <w:t xml:space="preserve"> the </w:t>
      </w:r>
      <w:r w:rsidR="0061798A" w:rsidRPr="001D16DE">
        <w:rPr>
          <w:noProof/>
        </w:rPr>
        <w:t>impact assessment</w:t>
      </w:r>
      <w:r w:rsidRPr="000D5685">
        <w:rPr>
          <w:noProof/>
        </w:rPr>
        <w:t xml:space="preserve"> explains how the RSB comments were addressed.</w:t>
      </w:r>
    </w:p>
    <w:p w:rsidR="00665EFC" w:rsidRDefault="00665EFC" w:rsidP="00B819A4">
      <w:pPr>
        <w:spacing w:before="0" w:after="240"/>
        <w:rPr>
          <w:noProof/>
        </w:rPr>
      </w:pPr>
      <w:r>
        <w:rPr>
          <w:noProof/>
        </w:rPr>
        <w:t xml:space="preserve">The </w:t>
      </w:r>
      <w:r w:rsidR="0061798A" w:rsidRPr="001D16DE">
        <w:rPr>
          <w:noProof/>
        </w:rPr>
        <w:t>impact assessment</w:t>
      </w:r>
      <w:r>
        <w:rPr>
          <w:noProof/>
        </w:rPr>
        <w:t xml:space="preserve"> identifies two problems divided into a number of sub-problems. The two problems identified are:</w:t>
      </w:r>
    </w:p>
    <w:p w:rsidR="001214D4" w:rsidRDefault="00C327B1" w:rsidP="00C327B1">
      <w:pPr>
        <w:pStyle w:val="Point0"/>
        <w:rPr>
          <w:noProof/>
        </w:rPr>
      </w:pPr>
      <w:r w:rsidRPr="00C327B1">
        <w:t>(1)</w:t>
      </w:r>
      <w:r w:rsidRPr="00C327B1">
        <w:tab/>
      </w:r>
      <w:r w:rsidR="00665EFC" w:rsidRPr="009B5734">
        <w:rPr>
          <w:noProof/>
        </w:rPr>
        <w:t xml:space="preserve">Consumers lack reliable information at the point of sale to make environmentally sustainable </w:t>
      </w:r>
      <w:r w:rsidR="00665EFC">
        <w:rPr>
          <w:noProof/>
        </w:rPr>
        <w:t>consumption choices</w:t>
      </w:r>
      <w:r w:rsidR="004974C9">
        <w:rPr>
          <w:noProof/>
        </w:rPr>
        <w:t>.</w:t>
      </w:r>
    </w:p>
    <w:p w:rsidR="00665EFC" w:rsidRDefault="00C327B1" w:rsidP="00C327B1">
      <w:pPr>
        <w:pStyle w:val="Point0"/>
        <w:rPr>
          <w:noProof/>
        </w:rPr>
      </w:pPr>
      <w:r w:rsidRPr="00C327B1">
        <w:t>(2)</w:t>
      </w:r>
      <w:r w:rsidRPr="00C327B1">
        <w:tab/>
      </w:r>
      <w:r w:rsidR="00665EFC" w:rsidRPr="005841B3">
        <w:rPr>
          <w:noProof/>
        </w:rPr>
        <w:t>Consumers face misleading commercial practices related to the sustainability of products</w:t>
      </w:r>
      <w:r w:rsidR="004974C9">
        <w:rPr>
          <w:noProof/>
        </w:rPr>
        <w:t>.</w:t>
      </w:r>
    </w:p>
    <w:p w:rsidR="00665EFC" w:rsidRDefault="00665EFC" w:rsidP="00B819A4">
      <w:pPr>
        <w:spacing w:before="0" w:after="240"/>
        <w:rPr>
          <w:noProof/>
        </w:rPr>
      </w:pPr>
      <w:r>
        <w:rPr>
          <w:noProof/>
        </w:rPr>
        <w:t>Problem 1 is further broken down into the sub-problems:</w:t>
      </w:r>
    </w:p>
    <w:p w:rsidR="00665EFC" w:rsidRDefault="001214D4" w:rsidP="001214D4">
      <w:pPr>
        <w:ind w:left="709"/>
        <w:rPr>
          <w:noProof/>
        </w:rPr>
      </w:pPr>
      <w:r>
        <w:rPr>
          <w:noProof/>
        </w:rPr>
        <w:t>1.1)</w:t>
      </w:r>
      <w:r>
        <w:rPr>
          <w:noProof/>
        </w:rPr>
        <w:tab/>
      </w:r>
      <w:r w:rsidR="00665EFC" w:rsidRPr="005841B3">
        <w:rPr>
          <w:noProof/>
        </w:rPr>
        <w:t>Lack of reliable information on the environmental characteristics of products</w:t>
      </w:r>
    </w:p>
    <w:p w:rsidR="00665EFC" w:rsidRDefault="001214D4" w:rsidP="001214D4">
      <w:pPr>
        <w:ind w:left="709"/>
        <w:rPr>
          <w:noProof/>
        </w:rPr>
      </w:pPr>
      <w:bookmarkStart w:id="1" w:name="_Toc58148989"/>
      <w:bookmarkStart w:id="2" w:name="_Toc58222367"/>
      <w:bookmarkStart w:id="3" w:name="_Toc58603165"/>
      <w:bookmarkStart w:id="4" w:name="_Toc58604025"/>
      <w:bookmarkStart w:id="5" w:name="_Toc58605342"/>
      <w:bookmarkStart w:id="6" w:name="_Toc60733986"/>
      <w:r>
        <w:rPr>
          <w:noProof/>
        </w:rPr>
        <w:t>1.2)</w:t>
      </w:r>
      <w:r>
        <w:rPr>
          <w:noProof/>
        </w:rPr>
        <w:tab/>
      </w:r>
      <w:r w:rsidR="00665EFC" w:rsidRPr="009B5734">
        <w:rPr>
          <w:noProof/>
        </w:rPr>
        <w:t>Lack of reliable information on the lifespan of goods</w:t>
      </w:r>
      <w:bookmarkEnd w:id="1"/>
      <w:bookmarkEnd w:id="2"/>
      <w:bookmarkEnd w:id="3"/>
      <w:bookmarkEnd w:id="4"/>
      <w:bookmarkEnd w:id="5"/>
      <w:bookmarkEnd w:id="6"/>
    </w:p>
    <w:p w:rsidR="00665EFC" w:rsidRDefault="001214D4" w:rsidP="001F3A20">
      <w:pPr>
        <w:spacing w:after="240"/>
        <w:ind w:left="709"/>
        <w:rPr>
          <w:noProof/>
        </w:rPr>
      </w:pPr>
      <w:r>
        <w:rPr>
          <w:noProof/>
        </w:rPr>
        <w:t>1.3)</w:t>
      </w:r>
      <w:r>
        <w:rPr>
          <w:noProof/>
        </w:rPr>
        <w:tab/>
      </w:r>
      <w:r w:rsidR="00665EFC" w:rsidRPr="005841B3">
        <w:rPr>
          <w:noProof/>
        </w:rPr>
        <w:t>Lack of reliable information about products’ reparability</w:t>
      </w:r>
    </w:p>
    <w:p w:rsidR="00665EFC" w:rsidRDefault="00665EFC" w:rsidP="00B819A4">
      <w:pPr>
        <w:spacing w:before="0" w:after="240"/>
        <w:rPr>
          <w:noProof/>
        </w:rPr>
      </w:pPr>
      <w:r>
        <w:rPr>
          <w:noProof/>
        </w:rPr>
        <w:t>Problem 2 is further broken down into the sub-problems:</w:t>
      </w:r>
    </w:p>
    <w:p w:rsidR="00665EFC" w:rsidRDefault="00511509" w:rsidP="00511509">
      <w:pPr>
        <w:ind w:left="1418" w:hanging="709"/>
        <w:rPr>
          <w:noProof/>
        </w:rPr>
      </w:pPr>
      <w:r>
        <w:rPr>
          <w:noProof/>
        </w:rPr>
        <w:t>2.1)</w:t>
      </w:r>
      <w:r>
        <w:rPr>
          <w:noProof/>
        </w:rPr>
        <w:tab/>
      </w:r>
      <w:r w:rsidR="00665EFC" w:rsidRPr="005841B3">
        <w:rPr>
          <w:noProof/>
        </w:rPr>
        <w:t>Consumers are sold products that do not last as long as they could or consumers expect (“early obsolescence”)</w:t>
      </w:r>
    </w:p>
    <w:p w:rsidR="00665EFC" w:rsidRDefault="00511509" w:rsidP="00511509">
      <w:pPr>
        <w:ind w:left="1418" w:hanging="709"/>
        <w:rPr>
          <w:noProof/>
        </w:rPr>
      </w:pPr>
      <w:r>
        <w:rPr>
          <w:noProof/>
        </w:rPr>
        <w:t>2.2)</w:t>
      </w:r>
      <w:r>
        <w:rPr>
          <w:noProof/>
        </w:rPr>
        <w:tab/>
      </w:r>
      <w:r w:rsidR="00665EFC" w:rsidRPr="005841B3">
        <w:rPr>
          <w:noProof/>
        </w:rPr>
        <w:t xml:space="preserve">Consumers are faced with unclear or </w:t>
      </w:r>
      <w:r w:rsidR="00710411" w:rsidRPr="001D16DE">
        <w:rPr>
          <w:noProof/>
        </w:rPr>
        <w:t>poorly</w:t>
      </w:r>
      <w:r w:rsidR="00665EFC" w:rsidRPr="005841B3">
        <w:rPr>
          <w:noProof/>
        </w:rPr>
        <w:t>-substantiated environmental claims (‘greenwashing’)</w:t>
      </w:r>
      <w:bookmarkStart w:id="7" w:name="_Toc58149000"/>
      <w:bookmarkStart w:id="8" w:name="_Toc58222378"/>
      <w:bookmarkStart w:id="9" w:name="_Toc58603175"/>
      <w:bookmarkStart w:id="10" w:name="_Toc58604035"/>
      <w:bookmarkStart w:id="11" w:name="_Toc58605352"/>
      <w:bookmarkStart w:id="12" w:name="_Toc60733996"/>
      <w:r w:rsidR="00710411" w:rsidRPr="001D16DE">
        <w:rPr>
          <w:noProof/>
        </w:rPr>
        <w:t xml:space="preserve"> from companies</w:t>
      </w:r>
    </w:p>
    <w:p w:rsidR="00665EFC" w:rsidRDefault="00511509" w:rsidP="001F3A20">
      <w:pPr>
        <w:spacing w:after="240"/>
        <w:ind w:left="1418" w:hanging="709"/>
        <w:rPr>
          <w:noProof/>
        </w:rPr>
      </w:pPr>
      <w:r>
        <w:rPr>
          <w:noProof/>
        </w:rPr>
        <w:t>2.3)</w:t>
      </w:r>
      <w:r>
        <w:rPr>
          <w:noProof/>
        </w:rPr>
        <w:tab/>
      </w:r>
      <w:r w:rsidR="00665EFC" w:rsidRPr="009B5734">
        <w:rPr>
          <w:noProof/>
        </w:rPr>
        <w:t xml:space="preserve">Consumers are faced with sustainability labels and digital information tools that are not always </w:t>
      </w:r>
      <w:bookmarkEnd w:id="7"/>
      <w:bookmarkEnd w:id="8"/>
      <w:bookmarkEnd w:id="9"/>
      <w:bookmarkEnd w:id="10"/>
      <w:bookmarkEnd w:id="11"/>
      <w:bookmarkEnd w:id="12"/>
      <w:r w:rsidR="00665EFC" w:rsidRPr="009B5734">
        <w:rPr>
          <w:noProof/>
        </w:rPr>
        <w:t xml:space="preserve">transparent </w:t>
      </w:r>
      <w:r w:rsidR="00710411" w:rsidRPr="001D16DE">
        <w:rPr>
          <w:noProof/>
        </w:rPr>
        <w:t>or</w:t>
      </w:r>
      <w:r w:rsidR="00665EFC" w:rsidRPr="009B5734">
        <w:rPr>
          <w:noProof/>
        </w:rPr>
        <w:t xml:space="preserve"> credible</w:t>
      </w:r>
      <w:r w:rsidR="004974C9">
        <w:rPr>
          <w:noProof/>
        </w:rPr>
        <w:t>.</w:t>
      </w:r>
    </w:p>
    <w:p w:rsidR="00665EFC" w:rsidRDefault="00D61854" w:rsidP="00B819A4">
      <w:pPr>
        <w:spacing w:before="0" w:after="240"/>
        <w:rPr>
          <w:noProof/>
        </w:rPr>
      </w:pPr>
      <w:r>
        <w:rPr>
          <w:noProof/>
        </w:rPr>
        <w:t xml:space="preserve">A number of </w:t>
      </w:r>
      <w:r w:rsidR="00DA3064">
        <w:rPr>
          <w:noProof/>
        </w:rPr>
        <w:t xml:space="preserve">policy </w:t>
      </w:r>
      <w:r>
        <w:rPr>
          <w:noProof/>
        </w:rPr>
        <w:t xml:space="preserve">options were considered </w:t>
      </w:r>
      <w:r w:rsidR="004274CF">
        <w:rPr>
          <w:noProof/>
        </w:rPr>
        <w:t>for each individual sub-problem</w:t>
      </w:r>
      <w:r>
        <w:rPr>
          <w:noProof/>
        </w:rPr>
        <w:t>.</w:t>
      </w:r>
      <w:r w:rsidR="00621ADF">
        <w:rPr>
          <w:noProof/>
        </w:rPr>
        <w:t xml:space="preserve"> </w:t>
      </w:r>
      <w:r>
        <w:rPr>
          <w:noProof/>
        </w:rPr>
        <w:t>On the basis of a multi-criteria analysis</w:t>
      </w:r>
      <w:r w:rsidR="00DA3064">
        <w:rPr>
          <w:noProof/>
        </w:rPr>
        <w:t xml:space="preserve">, complemented by a (partial) </w:t>
      </w:r>
      <w:r w:rsidR="00710411" w:rsidRPr="001D16DE">
        <w:rPr>
          <w:noProof/>
        </w:rPr>
        <w:t>c</w:t>
      </w:r>
      <w:r w:rsidR="00DA3064" w:rsidRPr="001D16DE">
        <w:rPr>
          <w:noProof/>
        </w:rPr>
        <w:t>ost-</w:t>
      </w:r>
      <w:r w:rsidR="00710411" w:rsidRPr="001D16DE">
        <w:rPr>
          <w:noProof/>
        </w:rPr>
        <w:t>b</w:t>
      </w:r>
      <w:r w:rsidR="00DA3064" w:rsidRPr="001D16DE">
        <w:rPr>
          <w:noProof/>
        </w:rPr>
        <w:t xml:space="preserve">enefit </w:t>
      </w:r>
      <w:r w:rsidR="00710411" w:rsidRPr="001D16DE">
        <w:rPr>
          <w:noProof/>
        </w:rPr>
        <w:t>a</w:t>
      </w:r>
      <w:r w:rsidR="00DA3064">
        <w:rPr>
          <w:noProof/>
        </w:rPr>
        <w:t>nalysis,</w:t>
      </w:r>
      <w:r>
        <w:rPr>
          <w:noProof/>
        </w:rPr>
        <w:t xml:space="preserve"> and a qualitative assessment of the proportionality of the various options considered, a</w:t>
      </w:r>
      <w:r w:rsidR="00E5358C">
        <w:rPr>
          <w:noProof/>
        </w:rPr>
        <w:t xml:space="preserve"> </w:t>
      </w:r>
      <w:r w:rsidR="00665EFC">
        <w:rPr>
          <w:noProof/>
        </w:rPr>
        <w:t xml:space="preserve">combination of </w:t>
      </w:r>
      <w:r w:rsidR="005700A3">
        <w:rPr>
          <w:noProof/>
        </w:rPr>
        <w:t>five</w:t>
      </w:r>
      <w:r w:rsidR="00665EFC">
        <w:rPr>
          <w:noProof/>
        </w:rPr>
        <w:t xml:space="preserve"> preferred policy options </w:t>
      </w:r>
      <w:r w:rsidR="00E5358C">
        <w:rPr>
          <w:noProof/>
        </w:rPr>
        <w:t xml:space="preserve">were </w:t>
      </w:r>
      <w:r w:rsidR="00665EFC">
        <w:rPr>
          <w:noProof/>
        </w:rPr>
        <w:t>proposed to address these problems:</w:t>
      </w:r>
    </w:p>
    <w:p w:rsidR="00665EFC" w:rsidRPr="00AD428B" w:rsidRDefault="00C327B1" w:rsidP="00C327B1">
      <w:pPr>
        <w:pStyle w:val="Point0"/>
        <w:rPr>
          <w:noProof/>
        </w:rPr>
      </w:pPr>
      <w:r w:rsidRPr="00C327B1">
        <w:t>(1)</w:t>
      </w:r>
      <w:r w:rsidRPr="00C327B1">
        <w:tab/>
      </w:r>
      <w:r w:rsidR="00710411" w:rsidRPr="00AD428B">
        <w:rPr>
          <w:noProof/>
        </w:rPr>
        <w:t>P</w:t>
      </w:r>
      <w:r w:rsidR="00665EFC" w:rsidRPr="00AD428B">
        <w:rPr>
          <w:noProof/>
        </w:rPr>
        <w:t>rovi</w:t>
      </w:r>
      <w:r w:rsidR="00710411" w:rsidRPr="00AD428B">
        <w:rPr>
          <w:noProof/>
        </w:rPr>
        <w:t>ding</w:t>
      </w:r>
      <w:r w:rsidR="00665EFC" w:rsidRPr="00AD428B">
        <w:rPr>
          <w:noProof/>
        </w:rPr>
        <w:t xml:space="preserve"> information on the existence or absence of</w:t>
      </w:r>
      <w:r w:rsidR="004530AD">
        <w:rPr>
          <w:noProof/>
        </w:rPr>
        <w:t xml:space="preserve"> information about</w:t>
      </w:r>
      <w:r w:rsidR="00665EFC" w:rsidRPr="00AD428B">
        <w:rPr>
          <w:noProof/>
        </w:rPr>
        <w:t xml:space="preserve"> </w:t>
      </w:r>
      <w:r w:rsidR="00540C7B">
        <w:rPr>
          <w:noProof/>
        </w:rPr>
        <w:t>the existe</w:t>
      </w:r>
      <w:r w:rsidR="004530AD">
        <w:rPr>
          <w:noProof/>
        </w:rPr>
        <w:t xml:space="preserve">nce of </w:t>
      </w:r>
      <w:r w:rsidR="00665EFC" w:rsidRPr="00AD428B">
        <w:rPr>
          <w:noProof/>
        </w:rPr>
        <w:t>a producer’s commercial guarantee of durability and of the period of time during which free software updates are provided</w:t>
      </w:r>
      <w:r w:rsidR="00580E1C" w:rsidRPr="00AD428B">
        <w:rPr>
          <w:noProof/>
        </w:rPr>
        <w:t xml:space="preserve"> (to address sub-problem 1.2)</w:t>
      </w:r>
    </w:p>
    <w:p w:rsidR="00665EFC" w:rsidRPr="00AD428B" w:rsidRDefault="00C327B1" w:rsidP="00C327B1">
      <w:pPr>
        <w:pStyle w:val="Point0"/>
        <w:rPr>
          <w:noProof/>
        </w:rPr>
      </w:pPr>
      <w:r w:rsidRPr="00C327B1">
        <w:t>(2)</w:t>
      </w:r>
      <w:r w:rsidRPr="00C327B1">
        <w:tab/>
      </w:r>
      <w:r w:rsidR="00710411" w:rsidRPr="00AD428B">
        <w:rPr>
          <w:noProof/>
        </w:rPr>
        <w:t xml:space="preserve">Providing </w:t>
      </w:r>
      <w:r w:rsidR="00665EFC" w:rsidRPr="00AD428B">
        <w:rPr>
          <w:noProof/>
        </w:rPr>
        <w:t xml:space="preserve">a </w:t>
      </w:r>
      <w:r w:rsidR="00DD4986" w:rsidRPr="00AD428B">
        <w:rPr>
          <w:noProof/>
        </w:rPr>
        <w:t>reparability score</w:t>
      </w:r>
      <w:r w:rsidR="00665EFC" w:rsidRPr="00AD428B">
        <w:rPr>
          <w:noProof/>
        </w:rPr>
        <w:t>, or other relevant repair information</w:t>
      </w:r>
      <w:r w:rsidR="00710411" w:rsidRPr="00AD428B">
        <w:rPr>
          <w:noProof/>
        </w:rPr>
        <w:t>,</w:t>
      </w:r>
      <w:r w:rsidR="00665EFC" w:rsidRPr="00AD428B">
        <w:rPr>
          <w:noProof/>
        </w:rPr>
        <w:t xml:space="preserve"> where applicable</w:t>
      </w:r>
      <w:r w:rsidR="00710411" w:rsidRPr="00AD428B">
        <w:rPr>
          <w:noProof/>
        </w:rPr>
        <w:t>/</w:t>
      </w:r>
      <w:r w:rsidR="00665EFC" w:rsidRPr="00AD428B">
        <w:rPr>
          <w:noProof/>
        </w:rPr>
        <w:t xml:space="preserve">available </w:t>
      </w:r>
      <w:r w:rsidR="00580E1C" w:rsidRPr="00AD428B">
        <w:rPr>
          <w:noProof/>
        </w:rPr>
        <w:t>(to address sub-problem 1.3)</w:t>
      </w:r>
    </w:p>
    <w:p w:rsidR="00665EFC" w:rsidRPr="00AD428B" w:rsidRDefault="00C327B1" w:rsidP="00C327B1">
      <w:pPr>
        <w:pStyle w:val="Point0"/>
        <w:rPr>
          <w:noProof/>
        </w:rPr>
      </w:pPr>
      <w:r w:rsidRPr="00C327B1">
        <w:t>(3)</w:t>
      </w:r>
      <w:r w:rsidRPr="00C327B1">
        <w:tab/>
      </w:r>
      <w:r w:rsidR="00710411" w:rsidRPr="00AD428B">
        <w:rPr>
          <w:noProof/>
        </w:rPr>
        <w:t>B</w:t>
      </w:r>
      <w:r w:rsidR="00665EFC" w:rsidRPr="00AD428B">
        <w:rPr>
          <w:noProof/>
        </w:rPr>
        <w:t>an o</w:t>
      </w:r>
      <w:r w:rsidR="00710411" w:rsidRPr="00AD428B">
        <w:rPr>
          <w:noProof/>
        </w:rPr>
        <w:t>n</w:t>
      </w:r>
      <w:r w:rsidR="00665EFC" w:rsidRPr="00AD428B">
        <w:rPr>
          <w:noProof/>
        </w:rPr>
        <w:t xml:space="preserve"> certain identified practices associated with early obsolescence</w:t>
      </w:r>
      <w:r w:rsidR="00580E1C" w:rsidRPr="00AD428B">
        <w:rPr>
          <w:noProof/>
        </w:rPr>
        <w:t xml:space="preserve"> (to address sub-problem 2.1)</w:t>
      </w:r>
    </w:p>
    <w:p w:rsidR="00665EFC" w:rsidRPr="00AD428B" w:rsidRDefault="00C327B1" w:rsidP="00C327B1">
      <w:pPr>
        <w:pStyle w:val="Point0"/>
        <w:rPr>
          <w:noProof/>
        </w:rPr>
      </w:pPr>
      <w:r w:rsidRPr="00C327B1">
        <w:t>(4)</w:t>
      </w:r>
      <w:r w:rsidRPr="00C327B1">
        <w:tab/>
      </w:r>
      <w:r w:rsidR="00710411" w:rsidRPr="00AD428B">
        <w:rPr>
          <w:noProof/>
        </w:rPr>
        <w:t>B</w:t>
      </w:r>
      <w:r w:rsidR="00665EFC" w:rsidRPr="00AD428B">
        <w:rPr>
          <w:noProof/>
        </w:rPr>
        <w:t>an o</w:t>
      </w:r>
      <w:r w:rsidR="00710411" w:rsidRPr="00AD428B">
        <w:rPr>
          <w:noProof/>
        </w:rPr>
        <w:t>n</w:t>
      </w:r>
      <w:r w:rsidR="00665EFC" w:rsidRPr="00AD428B">
        <w:rPr>
          <w:noProof/>
        </w:rPr>
        <w:t xml:space="preserve"> </w:t>
      </w:r>
      <w:r w:rsidR="00DA3064" w:rsidRPr="00AD428B">
        <w:rPr>
          <w:noProof/>
        </w:rPr>
        <w:t xml:space="preserve">unfounded </w:t>
      </w:r>
      <w:r w:rsidR="00665EFC" w:rsidRPr="00AD428B">
        <w:rPr>
          <w:noProof/>
        </w:rPr>
        <w:t>gener</w:t>
      </w:r>
      <w:r w:rsidR="00B42711" w:rsidRPr="00AD428B">
        <w:rPr>
          <w:noProof/>
        </w:rPr>
        <w:t>ic</w:t>
      </w:r>
      <w:r w:rsidR="00665EFC" w:rsidRPr="00AD428B">
        <w:rPr>
          <w:noProof/>
        </w:rPr>
        <w:t xml:space="preserve"> or vague environmental claims and </w:t>
      </w:r>
      <w:r w:rsidR="00DA3064" w:rsidRPr="00AD428B">
        <w:rPr>
          <w:noProof/>
        </w:rPr>
        <w:t xml:space="preserve">setting criteria for assessing the fairness of environmental claims to ensure their transparency and credibility towards consumers </w:t>
      </w:r>
      <w:r w:rsidR="00580E1C" w:rsidRPr="00AD428B">
        <w:rPr>
          <w:noProof/>
        </w:rPr>
        <w:t>(to address sub-problem 2.2)</w:t>
      </w:r>
    </w:p>
    <w:p w:rsidR="00665EFC" w:rsidRPr="00AD428B" w:rsidRDefault="00C327B1" w:rsidP="00C327B1">
      <w:pPr>
        <w:pStyle w:val="Point0"/>
        <w:rPr>
          <w:noProof/>
        </w:rPr>
      </w:pPr>
      <w:r w:rsidRPr="00C327B1">
        <w:t>(5)</w:t>
      </w:r>
      <w:r w:rsidRPr="00C327B1">
        <w:tab/>
      </w:r>
      <w:r w:rsidR="00710411" w:rsidRPr="00AD428B">
        <w:rPr>
          <w:noProof/>
        </w:rPr>
        <w:t>S</w:t>
      </w:r>
      <w:r w:rsidR="00DA3064" w:rsidRPr="00AD428B">
        <w:rPr>
          <w:noProof/>
        </w:rPr>
        <w:t xml:space="preserve">etting criteria for assessing the fairness </w:t>
      </w:r>
      <w:r w:rsidR="00665EFC" w:rsidRPr="00AD428B">
        <w:rPr>
          <w:noProof/>
        </w:rPr>
        <w:t>of sustainability labels and digital information tools</w:t>
      </w:r>
      <w:r w:rsidR="00710411" w:rsidRPr="00AD428B">
        <w:rPr>
          <w:noProof/>
        </w:rPr>
        <w:t>,</w:t>
      </w:r>
      <w:r w:rsidR="00665EFC" w:rsidRPr="00AD428B">
        <w:rPr>
          <w:noProof/>
        </w:rPr>
        <w:t xml:space="preserve"> </w:t>
      </w:r>
      <w:r w:rsidR="00DA3064" w:rsidRPr="00AD428B">
        <w:rPr>
          <w:noProof/>
        </w:rPr>
        <w:t>to ensure the</w:t>
      </w:r>
      <w:r w:rsidR="00710411" w:rsidRPr="00AD428B">
        <w:rPr>
          <w:noProof/>
        </w:rPr>
        <w:t>y</w:t>
      </w:r>
      <w:r w:rsidR="00665EFC" w:rsidRPr="00AD428B">
        <w:rPr>
          <w:noProof/>
        </w:rPr>
        <w:t xml:space="preserve"> </w:t>
      </w:r>
      <w:r w:rsidR="00710411" w:rsidRPr="00AD428B">
        <w:rPr>
          <w:noProof/>
        </w:rPr>
        <w:t xml:space="preserve">are </w:t>
      </w:r>
      <w:r w:rsidR="00665EFC" w:rsidRPr="00AD428B">
        <w:rPr>
          <w:noProof/>
        </w:rPr>
        <w:t>transparen</w:t>
      </w:r>
      <w:r w:rsidR="00710411" w:rsidRPr="00AD428B">
        <w:rPr>
          <w:noProof/>
        </w:rPr>
        <w:t>t</w:t>
      </w:r>
      <w:r w:rsidR="00665EFC" w:rsidRPr="00AD428B">
        <w:rPr>
          <w:noProof/>
        </w:rPr>
        <w:t xml:space="preserve"> and credib</w:t>
      </w:r>
      <w:r w:rsidR="00710411" w:rsidRPr="00AD428B">
        <w:rPr>
          <w:noProof/>
        </w:rPr>
        <w:t>le</w:t>
      </w:r>
      <w:r w:rsidR="00DA3064" w:rsidRPr="00AD428B">
        <w:rPr>
          <w:noProof/>
        </w:rPr>
        <w:t xml:space="preserve"> </w:t>
      </w:r>
      <w:r w:rsidR="00710411" w:rsidRPr="00AD428B">
        <w:rPr>
          <w:noProof/>
        </w:rPr>
        <w:t>for</w:t>
      </w:r>
      <w:r w:rsidR="00DA3064" w:rsidRPr="00AD428B">
        <w:rPr>
          <w:noProof/>
        </w:rPr>
        <w:t xml:space="preserve"> consumers</w:t>
      </w:r>
      <w:r w:rsidR="00580E1C" w:rsidRPr="00AD428B">
        <w:rPr>
          <w:noProof/>
        </w:rPr>
        <w:t xml:space="preserve"> (to address sub-problem 2.3)</w:t>
      </w:r>
    </w:p>
    <w:p w:rsidR="00710411" w:rsidRPr="001D16DE" w:rsidRDefault="00710411" w:rsidP="004F0D04">
      <w:pPr>
        <w:spacing w:before="0" w:after="240"/>
        <w:jc w:val="left"/>
        <w:rPr>
          <w:noProof/>
        </w:rPr>
      </w:pPr>
      <w:r w:rsidRPr="004F0D04">
        <w:rPr>
          <w:b/>
          <w:noProof/>
        </w:rPr>
        <w:t>S</w:t>
      </w:r>
      <w:r w:rsidR="00D61854" w:rsidRPr="004F0D04">
        <w:rPr>
          <w:b/>
          <w:noProof/>
        </w:rPr>
        <w:t>ub-problem 1.1</w:t>
      </w:r>
      <w:r w:rsidRPr="001D16DE">
        <w:rPr>
          <w:noProof/>
        </w:rPr>
        <w:t xml:space="preserve"> </w:t>
      </w:r>
      <w:r w:rsidR="00D61854" w:rsidRPr="001D16DE">
        <w:rPr>
          <w:noProof/>
        </w:rPr>
        <w:t>(</w:t>
      </w:r>
      <w:r w:rsidR="0025574A" w:rsidRPr="001D16DE">
        <w:rPr>
          <w:noProof/>
        </w:rPr>
        <w:t>l</w:t>
      </w:r>
      <w:r w:rsidR="00D61854" w:rsidRPr="00D61854">
        <w:rPr>
          <w:noProof/>
        </w:rPr>
        <w:t xml:space="preserve">ack of reliable information on </w:t>
      </w:r>
      <w:r w:rsidRPr="001D16DE">
        <w:rPr>
          <w:noProof/>
        </w:rPr>
        <w:t xml:space="preserve">products’ </w:t>
      </w:r>
      <w:r w:rsidR="00D61854" w:rsidRPr="00D61854">
        <w:rPr>
          <w:noProof/>
        </w:rPr>
        <w:t>environmental characteristics</w:t>
      </w:r>
      <w:r w:rsidR="00D61854" w:rsidRPr="001D16DE">
        <w:rPr>
          <w:noProof/>
        </w:rPr>
        <w:t>)</w:t>
      </w:r>
    </w:p>
    <w:p w:rsidR="00D61854" w:rsidRDefault="00710411" w:rsidP="00B819A4">
      <w:pPr>
        <w:spacing w:before="0" w:after="240"/>
        <w:rPr>
          <w:noProof/>
        </w:rPr>
      </w:pPr>
      <w:r w:rsidRPr="001D16DE">
        <w:rPr>
          <w:noProof/>
        </w:rPr>
        <w:t>I</w:t>
      </w:r>
      <w:r w:rsidR="00D61854">
        <w:rPr>
          <w:noProof/>
        </w:rPr>
        <w:t xml:space="preserve">t was considered that </w:t>
      </w:r>
      <w:r w:rsidR="00D61854" w:rsidRPr="001D16DE">
        <w:rPr>
          <w:noProof/>
        </w:rPr>
        <w:t>introduc</w:t>
      </w:r>
      <w:r w:rsidRPr="001D16DE">
        <w:rPr>
          <w:noProof/>
        </w:rPr>
        <w:t>ing</w:t>
      </w:r>
      <w:r w:rsidR="00D61854">
        <w:rPr>
          <w:noProof/>
        </w:rPr>
        <w:t xml:space="preserve"> mandatory information requirements on environmental characteristics would best be </w:t>
      </w:r>
      <w:r w:rsidRPr="001D16DE">
        <w:rPr>
          <w:noProof/>
        </w:rPr>
        <w:t>done</w:t>
      </w:r>
      <w:r w:rsidR="00D61854">
        <w:rPr>
          <w:noProof/>
        </w:rPr>
        <w:t xml:space="preserve"> by sectoral legislation, as the characteristics in question differ significantly according to product category. The impact assessment therefore did not </w:t>
      </w:r>
      <w:r w:rsidR="00DE1965">
        <w:rPr>
          <w:noProof/>
        </w:rPr>
        <w:t>propose a preferred policy option to address this sub-problem.</w:t>
      </w:r>
      <w:r w:rsidR="00EC39E8">
        <w:rPr>
          <w:noProof/>
        </w:rPr>
        <w:t xml:space="preserve"> </w:t>
      </w:r>
    </w:p>
    <w:p w:rsidR="00710411" w:rsidRPr="001D16DE" w:rsidRDefault="00710411" w:rsidP="00B819A4">
      <w:pPr>
        <w:spacing w:before="0" w:after="240"/>
        <w:rPr>
          <w:noProof/>
        </w:rPr>
      </w:pPr>
      <w:r w:rsidRPr="004F0D04">
        <w:rPr>
          <w:b/>
          <w:noProof/>
        </w:rPr>
        <w:t>S</w:t>
      </w:r>
      <w:r w:rsidR="00DE1965" w:rsidRPr="004F0D04">
        <w:rPr>
          <w:b/>
          <w:noProof/>
        </w:rPr>
        <w:t>ub-problem 1.2</w:t>
      </w:r>
      <w:r w:rsidR="00DE1965">
        <w:rPr>
          <w:noProof/>
        </w:rPr>
        <w:t xml:space="preserve"> (</w:t>
      </w:r>
      <w:r w:rsidR="0025574A" w:rsidRPr="001D16DE">
        <w:rPr>
          <w:noProof/>
        </w:rPr>
        <w:t>l</w:t>
      </w:r>
      <w:r w:rsidR="00DE1965" w:rsidRPr="00DE1965">
        <w:rPr>
          <w:noProof/>
        </w:rPr>
        <w:t>ack of reliable information on the lifespan of goods</w:t>
      </w:r>
      <w:r w:rsidR="00DE1965" w:rsidRPr="001D16DE">
        <w:rPr>
          <w:noProof/>
        </w:rPr>
        <w:t>)</w:t>
      </w:r>
    </w:p>
    <w:p w:rsidR="00710411" w:rsidRPr="001D16DE" w:rsidRDefault="00710411" w:rsidP="00B819A4">
      <w:pPr>
        <w:spacing w:before="0" w:after="240"/>
        <w:rPr>
          <w:noProof/>
        </w:rPr>
      </w:pPr>
      <w:r w:rsidRPr="001D16DE">
        <w:rPr>
          <w:noProof/>
        </w:rPr>
        <w:t>T</w:t>
      </w:r>
      <w:r w:rsidR="00580E1C">
        <w:rPr>
          <w:noProof/>
        </w:rPr>
        <w:t xml:space="preserve">he preferred option </w:t>
      </w:r>
      <w:r w:rsidR="00DA0412">
        <w:rPr>
          <w:noProof/>
        </w:rPr>
        <w:t xml:space="preserve">would </w:t>
      </w:r>
      <w:r w:rsidR="00DE1965">
        <w:rPr>
          <w:noProof/>
        </w:rPr>
        <w:t xml:space="preserve">ensure consumers are better informed about the durability of the </w:t>
      </w:r>
      <w:r w:rsidR="00DA0412">
        <w:rPr>
          <w:noProof/>
        </w:rPr>
        <w:t xml:space="preserve">goods </w:t>
      </w:r>
      <w:r w:rsidR="00DE1965">
        <w:rPr>
          <w:noProof/>
        </w:rPr>
        <w:t xml:space="preserve">they purchase, as the producer’s commercial guarantee of durability is an excellent proxy for the durability of the </w:t>
      </w:r>
      <w:r w:rsidR="00DA0412">
        <w:rPr>
          <w:noProof/>
        </w:rPr>
        <w:t>good</w:t>
      </w:r>
      <w:r w:rsidR="00DE1965">
        <w:rPr>
          <w:noProof/>
        </w:rPr>
        <w:t xml:space="preserve">. </w:t>
      </w:r>
    </w:p>
    <w:p w:rsidR="00710411" w:rsidRPr="001D16DE" w:rsidRDefault="00DE1965" w:rsidP="00B819A4">
      <w:pPr>
        <w:spacing w:before="0" w:after="240"/>
        <w:rPr>
          <w:noProof/>
        </w:rPr>
      </w:pPr>
      <w:r>
        <w:rPr>
          <w:noProof/>
        </w:rPr>
        <w:t xml:space="preserve">Furthermore, the obligation on traders to inform the consumer about the length of the guarantee, </w:t>
      </w:r>
      <w:r w:rsidR="00710411" w:rsidRPr="00370AC3">
        <w:rPr>
          <w:noProof/>
        </w:rPr>
        <w:t xml:space="preserve">or </w:t>
      </w:r>
      <w:r w:rsidRPr="00370AC3">
        <w:rPr>
          <w:noProof/>
        </w:rPr>
        <w:t xml:space="preserve">the absence of </w:t>
      </w:r>
      <w:r w:rsidR="00710411" w:rsidRPr="00370AC3">
        <w:rPr>
          <w:noProof/>
        </w:rPr>
        <w:t>a</w:t>
      </w:r>
      <w:r w:rsidRPr="00370AC3">
        <w:rPr>
          <w:noProof/>
        </w:rPr>
        <w:t xml:space="preserve"> guarantee i</w:t>
      </w:r>
      <w:r w:rsidR="00710411" w:rsidRPr="00370AC3">
        <w:rPr>
          <w:noProof/>
        </w:rPr>
        <w:t>f</w:t>
      </w:r>
      <w:r w:rsidRPr="00370AC3">
        <w:rPr>
          <w:noProof/>
        </w:rPr>
        <w:t xml:space="preserve"> </w:t>
      </w:r>
      <w:r w:rsidR="00710411" w:rsidRPr="00370AC3">
        <w:rPr>
          <w:noProof/>
        </w:rPr>
        <w:t>that is the</w:t>
      </w:r>
      <w:r w:rsidRPr="00370AC3">
        <w:rPr>
          <w:noProof/>
        </w:rPr>
        <w:t xml:space="preserve"> case,</w:t>
      </w:r>
      <w:r w:rsidDel="00DA0412">
        <w:rPr>
          <w:noProof/>
        </w:rPr>
        <w:t xml:space="preserve"> </w:t>
      </w:r>
      <w:r w:rsidR="00DA0412">
        <w:rPr>
          <w:noProof/>
        </w:rPr>
        <w:t xml:space="preserve">would </w:t>
      </w:r>
      <w:r>
        <w:rPr>
          <w:noProof/>
        </w:rPr>
        <w:t xml:space="preserve">stimulate traders to compete on the provision and length of such guarantees, thus </w:t>
      </w:r>
      <w:r w:rsidR="00D14955">
        <w:rPr>
          <w:noProof/>
        </w:rPr>
        <w:t>indirectly stimulating the manufacturing of products with a longer lifespan.</w:t>
      </w:r>
      <w:r w:rsidR="00EC39E8">
        <w:rPr>
          <w:noProof/>
        </w:rPr>
        <w:t xml:space="preserve"> </w:t>
      </w:r>
    </w:p>
    <w:p w:rsidR="00580E1C" w:rsidRDefault="00EC39E8" w:rsidP="00B819A4">
      <w:pPr>
        <w:spacing w:before="0" w:after="240"/>
        <w:rPr>
          <w:noProof/>
        </w:rPr>
      </w:pPr>
      <w:r>
        <w:rPr>
          <w:noProof/>
        </w:rPr>
        <w:t xml:space="preserve">Another option considered to address this sub-problem was </w:t>
      </w:r>
      <w:r w:rsidR="00710411" w:rsidRPr="001D16DE">
        <w:rPr>
          <w:noProof/>
        </w:rPr>
        <w:t>an</w:t>
      </w:r>
      <w:r>
        <w:rPr>
          <w:noProof/>
        </w:rPr>
        <w:t xml:space="preserve"> o</w:t>
      </w:r>
      <w:r w:rsidRPr="00EC39E8">
        <w:rPr>
          <w:noProof/>
        </w:rPr>
        <w:t>bligation to inform consumers about the expected lifespan of goods</w:t>
      </w:r>
      <w:r>
        <w:rPr>
          <w:noProof/>
        </w:rPr>
        <w:t xml:space="preserve">. However this was not selected as it was </w:t>
      </w:r>
      <w:r w:rsidR="00710411" w:rsidRPr="001D16DE">
        <w:rPr>
          <w:noProof/>
        </w:rPr>
        <w:t xml:space="preserve">not </w:t>
      </w:r>
      <w:r>
        <w:rPr>
          <w:noProof/>
        </w:rPr>
        <w:t xml:space="preserve">deemed feasible to calculate an expected lifespan in a </w:t>
      </w:r>
      <w:r w:rsidR="00710411" w:rsidRPr="001D16DE">
        <w:rPr>
          <w:noProof/>
        </w:rPr>
        <w:t xml:space="preserve">standardised </w:t>
      </w:r>
      <w:r>
        <w:rPr>
          <w:noProof/>
        </w:rPr>
        <w:t xml:space="preserve">manner for all </w:t>
      </w:r>
      <w:r w:rsidR="00710411" w:rsidRPr="001D16DE">
        <w:rPr>
          <w:noProof/>
        </w:rPr>
        <w:t xml:space="preserve">the </w:t>
      </w:r>
      <w:r>
        <w:rPr>
          <w:noProof/>
        </w:rPr>
        <w:t>product types in scope.</w:t>
      </w:r>
      <w:r w:rsidR="00DB430A">
        <w:rPr>
          <w:noProof/>
        </w:rPr>
        <w:t xml:space="preserve"> </w:t>
      </w:r>
    </w:p>
    <w:p w:rsidR="00710411" w:rsidRPr="001D16DE" w:rsidRDefault="00710411" w:rsidP="00B819A4">
      <w:pPr>
        <w:spacing w:before="0" w:after="240"/>
        <w:rPr>
          <w:noProof/>
        </w:rPr>
      </w:pPr>
      <w:r w:rsidRPr="004F0D04">
        <w:rPr>
          <w:b/>
          <w:noProof/>
        </w:rPr>
        <w:t>S</w:t>
      </w:r>
      <w:r w:rsidR="00D14955" w:rsidRPr="004F0D04">
        <w:rPr>
          <w:b/>
          <w:noProof/>
        </w:rPr>
        <w:t>ub-problem 1.3</w:t>
      </w:r>
      <w:r w:rsidR="00D14955">
        <w:rPr>
          <w:noProof/>
        </w:rPr>
        <w:t xml:space="preserve"> (</w:t>
      </w:r>
      <w:r w:rsidR="0025574A" w:rsidRPr="001D16DE">
        <w:rPr>
          <w:noProof/>
        </w:rPr>
        <w:t>l</w:t>
      </w:r>
      <w:r w:rsidR="00D14955" w:rsidRPr="00D14955">
        <w:rPr>
          <w:noProof/>
        </w:rPr>
        <w:t>ack of reliable information about products’ reparability</w:t>
      </w:r>
      <w:r w:rsidR="00580E1C">
        <w:rPr>
          <w:noProof/>
        </w:rPr>
        <w:t>)</w:t>
      </w:r>
      <w:r w:rsidR="00D14955">
        <w:rPr>
          <w:noProof/>
        </w:rPr>
        <w:t xml:space="preserve"> </w:t>
      </w:r>
    </w:p>
    <w:p w:rsidR="0025574A" w:rsidRPr="001D16DE" w:rsidRDefault="00710411" w:rsidP="00B819A4">
      <w:pPr>
        <w:spacing w:before="0" w:after="240"/>
        <w:rPr>
          <w:noProof/>
        </w:rPr>
      </w:pPr>
      <w:r w:rsidRPr="001D16DE">
        <w:rPr>
          <w:noProof/>
        </w:rPr>
        <w:t xml:space="preserve">The preferred policy option </w:t>
      </w:r>
      <w:r w:rsidR="00DA0412">
        <w:rPr>
          <w:noProof/>
        </w:rPr>
        <w:t xml:space="preserve">would </w:t>
      </w:r>
      <w:r w:rsidR="00D14955">
        <w:rPr>
          <w:noProof/>
        </w:rPr>
        <w:t xml:space="preserve">ensure consumers will receive reliable information at the point of sale about the reparability of a good </w:t>
      </w:r>
      <w:r w:rsidR="003B2F04">
        <w:rPr>
          <w:noProof/>
        </w:rPr>
        <w:t xml:space="preserve">in the form of a </w:t>
      </w:r>
      <w:r w:rsidR="002F35C3">
        <w:rPr>
          <w:noProof/>
        </w:rPr>
        <w:t>reparability</w:t>
      </w:r>
      <w:r w:rsidR="003B2F04">
        <w:rPr>
          <w:noProof/>
        </w:rPr>
        <w:t xml:space="preserve"> score, </w:t>
      </w:r>
      <w:r w:rsidR="0025574A" w:rsidRPr="001D16DE">
        <w:rPr>
          <w:noProof/>
        </w:rPr>
        <w:t xml:space="preserve">if one </w:t>
      </w:r>
      <w:r w:rsidR="003B2F04" w:rsidRPr="001D16DE">
        <w:rPr>
          <w:noProof/>
        </w:rPr>
        <w:t>exist</w:t>
      </w:r>
      <w:r w:rsidR="0025574A" w:rsidRPr="001D16DE">
        <w:rPr>
          <w:noProof/>
        </w:rPr>
        <w:t>s</w:t>
      </w:r>
      <w:r w:rsidR="003B2F04">
        <w:rPr>
          <w:noProof/>
        </w:rPr>
        <w:t xml:space="preserve"> for that particular product category</w:t>
      </w:r>
      <w:r w:rsidR="00AB512B">
        <w:rPr>
          <w:noProof/>
        </w:rPr>
        <w:t xml:space="preserve"> and</w:t>
      </w:r>
      <w:r w:rsidR="003B2F04" w:rsidDel="003C7496">
        <w:rPr>
          <w:noProof/>
        </w:rPr>
        <w:t xml:space="preserve"> </w:t>
      </w:r>
      <w:r w:rsidR="0025574A" w:rsidRPr="001D16DE">
        <w:rPr>
          <w:noProof/>
        </w:rPr>
        <w:t>is</w:t>
      </w:r>
      <w:r w:rsidR="003B2F04">
        <w:rPr>
          <w:noProof/>
        </w:rPr>
        <w:t xml:space="preserve"> mandated </w:t>
      </w:r>
      <w:r w:rsidR="0025574A" w:rsidRPr="001D16DE">
        <w:rPr>
          <w:noProof/>
        </w:rPr>
        <w:t xml:space="preserve">under </w:t>
      </w:r>
      <w:r w:rsidR="008E402E">
        <w:rPr>
          <w:noProof/>
        </w:rPr>
        <w:t>Union law</w:t>
      </w:r>
      <w:r w:rsidR="003B2F04">
        <w:rPr>
          <w:noProof/>
        </w:rPr>
        <w:t>.</w:t>
      </w:r>
      <w:r w:rsidR="00B9619F">
        <w:rPr>
          <w:noProof/>
        </w:rPr>
        <w:t xml:space="preserve"> </w:t>
      </w:r>
    </w:p>
    <w:p w:rsidR="00D14955" w:rsidRDefault="00B9619F" w:rsidP="00B819A4">
      <w:pPr>
        <w:spacing w:before="0" w:after="240"/>
        <w:rPr>
          <w:noProof/>
        </w:rPr>
      </w:pPr>
      <w:r>
        <w:rPr>
          <w:noProof/>
        </w:rPr>
        <w:t xml:space="preserve">If no such </w:t>
      </w:r>
      <w:r w:rsidR="002F35C3">
        <w:rPr>
          <w:noProof/>
        </w:rPr>
        <w:t>reparability</w:t>
      </w:r>
      <w:r>
        <w:rPr>
          <w:noProof/>
        </w:rPr>
        <w:t xml:space="preserve"> score is applicable or available, this option </w:t>
      </w:r>
      <w:r w:rsidR="00DA0412">
        <w:rPr>
          <w:noProof/>
        </w:rPr>
        <w:t xml:space="preserve">would </w:t>
      </w:r>
      <w:r>
        <w:rPr>
          <w:noProof/>
        </w:rPr>
        <w:t xml:space="preserve">ensure consumers are provided with other relevant repair information </w:t>
      </w:r>
      <w:r w:rsidR="0025574A" w:rsidRPr="001D16DE">
        <w:rPr>
          <w:noProof/>
        </w:rPr>
        <w:t>(</w:t>
      </w:r>
      <w:r>
        <w:rPr>
          <w:noProof/>
        </w:rPr>
        <w:t>where available</w:t>
      </w:r>
      <w:r w:rsidR="0025574A" w:rsidRPr="001D16DE">
        <w:rPr>
          <w:noProof/>
        </w:rPr>
        <w:t>)</w:t>
      </w:r>
      <w:r w:rsidRPr="001D16DE">
        <w:rPr>
          <w:noProof/>
        </w:rPr>
        <w:t>,</w:t>
      </w:r>
      <w:r>
        <w:rPr>
          <w:noProof/>
        </w:rPr>
        <w:t xml:space="preserve"> such as </w:t>
      </w:r>
      <w:r w:rsidRPr="00B9619F">
        <w:rPr>
          <w:noProof/>
        </w:rPr>
        <w:t xml:space="preserve">the availability of spare parts </w:t>
      </w:r>
      <w:r w:rsidR="0025574A" w:rsidRPr="001D16DE">
        <w:rPr>
          <w:noProof/>
        </w:rPr>
        <w:t>(</w:t>
      </w:r>
      <w:r w:rsidRPr="00B9619F">
        <w:rPr>
          <w:noProof/>
        </w:rPr>
        <w:t>including a procedure for ordering them</w:t>
      </w:r>
      <w:r w:rsidR="0025574A" w:rsidRPr="001D16DE">
        <w:rPr>
          <w:noProof/>
        </w:rPr>
        <w:t>)</w:t>
      </w:r>
      <w:r w:rsidR="00CA7EC7">
        <w:rPr>
          <w:noProof/>
        </w:rPr>
        <w:t xml:space="preserve"> </w:t>
      </w:r>
      <w:r w:rsidR="0025574A" w:rsidRPr="001D16DE">
        <w:rPr>
          <w:noProof/>
        </w:rPr>
        <w:t xml:space="preserve">or </w:t>
      </w:r>
      <w:r w:rsidRPr="00B9619F">
        <w:rPr>
          <w:noProof/>
        </w:rPr>
        <w:t xml:space="preserve">repair </w:t>
      </w:r>
      <w:r w:rsidRPr="001D16DE">
        <w:rPr>
          <w:noProof/>
        </w:rPr>
        <w:t>manual</w:t>
      </w:r>
      <w:r w:rsidR="0025574A" w:rsidRPr="001D16DE">
        <w:rPr>
          <w:noProof/>
        </w:rPr>
        <w:t>s</w:t>
      </w:r>
      <w:r>
        <w:rPr>
          <w:noProof/>
        </w:rPr>
        <w:t>.</w:t>
      </w:r>
    </w:p>
    <w:p w:rsidR="0025574A" w:rsidRPr="001D16DE" w:rsidRDefault="0025574A" w:rsidP="00B819A4">
      <w:pPr>
        <w:spacing w:before="0" w:after="240"/>
        <w:rPr>
          <w:noProof/>
        </w:rPr>
      </w:pPr>
      <w:r w:rsidRPr="004F0D04">
        <w:rPr>
          <w:b/>
          <w:noProof/>
        </w:rPr>
        <w:t>S</w:t>
      </w:r>
      <w:r w:rsidR="00B9619F" w:rsidRPr="004F0D04">
        <w:rPr>
          <w:b/>
          <w:noProof/>
        </w:rPr>
        <w:t>ub-problem 2.1</w:t>
      </w:r>
      <w:r w:rsidR="00B9619F">
        <w:rPr>
          <w:noProof/>
        </w:rPr>
        <w:t xml:space="preserve"> (</w:t>
      </w:r>
      <w:r w:rsidR="00B9619F" w:rsidRPr="00B9619F">
        <w:rPr>
          <w:noProof/>
        </w:rPr>
        <w:t xml:space="preserve">products not </w:t>
      </w:r>
      <w:r w:rsidR="00B9619F" w:rsidRPr="001D16DE">
        <w:rPr>
          <w:noProof/>
        </w:rPr>
        <w:t>last</w:t>
      </w:r>
      <w:r w:rsidRPr="001D16DE">
        <w:rPr>
          <w:noProof/>
        </w:rPr>
        <w:t>ing</w:t>
      </w:r>
      <w:r w:rsidR="00B9619F" w:rsidRPr="00B9619F">
        <w:rPr>
          <w:noProof/>
        </w:rPr>
        <w:t xml:space="preserve"> as long as they </w:t>
      </w:r>
      <w:r w:rsidRPr="001D16DE">
        <w:rPr>
          <w:noProof/>
        </w:rPr>
        <w:t>sh</w:t>
      </w:r>
      <w:r w:rsidR="00B9619F" w:rsidRPr="00B9619F">
        <w:rPr>
          <w:noProof/>
        </w:rPr>
        <w:t>ould</w:t>
      </w:r>
      <w:r w:rsidR="00B9619F">
        <w:rPr>
          <w:noProof/>
        </w:rPr>
        <w:t>)</w:t>
      </w:r>
    </w:p>
    <w:p w:rsidR="0025574A" w:rsidRPr="001D16DE" w:rsidRDefault="0025574A" w:rsidP="00B819A4">
      <w:pPr>
        <w:spacing w:before="0" w:after="240"/>
        <w:rPr>
          <w:noProof/>
        </w:rPr>
      </w:pPr>
      <w:r w:rsidRPr="001D16DE">
        <w:rPr>
          <w:noProof/>
        </w:rPr>
        <w:t xml:space="preserve">The preferred option </w:t>
      </w:r>
      <w:r w:rsidR="00DA0412">
        <w:rPr>
          <w:noProof/>
        </w:rPr>
        <w:t xml:space="preserve">would </w:t>
      </w:r>
      <w:r w:rsidR="00B9619F">
        <w:rPr>
          <w:noProof/>
        </w:rPr>
        <w:t>ensure consumers are better protect</w:t>
      </w:r>
      <w:r w:rsidR="00EC39E8">
        <w:rPr>
          <w:noProof/>
        </w:rPr>
        <w:t xml:space="preserve">ed against </w:t>
      </w:r>
      <w:r w:rsidRPr="001D16DE">
        <w:rPr>
          <w:noProof/>
        </w:rPr>
        <w:t xml:space="preserve">from </w:t>
      </w:r>
      <w:r w:rsidR="007C1C25">
        <w:rPr>
          <w:noProof/>
        </w:rPr>
        <w:t xml:space="preserve">goods or services </w:t>
      </w:r>
      <w:r w:rsidRPr="001D16DE">
        <w:rPr>
          <w:noProof/>
        </w:rPr>
        <w:t xml:space="preserve">being marketed </w:t>
      </w:r>
      <w:r w:rsidR="007C1C25">
        <w:rPr>
          <w:noProof/>
        </w:rPr>
        <w:t xml:space="preserve">without disclosing that they have been designed to become obsolete earlier than the consumer might expect. </w:t>
      </w:r>
    </w:p>
    <w:p w:rsidR="0025574A" w:rsidRPr="001D16DE" w:rsidRDefault="00EC39E8" w:rsidP="00B819A4">
      <w:pPr>
        <w:spacing w:before="0" w:after="240"/>
        <w:rPr>
          <w:noProof/>
        </w:rPr>
      </w:pPr>
      <w:r>
        <w:rPr>
          <w:noProof/>
        </w:rPr>
        <w:t xml:space="preserve">The designation of specific practices as constituting </w:t>
      </w:r>
      <w:r w:rsidR="0025574A" w:rsidRPr="001D16DE">
        <w:rPr>
          <w:noProof/>
        </w:rPr>
        <w:t>‘</w:t>
      </w:r>
      <w:r>
        <w:rPr>
          <w:noProof/>
        </w:rPr>
        <w:t xml:space="preserve">early obsolescence </w:t>
      </w:r>
      <w:r w:rsidRPr="001D16DE">
        <w:rPr>
          <w:noProof/>
        </w:rPr>
        <w:t>practices</w:t>
      </w:r>
      <w:r w:rsidR="0025574A" w:rsidRPr="001D16DE">
        <w:rPr>
          <w:noProof/>
        </w:rPr>
        <w:t>’</w:t>
      </w:r>
      <w:r>
        <w:rPr>
          <w:noProof/>
        </w:rPr>
        <w:t xml:space="preserve"> will facilitate the enforcement work of consumer protection authorities.</w:t>
      </w:r>
      <w:r w:rsidR="00F00177">
        <w:rPr>
          <w:noProof/>
        </w:rPr>
        <w:t xml:space="preserve"> </w:t>
      </w:r>
    </w:p>
    <w:p w:rsidR="00F00177" w:rsidRPr="00F00177" w:rsidRDefault="00F00177" w:rsidP="00B819A4">
      <w:pPr>
        <w:spacing w:before="0" w:after="240"/>
        <w:rPr>
          <w:noProof/>
          <w:szCs w:val="24"/>
        </w:rPr>
      </w:pPr>
      <w:r>
        <w:rPr>
          <w:noProof/>
        </w:rPr>
        <w:t>Another</w:t>
      </w:r>
      <w:r w:rsidRPr="00F00177">
        <w:rPr>
          <w:noProof/>
        </w:rPr>
        <w:t xml:space="preserve"> </w:t>
      </w:r>
      <w:r>
        <w:rPr>
          <w:noProof/>
        </w:rPr>
        <w:t xml:space="preserve">option </w:t>
      </w:r>
      <w:r w:rsidRPr="00F00177">
        <w:rPr>
          <w:noProof/>
        </w:rPr>
        <w:t xml:space="preserve">considered to address this sub-problem </w:t>
      </w:r>
      <w:r w:rsidRPr="00F00177">
        <w:rPr>
          <w:noProof/>
          <w:szCs w:val="24"/>
        </w:rPr>
        <w:t xml:space="preserve">was </w:t>
      </w:r>
      <w:r w:rsidRPr="001D16DE">
        <w:rPr>
          <w:noProof/>
          <w:szCs w:val="24"/>
        </w:rPr>
        <w:t>collectin</w:t>
      </w:r>
      <w:r w:rsidR="0025574A" w:rsidRPr="001D16DE">
        <w:rPr>
          <w:noProof/>
          <w:szCs w:val="24"/>
        </w:rPr>
        <w:t>g</w:t>
      </w:r>
      <w:r w:rsidRPr="00F00177">
        <w:rPr>
          <w:noProof/>
          <w:szCs w:val="24"/>
        </w:rPr>
        <w:t xml:space="preserve"> evidence on early failures of products identified by authorised </w:t>
      </w:r>
      <w:r w:rsidR="0025574A" w:rsidRPr="001D16DE">
        <w:rPr>
          <w:noProof/>
          <w:szCs w:val="24"/>
        </w:rPr>
        <w:t>bod</w:t>
      </w:r>
      <w:r w:rsidRPr="00F00177">
        <w:rPr>
          <w:noProof/>
          <w:szCs w:val="24"/>
        </w:rPr>
        <w:t>ies</w:t>
      </w:r>
      <w:r>
        <w:rPr>
          <w:noProof/>
          <w:szCs w:val="24"/>
        </w:rPr>
        <w:t xml:space="preserve">. However this option was not selected </w:t>
      </w:r>
      <w:r>
        <w:rPr>
          <w:noProof/>
        </w:rPr>
        <w:t xml:space="preserve">as it was </w:t>
      </w:r>
      <w:r w:rsidR="0025574A" w:rsidRPr="001D16DE">
        <w:rPr>
          <w:noProof/>
        </w:rPr>
        <w:t xml:space="preserve">not </w:t>
      </w:r>
      <w:r>
        <w:rPr>
          <w:noProof/>
        </w:rPr>
        <w:t xml:space="preserve">deemed </w:t>
      </w:r>
      <w:r w:rsidR="0025574A" w:rsidRPr="001D16DE">
        <w:rPr>
          <w:noProof/>
        </w:rPr>
        <w:t xml:space="preserve">likely </w:t>
      </w:r>
      <w:r>
        <w:rPr>
          <w:noProof/>
        </w:rPr>
        <w:t xml:space="preserve">to bring </w:t>
      </w:r>
      <w:r w:rsidR="0025574A" w:rsidRPr="001D16DE">
        <w:rPr>
          <w:noProof/>
        </w:rPr>
        <w:t xml:space="preserve">significant </w:t>
      </w:r>
      <w:r>
        <w:rPr>
          <w:noProof/>
        </w:rPr>
        <w:t>benefits to consumers.</w:t>
      </w:r>
    </w:p>
    <w:p w:rsidR="0025574A" w:rsidRPr="001D16DE" w:rsidRDefault="0025574A" w:rsidP="00B819A4">
      <w:pPr>
        <w:spacing w:before="0" w:after="240"/>
        <w:rPr>
          <w:noProof/>
        </w:rPr>
      </w:pPr>
      <w:r w:rsidRPr="004F0D04">
        <w:rPr>
          <w:b/>
          <w:noProof/>
        </w:rPr>
        <w:t>S</w:t>
      </w:r>
      <w:r w:rsidR="007C1C25" w:rsidRPr="004F0D04">
        <w:rPr>
          <w:b/>
          <w:noProof/>
        </w:rPr>
        <w:t>ub-problem 2.2</w:t>
      </w:r>
      <w:r w:rsidR="007C1C25">
        <w:rPr>
          <w:noProof/>
        </w:rPr>
        <w:t xml:space="preserve"> (</w:t>
      </w:r>
      <w:r w:rsidR="007C1C25" w:rsidRPr="007C1C25">
        <w:rPr>
          <w:noProof/>
        </w:rPr>
        <w:t xml:space="preserve">unclear or </w:t>
      </w:r>
      <w:r w:rsidRPr="001D16DE">
        <w:rPr>
          <w:noProof/>
        </w:rPr>
        <w:t xml:space="preserve">unfounded </w:t>
      </w:r>
      <w:r w:rsidR="007C1C25" w:rsidRPr="007C1C25">
        <w:rPr>
          <w:noProof/>
        </w:rPr>
        <w:t>environmental claims</w:t>
      </w:r>
      <w:r w:rsidR="007C1C25" w:rsidRPr="001D16DE">
        <w:rPr>
          <w:noProof/>
        </w:rPr>
        <w:t>)</w:t>
      </w:r>
    </w:p>
    <w:p w:rsidR="00EC39E8" w:rsidRDefault="0025574A" w:rsidP="00B819A4">
      <w:pPr>
        <w:spacing w:before="0" w:after="240"/>
        <w:rPr>
          <w:noProof/>
        </w:rPr>
      </w:pPr>
      <w:r w:rsidRPr="001D16DE">
        <w:rPr>
          <w:noProof/>
        </w:rPr>
        <w:t>T</w:t>
      </w:r>
      <w:r w:rsidR="00580E1C">
        <w:rPr>
          <w:noProof/>
        </w:rPr>
        <w:t>he preferred option</w:t>
      </w:r>
      <w:r w:rsidR="00490E11">
        <w:rPr>
          <w:noProof/>
        </w:rPr>
        <w:t xml:space="preserve"> </w:t>
      </w:r>
      <w:r w:rsidR="00DA0412">
        <w:rPr>
          <w:noProof/>
        </w:rPr>
        <w:t xml:space="preserve">would </w:t>
      </w:r>
      <w:r w:rsidR="00EC39E8">
        <w:rPr>
          <w:noProof/>
        </w:rPr>
        <w:t>ensure consumers are protected from greenwashing</w:t>
      </w:r>
      <w:r w:rsidR="00464C26">
        <w:rPr>
          <w:noProof/>
        </w:rPr>
        <w:t>, since</w:t>
      </w:r>
      <w:r w:rsidR="00EC39E8">
        <w:rPr>
          <w:noProof/>
        </w:rPr>
        <w:t xml:space="preserve"> a certain standard will need to be met by those making such claims. It </w:t>
      </w:r>
      <w:r w:rsidR="00DA0412">
        <w:rPr>
          <w:noProof/>
        </w:rPr>
        <w:t>would</w:t>
      </w:r>
      <w:r w:rsidR="00EC39E8">
        <w:rPr>
          <w:noProof/>
        </w:rPr>
        <w:t xml:space="preserve"> also facilitate enforcement </w:t>
      </w:r>
      <w:r w:rsidRPr="001D16DE">
        <w:rPr>
          <w:noProof/>
        </w:rPr>
        <w:t>by</w:t>
      </w:r>
      <w:r w:rsidR="00EC39E8">
        <w:rPr>
          <w:noProof/>
        </w:rPr>
        <w:t xml:space="preserve"> consumer protection authorities.</w:t>
      </w:r>
    </w:p>
    <w:p w:rsidR="0025574A" w:rsidRPr="001D16DE" w:rsidRDefault="0025574A" w:rsidP="00B819A4">
      <w:pPr>
        <w:spacing w:before="0" w:after="240"/>
        <w:rPr>
          <w:noProof/>
        </w:rPr>
      </w:pPr>
      <w:r w:rsidRPr="004F0D04">
        <w:rPr>
          <w:b/>
          <w:noProof/>
        </w:rPr>
        <w:t>S</w:t>
      </w:r>
      <w:r w:rsidR="00EC39E8" w:rsidRPr="004F0D04">
        <w:rPr>
          <w:b/>
          <w:noProof/>
        </w:rPr>
        <w:t>ub-problem 2.3</w:t>
      </w:r>
      <w:r w:rsidR="00EC39E8">
        <w:rPr>
          <w:noProof/>
        </w:rPr>
        <w:t xml:space="preserve"> (</w:t>
      </w:r>
      <w:r w:rsidRPr="001D16DE">
        <w:rPr>
          <w:noProof/>
        </w:rPr>
        <w:t xml:space="preserve">unclear/unfounded </w:t>
      </w:r>
      <w:r w:rsidR="00EC39E8" w:rsidRPr="00EC39E8">
        <w:rPr>
          <w:noProof/>
        </w:rPr>
        <w:t>sustainability labels</w:t>
      </w:r>
      <w:r w:rsidRPr="001D16DE">
        <w:rPr>
          <w:noProof/>
        </w:rPr>
        <w:t>/</w:t>
      </w:r>
      <w:r w:rsidR="00EC39E8" w:rsidRPr="00EC39E8">
        <w:rPr>
          <w:noProof/>
        </w:rPr>
        <w:t>digital information tools</w:t>
      </w:r>
      <w:r w:rsidR="00EC39E8">
        <w:rPr>
          <w:noProof/>
        </w:rPr>
        <w:t>)</w:t>
      </w:r>
      <w:r w:rsidR="00E36647">
        <w:rPr>
          <w:noProof/>
        </w:rPr>
        <w:t xml:space="preserve"> </w:t>
      </w:r>
    </w:p>
    <w:p w:rsidR="004B52A3" w:rsidRPr="001D16DE" w:rsidRDefault="0025574A" w:rsidP="00B819A4">
      <w:pPr>
        <w:spacing w:before="0" w:after="240"/>
        <w:rPr>
          <w:noProof/>
        </w:rPr>
      </w:pPr>
      <w:r w:rsidRPr="001D16DE">
        <w:rPr>
          <w:noProof/>
        </w:rPr>
        <w:t xml:space="preserve">The preferred option </w:t>
      </w:r>
      <w:r w:rsidR="00DA0412">
        <w:rPr>
          <w:noProof/>
        </w:rPr>
        <w:t xml:space="preserve">would </w:t>
      </w:r>
      <w:r w:rsidR="00EC39E8">
        <w:rPr>
          <w:noProof/>
        </w:rPr>
        <w:t xml:space="preserve">ensure consumers are protected from </w:t>
      </w:r>
      <w:r w:rsidR="004B52A3" w:rsidRPr="001D16DE">
        <w:rPr>
          <w:noProof/>
        </w:rPr>
        <w:t xml:space="preserve">being </w:t>
      </w:r>
      <w:r w:rsidR="00EC39E8">
        <w:rPr>
          <w:noProof/>
        </w:rPr>
        <w:t xml:space="preserve">misled </w:t>
      </w:r>
      <w:r w:rsidR="004B52A3" w:rsidRPr="001D16DE">
        <w:rPr>
          <w:noProof/>
        </w:rPr>
        <w:t xml:space="preserve">by </w:t>
      </w:r>
      <w:r w:rsidR="00EC39E8">
        <w:rPr>
          <w:noProof/>
        </w:rPr>
        <w:t xml:space="preserve">such labels and tools. </w:t>
      </w:r>
    </w:p>
    <w:p w:rsidR="00665EFC" w:rsidRDefault="00F00177" w:rsidP="00B819A4">
      <w:pPr>
        <w:spacing w:before="0" w:after="240"/>
        <w:rPr>
          <w:noProof/>
        </w:rPr>
      </w:pPr>
      <w:r>
        <w:rPr>
          <w:noProof/>
        </w:rPr>
        <w:t>Another</w:t>
      </w:r>
      <w:r w:rsidRPr="00F00177">
        <w:rPr>
          <w:noProof/>
        </w:rPr>
        <w:t xml:space="preserve"> </w:t>
      </w:r>
      <w:r>
        <w:rPr>
          <w:noProof/>
        </w:rPr>
        <w:t xml:space="preserve">option </w:t>
      </w:r>
      <w:r w:rsidRPr="00F00177">
        <w:rPr>
          <w:noProof/>
        </w:rPr>
        <w:t>considered to address this sub-problem was</w:t>
      </w:r>
      <w:r>
        <w:rPr>
          <w:noProof/>
        </w:rPr>
        <w:t xml:space="preserve"> p</w:t>
      </w:r>
      <w:r w:rsidRPr="00F00177">
        <w:rPr>
          <w:noProof/>
        </w:rPr>
        <w:t xml:space="preserve">re-approval </w:t>
      </w:r>
      <w:r w:rsidRPr="001D16DE">
        <w:rPr>
          <w:noProof/>
        </w:rPr>
        <w:t>f</w:t>
      </w:r>
      <w:r w:rsidR="004B52A3" w:rsidRPr="001D16DE">
        <w:rPr>
          <w:noProof/>
        </w:rPr>
        <w:t>or</w:t>
      </w:r>
      <w:r w:rsidRPr="00F00177">
        <w:rPr>
          <w:noProof/>
        </w:rPr>
        <w:t xml:space="preserve"> sustainability labels and digital information tools via an EU body</w:t>
      </w:r>
      <w:r>
        <w:rPr>
          <w:noProof/>
        </w:rPr>
        <w:t xml:space="preserve">. However this option was not selected as the burden on traders was deemed to be disproportionate. </w:t>
      </w:r>
    </w:p>
    <w:p w:rsidR="00DA0412" w:rsidRPr="000660B0" w:rsidRDefault="00DA0412" w:rsidP="00DA0412">
      <w:pPr>
        <w:rPr>
          <w:noProof/>
          <w:szCs w:val="24"/>
        </w:rPr>
      </w:pPr>
      <w:r>
        <w:rPr>
          <w:noProof/>
          <w:szCs w:val="24"/>
        </w:rPr>
        <w:t>The combination of the preferred policy options is expected to</w:t>
      </w:r>
      <w:r w:rsidRPr="005D7BE7">
        <w:rPr>
          <w:noProof/>
          <w:szCs w:val="24"/>
        </w:rPr>
        <w:t xml:space="preserve"> increase consumer welfare by at least </w:t>
      </w:r>
      <w:r w:rsidRPr="005D24D2">
        <w:rPr>
          <w:b/>
          <w:bCs/>
          <w:noProof/>
          <w:szCs w:val="24"/>
        </w:rPr>
        <w:t>EUR 12.5 – 19.4</w:t>
      </w:r>
      <w:r>
        <w:rPr>
          <w:b/>
          <w:bCs/>
          <w:noProof/>
          <w:szCs w:val="24"/>
        </w:rPr>
        <w:t xml:space="preserve"> </w:t>
      </w:r>
      <w:r w:rsidRPr="005D24D2">
        <w:rPr>
          <w:b/>
          <w:bCs/>
          <w:noProof/>
          <w:szCs w:val="24"/>
        </w:rPr>
        <w:t>billion</w:t>
      </w:r>
      <w:r>
        <w:rPr>
          <w:b/>
          <w:bCs/>
          <w:noProof/>
          <w:szCs w:val="24"/>
        </w:rPr>
        <w:t xml:space="preserve"> </w:t>
      </w:r>
      <w:r w:rsidRPr="00960FA1">
        <w:rPr>
          <w:noProof/>
          <w:szCs w:val="24"/>
        </w:rPr>
        <w:t>over a 15 year period</w:t>
      </w:r>
      <w:r w:rsidR="00970EB9">
        <w:rPr>
          <w:noProof/>
          <w:szCs w:val="24"/>
        </w:rPr>
        <w:t xml:space="preserve"> (around </w:t>
      </w:r>
      <w:r w:rsidR="00970EB9" w:rsidRPr="00970EB9">
        <w:rPr>
          <w:b/>
          <w:noProof/>
          <w:szCs w:val="24"/>
        </w:rPr>
        <w:t>EUR 1 billion</w:t>
      </w:r>
      <w:r w:rsidR="00970EB9">
        <w:rPr>
          <w:noProof/>
          <w:szCs w:val="24"/>
        </w:rPr>
        <w:t xml:space="preserve"> per year on average)</w:t>
      </w:r>
      <w:r w:rsidRPr="005D7BE7">
        <w:rPr>
          <w:noProof/>
          <w:szCs w:val="24"/>
        </w:rPr>
        <w:t xml:space="preserve">. It will also bring benefits to the environment, with a partial estimation of the total saved </w:t>
      </w:r>
      <w:r w:rsidRPr="005D24D2">
        <w:rPr>
          <w:b/>
          <w:bCs/>
          <w:noProof/>
          <w:szCs w:val="24"/>
        </w:rPr>
        <w:t>CO2e of</w:t>
      </w:r>
      <w:r w:rsidRPr="005D7BE7">
        <w:rPr>
          <w:noProof/>
          <w:szCs w:val="24"/>
        </w:rPr>
        <w:t xml:space="preserve"> </w:t>
      </w:r>
      <w:r w:rsidR="00E53FC9">
        <w:rPr>
          <w:b/>
          <w:bCs/>
          <w:noProof/>
          <w:szCs w:val="24"/>
        </w:rPr>
        <w:t>5</w:t>
      </w:r>
      <w:r w:rsidRPr="005D24D2">
        <w:rPr>
          <w:b/>
          <w:bCs/>
          <w:noProof/>
          <w:szCs w:val="24"/>
        </w:rPr>
        <w:t xml:space="preserve"> - </w:t>
      </w:r>
      <w:r w:rsidR="00E53FC9">
        <w:rPr>
          <w:b/>
          <w:bCs/>
          <w:noProof/>
          <w:szCs w:val="24"/>
        </w:rPr>
        <w:t>7</w:t>
      </w:r>
      <w:r w:rsidRPr="005D24D2">
        <w:rPr>
          <w:b/>
          <w:bCs/>
          <w:noProof/>
          <w:szCs w:val="24"/>
        </w:rPr>
        <w:t xml:space="preserve"> MtCO2e</w:t>
      </w:r>
      <w:r w:rsidR="00970EB9">
        <w:rPr>
          <w:b/>
          <w:bCs/>
          <w:noProof/>
          <w:szCs w:val="24"/>
        </w:rPr>
        <w:t xml:space="preserve"> </w:t>
      </w:r>
      <w:r w:rsidR="00970EB9" w:rsidRPr="00970EB9">
        <w:rPr>
          <w:bCs/>
          <w:noProof/>
          <w:szCs w:val="24"/>
        </w:rPr>
        <w:t>over a 15 year period</w:t>
      </w:r>
      <w:r w:rsidRPr="005D7BE7">
        <w:rPr>
          <w:noProof/>
          <w:szCs w:val="24"/>
        </w:rPr>
        <w:t>.</w:t>
      </w:r>
      <w:r>
        <w:rPr>
          <w:noProof/>
          <w:szCs w:val="24"/>
        </w:rPr>
        <w:t xml:space="preserve"> At the same time,</w:t>
      </w:r>
      <w:r w:rsidRPr="005D24D2">
        <w:rPr>
          <w:noProof/>
          <w:szCs w:val="24"/>
        </w:rPr>
        <w:t xml:space="preserve"> businesses will have to adjust, which </w:t>
      </w:r>
      <w:r>
        <w:rPr>
          <w:noProof/>
          <w:szCs w:val="24"/>
        </w:rPr>
        <w:t xml:space="preserve">is expected to </w:t>
      </w:r>
      <w:r w:rsidRPr="005D24D2">
        <w:rPr>
          <w:b/>
          <w:bCs/>
          <w:noProof/>
          <w:szCs w:val="24"/>
        </w:rPr>
        <w:t xml:space="preserve">cost </w:t>
      </w:r>
      <w:r>
        <w:rPr>
          <w:b/>
          <w:bCs/>
          <w:noProof/>
          <w:szCs w:val="24"/>
        </w:rPr>
        <w:t xml:space="preserve">between </w:t>
      </w:r>
      <w:r w:rsidRPr="005D24D2">
        <w:rPr>
          <w:b/>
          <w:bCs/>
          <w:noProof/>
          <w:szCs w:val="24"/>
        </w:rPr>
        <w:t>EUR 9.1 – 10.4 billion</w:t>
      </w:r>
      <w:r w:rsidRPr="005D24D2">
        <w:rPr>
          <w:noProof/>
          <w:szCs w:val="24"/>
        </w:rPr>
        <w:t xml:space="preserve">. This represents an average one off cost </w:t>
      </w:r>
      <w:r w:rsidRPr="005D24D2">
        <w:rPr>
          <w:b/>
          <w:bCs/>
          <w:noProof/>
          <w:szCs w:val="24"/>
        </w:rPr>
        <w:t>per company</w:t>
      </w:r>
      <w:r w:rsidRPr="005D24D2">
        <w:rPr>
          <w:noProof/>
          <w:szCs w:val="24"/>
        </w:rPr>
        <w:t xml:space="preserve"> of between </w:t>
      </w:r>
      <w:r w:rsidRPr="005D24D2">
        <w:rPr>
          <w:b/>
          <w:bCs/>
          <w:noProof/>
          <w:szCs w:val="24"/>
        </w:rPr>
        <w:t xml:space="preserve">EUR 556 </w:t>
      </w:r>
      <w:r>
        <w:rPr>
          <w:b/>
          <w:bCs/>
          <w:noProof/>
          <w:szCs w:val="24"/>
        </w:rPr>
        <w:t>-</w:t>
      </w:r>
      <w:r w:rsidRPr="005D24D2">
        <w:rPr>
          <w:b/>
          <w:bCs/>
          <w:noProof/>
          <w:szCs w:val="24"/>
        </w:rPr>
        <w:t> 568</w:t>
      </w:r>
      <w:r w:rsidRPr="005D24D2">
        <w:rPr>
          <w:noProof/>
          <w:szCs w:val="24"/>
        </w:rPr>
        <w:t xml:space="preserve">, followed by an annual recurrent cost of between </w:t>
      </w:r>
      <w:r w:rsidRPr="005D24D2">
        <w:rPr>
          <w:b/>
          <w:bCs/>
          <w:noProof/>
          <w:szCs w:val="24"/>
        </w:rPr>
        <w:t>EUR 64 - 79</w:t>
      </w:r>
      <w:r w:rsidRPr="005D24D2">
        <w:rPr>
          <w:noProof/>
          <w:szCs w:val="24"/>
        </w:rPr>
        <w:t xml:space="preserve"> for the period covered.</w:t>
      </w:r>
      <w:r w:rsidRPr="005773BA">
        <w:rPr>
          <w:noProof/>
          <w:szCs w:val="24"/>
        </w:rPr>
        <w:t xml:space="preserve"> </w:t>
      </w:r>
      <w:r w:rsidRPr="005D24D2">
        <w:rPr>
          <w:noProof/>
          <w:szCs w:val="24"/>
        </w:rPr>
        <w:t xml:space="preserve">On the other hand, businesses will also experience very important benefits related to level playing field as businesses that currently mislead consumers would have to align their practices with those that are truly sustainable. The </w:t>
      </w:r>
      <w:r w:rsidRPr="005D24D2">
        <w:rPr>
          <w:b/>
          <w:bCs/>
          <w:noProof/>
          <w:szCs w:val="24"/>
        </w:rPr>
        <w:t>enforcement</w:t>
      </w:r>
      <w:r w:rsidRPr="005D24D2">
        <w:rPr>
          <w:noProof/>
          <w:szCs w:val="24"/>
        </w:rPr>
        <w:t xml:space="preserve"> of the preferred options on the part of public administrations </w:t>
      </w:r>
      <w:r>
        <w:rPr>
          <w:noProof/>
          <w:szCs w:val="24"/>
        </w:rPr>
        <w:t xml:space="preserve">is expected to </w:t>
      </w:r>
      <w:r w:rsidRPr="005D24D2">
        <w:rPr>
          <w:noProof/>
          <w:szCs w:val="24"/>
        </w:rPr>
        <w:t>cost</w:t>
      </w:r>
      <w:r w:rsidR="00BE5B60">
        <w:rPr>
          <w:noProof/>
          <w:szCs w:val="24"/>
        </w:rPr>
        <w:t xml:space="preserve"> on average</w:t>
      </w:r>
      <w:r w:rsidRPr="005D24D2">
        <w:rPr>
          <w:noProof/>
          <w:szCs w:val="24"/>
        </w:rPr>
        <w:t xml:space="preserve"> about </w:t>
      </w:r>
      <w:r w:rsidRPr="005D24D2">
        <w:rPr>
          <w:b/>
          <w:bCs/>
          <w:noProof/>
          <w:szCs w:val="24"/>
        </w:rPr>
        <w:t xml:space="preserve">EUR </w:t>
      </w:r>
      <w:r w:rsidR="0051343D" w:rsidRPr="005D24D2">
        <w:rPr>
          <w:b/>
          <w:bCs/>
          <w:noProof/>
          <w:szCs w:val="24"/>
        </w:rPr>
        <w:t>44</w:t>
      </w:r>
      <w:r w:rsidR="0051343D">
        <w:rPr>
          <w:b/>
          <w:bCs/>
          <w:noProof/>
          <w:szCs w:val="24"/>
        </w:rPr>
        <w:t>0</w:t>
      </w:r>
      <w:r w:rsidR="0051343D" w:rsidRPr="005D24D2">
        <w:rPr>
          <w:b/>
          <w:bCs/>
          <w:noProof/>
          <w:szCs w:val="24"/>
        </w:rPr>
        <w:t xml:space="preserve"> </w:t>
      </w:r>
      <w:r w:rsidR="0051343D">
        <w:rPr>
          <w:b/>
          <w:bCs/>
          <w:noProof/>
          <w:szCs w:val="24"/>
        </w:rPr>
        <w:t>000</w:t>
      </w:r>
      <w:r w:rsidR="0051343D" w:rsidRPr="005D24D2">
        <w:rPr>
          <w:b/>
          <w:bCs/>
          <w:noProof/>
          <w:szCs w:val="24"/>
        </w:rPr>
        <w:t xml:space="preserve"> </w:t>
      </w:r>
      <w:r w:rsidRPr="005D24D2">
        <w:rPr>
          <w:b/>
          <w:bCs/>
          <w:noProof/>
          <w:szCs w:val="24"/>
        </w:rPr>
        <w:t xml:space="preserve">– </w:t>
      </w:r>
      <w:r w:rsidR="0051343D">
        <w:rPr>
          <w:b/>
          <w:bCs/>
          <w:noProof/>
          <w:szCs w:val="24"/>
        </w:rPr>
        <w:t>500 000</w:t>
      </w:r>
      <w:r w:rsidRPr="005D24D2">
        <w:rPr>
          <w:b/>
          <w:bCs/>
          <w:noProof/>
          <w:szCs w:val="24"/>
        </w:rPr>
        <w:t xml:space="preserve"> per year</w:t>
      </w:r>
      <w:r w:rsidRPr="005773BA">
        <w:rPr>
          <w:noProof/>
          <w:szCs w:val="24"/>
        </w:rPr>
        <w:t xml:space="preserve"> per Member State.</w:t>
      </w:r>
    </w:p>
    <w:p w:rsidR="00DA0412" w:rsidRPr="007360B2" w:rsidDel="00DA0412" w:rsidRDefault="00DA0412" w:rsidP="00B819A4">
      <w:pPr>
        <w:spacing w:before="0" w:after="240"/>
        <w:rPr>
          <w:noProof/>
        </w:rPr>
      </w:pPr>
      <w:r>
        <w:rPr>
          <w:noProof/>
        </w:rPr>
        <w:t xml:space="preserve">In order to ensure full coherence with other Commission initiatives in preparation, it was decided that some of the elements of the preferred policy options selected in the impact assessment to tackle sub-problem 2.2 </w:t>
      </w:r>
      <w:r w:rsidR="00E31DF7">
        <w:rPr>
          <w:noProof/>
        </w:rPr>
        <w:t>(</w:t>
      </w:r>
      <w:r w:rsidR="00E31DF7" w:rsidRPr="007C1C25">
        <w:rPr>
          <w:noProof/>
        </w:rPr>
        <w:t xml:space="preserve">unclear or </w:t>
      </w:r>
      <w:r w:rsidR="00E31DF7" w:rsidRPr="001D16DE">
        <w:rPr>
          <w:noProof/>
        </w:rPr>
        <w:t xml:space="preserve">unfounded </w:t>
      </w:r>
      <w:r w:rsidR="00E31DF7" w:rsidRPr="007C1C25">
        <w:rPr>
          <w:noProof/>
        </w:rPr>
        <w:t>environmental claims</w:t>
      </w:r>
      <w:r w:rsidR="00E31DF7" w:rsidRPr="001D16DE">
        <w:rPr>
          <w:noProof/>
        </w:rPr>
        <w:t>)</w:t>
      </w:r>
      <w:r w:rsidR="00E31DF7">
        <w:rPr>
          <w:noProof/>
        </w:rPr>
        <w:t xml:space="preserve"> </w:t>
      </w:r>
      <w:r>
        <w:rPr>
          <w:noProof/>
        </w:rPr>
        <w:t>and sub-problem 2.3</w:t>
      </w:r>
      <w:r w:rsidR="00E31DF7">
        <w:rPr>
          <w:noProof/>
        </w:rPr>
        <w:t xml:space="preserve"> (</w:t>
      </w:r>
      <w:r w:rsidR="00E31DF7" w:rsidRPr="001D16DE">
        <w:rPr>
          <w:noProof/>
        </w:rPr>
        <w:t xml:space="preserve">unclear/unfounded </w:t>
      </w:r>
      <w:r w:rsidR="00E31DF7" w:rsidRPr="00EC39E8">
        <w:rPr>
          <w:noProof/>
        </w:rPr>
        <w:t>sustainability labels</w:t>
      </w:r>
      <w:r w:rsidR="00E31DF7" w:rsidRPr="001D16DE">
        <w:rPr>
          <w:noProof/>
        </w:rPr>
        <w:t>/</w:t>
      </w:r>
      <w:r w:rsidR="00E31DF7" w:rsidRPr="00EC39E8">
        <w:rPr>
          <w:noProof/>
        </w:rPr>
        <w:t>digital information tools</w:t>
      </w:r>
      <w:r w:rsidR="00E31DF7">
        <w:rPr>
          <w:noProof/>
        </w:rPr>
        <w:t>)</w:t>
      </w:r>
      <w:r>
        <w:rPr>
          <w:noProof/>
        </w:rPr>
        <w:t xml:space="preserve"> will not</w:t>
      </w:r>
      <w:r w:rsidR="00E31DF7">
        <w:rPr>
          <w:noProof/>
        </w:rPr>
        <w:t xml:space="preserve"> be</w:t>
      </w:r>
      <w:r>
        <w:rPr>
          <w:noProof/>
        </w:rPr>
        <w:t xml:space="preserve"> implemented </w:t>
      </w:r>
      <w:r w:rsidR="00276B4A">
        <w:rPr>
          <w:noProof/>
        </w:rPr>
        <w:t xml:space="preserve">via </w:t>
      </w:r>
      <w:r>
        <w:rPr>
          <w:noProof/>
        </w:rPr>
        <w:t>this initiative</w:t>
      </w:r>
      <w:r w:rsidR="00276B4A">
        <w:rPr>
          <w:noProof/>
        </w:rPr>
        <w:t xml:space="preserve"> but via the other initiatives</w:t>
      </w:r>
      <w:r>
        <w:rPr>
          <w:noProof/>
        </w:rPr>
        <w:t xml:space="preserve">. </w:t>
      </w:r>
    </w:p>
    <w:p w:rsidR="00665EFC" w:rsidRPr="009A2358" w:rsidRDefault="00665EFC" w:rsidP="00064846">
      <w:pPr>
        <w:pStyle w:val="Bullet0"/>
        <w:spacing w:after="240"/>
        <w:rPr>
          <w:b/>
          <w:noProof/>
          <w:u w:color="000000"/>
          <w:bdr w:val="nil"/>
        </w:rPr>
      </w:pPr>
      <w:r w:rsidRPr="004F0D04">
        <w:rPr>
          <w:b/>
          <w:noProof/>
          <w:bdr w:val="nil"/>
        </w:rPr>
        <w:t>Regulatory fitness and simplification</w:t>
      </w:r>
    </w:p>
    <w:p w:rsidR="00886643" w:rsidRDefault="00F00177" w:rsidP="00B819A4">
      <w:pPr>
        <w:pStyle w:val="Default"/>
        <w:spacing w:after="240"/>
        <w:jc w:val="both"/>
        <w:rPr>
          <w:rFonts w:eastAsia="Arial Unicode MS"/>
          <w:noProof/>
        </w:rPr>
      </w:pPr>
      <w:r>
        <w:rPr>
          <w:rFonts w:eastAsia="Arial Unicode MS"/>
          <w:noProof/>
        </w:rPr>
        <w:t>The fitness check report published in</w:t>
      </w:r>
      <w:r w:rsidR="003E2D82">
        <w:rPr>
          <w:rFonts w:eastAsia="Arial Unicode MS"/>
          <w:noProof/>
        </w:rPr>
        <w:t xml:space="preserve"> 2017</w:t>
      </w:r>
      <w:r>
        <w:rPr>
          <w:rFonts w:eastAsia="Arial Unicode MS"/>
          <w:noProof/>
        </w:rPr>
        <w:t xml:space="preserve"> </w:t>
      </w:r>
      <w:r w:rsidRPr="00F00177">
        <w:rPr>
          <w:rFonts w:eastAsia="Arial Unicode MS"/>
          <w:noProof/>
        </w:rPr>
        <w:t xml:space="preserve">showed that the general EU consumer legislation is not particularly burdensome, </w:t>
      </w:r>
      <w:r w:rsidR="00F354DA" w:rsidRPr="001D16DE">
        <w:rPr>
          <w:rFonts w:eastAsia="Arial Unicode MS"/>
          <w:noProof/>
        </w:rPr>
        <w:t>either</w:t>
      </w:r>
      <w:r w:rsidRPr="00F00177">
        <w:rPr>
          <w:rFonts w:eastAsia="Arial Unicode MS"/>
          <w:noProof/>
        </w:rPr>
        <w:t xml:space="preserve"> in absolute terms </w:t>
      </w:r>
      <w:r w:rsidR="00F354DA" w:rsidRPr="001D16DE">
        <w:rPr>
          <w:rFonts w:eastAsia="Arial Unicode MS"/>
          <w:noProof/>
        </w:rPr>
        <w:t>or</w:t>
      </w:r>
      <w:r w:rsidRPr="00F00177">
        <w:rPr>
          <w:rFonts w:eastAsia="Arial Unicode MS"/>
          <w:noProof/>
        </w:rPr>
        <w:t xml:space="preserve"> when compared </w:t>
      </w:r>
      <w:r>
        <w:rPr>
          <w:rFonts w:eastAsia="Arial Unicode MS"/>
          <w:noProof/>
        </w:rPr>
        <w:t>to other areas of EU regulation</w:t>
      </w:r>
      <w:r>
        <w:rPr>
          <w:rStyle w:val="FootnoteReference0"/>
          <w:rFonts w:eastAsia="Arial Unicode MS"/>
          <w:noProof/>
        </w:rPr>
        <w:footnoteReference w:id="20"/>
      </w:r>
      <w:r w:rsidRPr="00F00177">
        <w:rPr>
          <w:rFonts w:eastAsia="Arial Unicode MS"/>
          <w:noProof/>
        </w:rPr>
        <w:t xml:space="preserve">. Therefore, </w:t>
      </w:r>
      <w:r w:rsidR="00F354DA" w:rsidRPr="001D16DE">
        <w:rPr>
          <w:rFonts w:eastAsia="Arial Unicode MS"/>
          <w:noProof/>
        </w:rPr>
        <w:t xml:space="preserve">given </w:t>
      </w:r>
      <w:r w:rsidRPr="00F00177">
        <w:rPr>
          <w:rFonts w:eastAsia="Arial Unicode MS"/>
          <w:noProof/>
        </w:rPr>
        <w:t xml:space="preserve">the benefits of EU legislation in protecting consumers and facilitating the </w:t>
      </w:r>
      <w:r w:rsidR="00F354DA" w:rsidRPr="001D16DE">
        <w:rPr>
          <w:rFonts w:eastAsia="Arial Unicode MS"/>
          <w:noProof/>
        </w:rPr>
        <w:t>s</w:t>
      </w:r>
      <w:r w:rsidRPr="001D16DE">
        <w:rPr>
          <w:rFonts w:eastAsia="Arial Unicode MS"/>
          <w:noProof/>
        </w:rPr>
        <w:t xml:space="preserve">ingle </w:t>
      </w:r>
      <w:r w:rsidR="00F354DA" w:rsidRPr="001D16DE">
        <w:rPr>
          <w:rFonts w:eastAsia="Arial Unicode MS"/>
          <w:noProof/>
        </w:rPr>
        <w:t>m</w:t>
      </w:r>
      <w:r w:rsidRPr="00F00177">
        <w:rPr>
          <w:rFonts w:eastAsia="Arial Unicode MS"/>
          <w:noProof/>
        </w:rPr>
        <w:t xml:space="preserve">arket, these evaluations identified only a limited scope </w:t>
      </w:r>
      <w:r w:rsidRPr="001D16DE">
        <w:rPr>
          <w:rFonts w:eastAsia="Arial Unicode MS"/>
          <w:noProof/>
        </w:rPr>
        <w:t>f</w:t>
      </w:r>
      <w:r w:rsidR="00F354DA" w:rsidRPr="001D16DE">
        <w:rPr>
          <w:rFonts w:eastAsia="Arial Unicode MS"/>
          <w:noProof/>
        </w:rPr>
        <w:t>or</w:t>
      </w:r>
      <w:r w:rsidRPr="00F00177">
        <w:rPr>
          <w:rFonts w:eastAsia="Arial Unicode MS"/>
          <w:noProof/>
        </w:rPr>
        <w:t xml:space="preserve"> burden reduction.</w:t>
      </w:r>
    </w:p>
    <w:p w:rsidR="00F354DA" w:rsidRPr="001D16DE" w:rsidRDefault="001B6B9D" w:rsidP="00B819A4">
      <w:pPr>
        <w:pStyle w:val="Default"/>
        <w:spacing w:after="240"/>
        <w:jc w:val="both"/>
        <w:rPr>
          <w:noProof/>
        </w:rPr>
      </w:pPr>
      <w:r w:rsidRPr="00014EB8">
        <w:rPr>
          <w:noProof/>
        </w:rPr>
        <w:t xml:space="preserve">Given the focus on enforcement and </w:t>
      </w:r>
      <w:r w:rsidRPr="009B5734">
        <w:rPr>
          <w:noProof/>
        </w:rPr>
        <w:t>digitalisation</w:t>
      </w:r>
      <w:r w:rsidRPr="00014EB8">
        <w:rPr>
          <w:noProof/>
        </w:rPr>
        <w:t xml:space="preserve">, there were no specific conclusions </w:t>
      </w:r>
      <w:r w:rsidR="00F354DA" w:rsidRPr="001D16DE">
        <w:rPr>
          <w:noProof/>
        </w:rPr>
        <w:t xml:space="preserve">about </w:t>
      </w:r>
      <w:r w:rsidRPr="00014EB8">
        <w:rPr>
          <w:noProof/>
        </w:rPr>
        <w:t xml:space="preserve">the contribution </w:t>
      </w:r>
      <w:r w:rsidR="00F354DA" w:rsidRPr="001D16DE">
        <w:rPr>
          <w:noProof/>
        </w:rPr>
        <w:t xml:space="preserve">made by EU </w:t>
      </w:r>
      <w:r w:rsidRPr="00014EB8">
        <w:rPr>
          <w:noProof/>
        </w:rPr>
        <w:t>consumer</w:t>
      </w:r>
      <w:r w:rsidRPr="001D16DE">
        <w:rPr>
          <w:noProof/>
        </w:rPr>
        <w:t xml:space="preserve"> </w:t>
      </w:r>
      <w:r w:rsidR="00F354DA" w:rsidRPr="001D16DE">
        <w:rPr>
          <w:noProof/>
        </w:rPr>
        <w:t>law</w:t>
      </w:r>
      <w:r w:rsidRPr="00014EB8">
        <w:rPr>
          <w:noProof/>
        </w:rPr>
        <w:t xml:space="preserve"> to sustainable consumption. Nevertheless, whenever possible and relevant, </w:t>
      </w:r>
      <w:r>
        <w:rPr>
          <w:noProof/>
        </w:rPr>
        <w:t xml:space="preserve">this instrument </w:t>
      </w:r>
      <w:r w:rsidR="00E74E88">
        <w:rPr>
          <w:noProof/>
        </w:rPr>
        <w:t>draws</w:t>
      </w:r>
      <w:r w:rsidRPr="00014EB8">
        <w:rPr>
          <w:noProof/>
        </w:rPr>
        <w:t xml:space="preserve"> on the findings and conclusions collected in </w:t>
      </w:r>
      <w:r>
        <w:rPr>
          <w:noProof/>
        </w:rPr>
        <w:t>that</w:t>
      </w:r>
      <w:r w:rsidRPr="00014EB8">
        <w:rPr>
          <w:noProof/>
        </w:rPr>
        <w:t xml:space="preserve"> exercise.  </w:t>
      </w:r>
    </w:p>
    <w:p w:rsidR="00665EFC" w:rsidRPr="00064846" w:rsidRDefault="00665EFC" w:rsidP="00064846">
      <w:pPr>
        <w:pStyle w:val="Bullet0"/>
        <w:spacing w:after="240"/>
        <w:rPr>
          <w:b/>
          <w:noProof/>
          <w:bdr w:val="nil"/>
        </w:rPr>
      </w:pPr>
      <w:r w:rsidRPr="006518A4">
        <w:rPr>
          <w:b/>
          <w:noProof/>
          <w:bdr w:val="nil"/>
        </w:rPr>
        <w:t>Fundamental rights</w:t>
      </w:r>
    </w:p>
    <w:p w:rsidR="00F354DA" w:rsidRPr="001D16DE" w:rsidRDefault="006249DE" w:rsidP="00B819A4">
      <w:pPr>
        <w:pBdr>
          <w:top w:val="nil"/>
          <w:left w:val="nil"/>
          <w:bottom w:val="nil"/>
          <w:right w:val="nil"/>
          <w:between w:val="nil"/>
          <w:bar w:val="nil"/>
        </w:pBdr>
        <w:spacing w:before="0" w:after="240"/>
        <w:rPr>
          <w:rFonts w:eastAsia="Arial Unicode MS"/>
          <w:noProof/>
        </w:rPr>
      </w:pPr>
      <w:r w:rsidRPr="006249DE">
        <w:rPr>
          <w:rFonts w:eastAsia="Arial Unicode MS"/>
          <w:noProof/>
        </w:rPr>
        <w:t>The proposal is in accordance with Article 38 of the Charter of Fundamental Rights</w:t>
      </w:r>
      <w:r w:rsidR="00F354DA" w:rsidRPr="001D16DE">
        <w:rPr>
          <w:rFonts w:eastAsia="Arial Unicode MS"/>
          <w:noProof/>
        </w:rPr>
        <w:t>,</w:t>
      </w:r>
      <w:r w:rsidRPr="006249DE">
        <w:rPr>
          <w:rFonts w:eastAsia="Arial Unicode MS"/>
          <w:noProof/>
        </w:rPr>
        <w:t xml:space="preserve"> according to which the EU must ensure a high level of consumer protection. </w:t>
      </w:r>
      <w:r w:rsidR="00F354DA" w:rsidRPr="001D16DE">
        <w:rPr>
          <w:rFonts w:eastAsia="Arial Unicode MS"/>
          <w:noProof/>
        </w:rPr>
        <w:t xml:space="preserve">This </w:t>
      </w:r>
      <w:r w:rsidR="00215563">
        <w:rPr>
          <w:rFonts w:eastAsia="Arial Unicode MS"/>
          <w:noProof/>
        </w:rPr>
        <w:t>will be ensured by</w:t>
      </w:r>
      <w:r w:rsidRPr="006249DE">
        <w:rPr>
          <w:rFonts w:eastAsia="Arial Unicode MS"/>
          <w:noProof/>
        </w:rPr>
        <w:t xml:space="preserve"> </w:t>
      </w:r>
    </w:p>
    <w:p w:rsidR="00F354DA" w:rsidRPr="001D16DE" w:rsidRDefault="00C327B1" w:rsidP="00C327B1">
      <w:pPr>
        <w:pStyle w:val="Point0"/>
        <w:rPr>
          <w:noProof/>
        </w:rPr>
      </w:pPr>
      <w:r w:rsidRPr="00C327B1">
        <w:t>(a)</w:t>
      </w:r>
      <w:r w:rsidRPr="00C327B1">
        <w:tab/>
      </w:r>
      <w:r w:rsidR="006249DE" w:rsidRPr="006249DE">
        <w:rPr>
          <w:noProof/>
        </w:rPr>
        <w:t>improv</w:t>
      </w:r>
      <w:r w:rsidR="00215563">
        <w:rPr>
          <w:noProof/>
        </w:rPr>
        <w:t>ing</w:t>
      </w:r>
      <w:r w:rsidR="006249DE" w:rsidRPr="006249DE">
        <w:rPr>
          <w:noProof/>
        </w:rPr>
        <w:t xml:space="preserve"> </w:t>
      </w:r>
      <w:r w:rsidR="006249DE">
        <w:rPr>
          <w:noProof/>
        </w:rPr>
        <w:t>the reliability of durability and reparability information provided at the point of sale</w:t>
      </w:r>
      <w:r w:rsidR="00215563">
        <w:rPr>
          <w:noProof/>
        </w:rPr>
        <w:t>, and</w:t>
      </w:r>
      <w:r w:rsidR="006249DE">
        <w:rPr>
          <w:noProof/>
        </w:rPr>
        <w:t xml:space="preserve"> </w:t>
      </w:r>
    </w:p>
    <w:p w:rsidR="006249DE" w:rsidRPr="00516374" w:rsidRDefault="00C327B1" w:rsidP="00C327B1">
      <w:pPr>
        <w:pStyle w:val="Point0"/>
        <w:rPr>
          <w:noProof/>
        </w:rPr>
      </w:pPr>
      <w:r w:rsidRPr="00C327B1">
        <w:t>(b)</w:t>
      </w:r>
      <w:r w:rsidRPr="00C327B1">
        <w:tab/>
      </w:r>
      <w:r w:rsidR="007951DE" w:rsidRPr="00516374">
        <w:rPr>
          <w:noProof/>
        </w:rPr>
        <w:t>address</w:t>
      </w:r>
      <w:r w:rsidR="00215563" w:rsidRPr="00516374">
        <w:rPr>
          <w:noProof/>
        </w:rPr>
        <w:t>ing</w:t>
      </w:r>
      <w:r w:rsidR="006249DE" w:rsidRPr="00516374">
        <w:rPr>
          <w:noProof/>
        </w:rPr>
        <w:t xml:space="preserve"> misleading commercial practices related to greenwashing and the use of unreliable</w:t>
      </w:r>
      <w:r w:rsidR="00E45DC5" w:rsidRPr="00516374">
        <w:rPr>
          <w:noProof/>
        </w:rPr>
        <w:t xml:space="preserve"> and non-transparent</w:t>
      </w:r>
      <w:r w:rsidR="006249DE" w:rsidRPr="00516374">
        <w:rPr>
          <w:noProof/>
        </w:rPr>
        <w:t xml:space="preserve"> sustainability labels and sustainability information tools</w:t>
      </w:r>
      <w:r w:rsidR="00FA529E" w:rsidRPr="00516374">
        <w:rPr>
          <w:noProof/>
        </w:rPr>
        <w:t>, and early obsolescence</w:t>
      </w:r>
      <w:r w:rsidR="00215563" w:rsidRPr="00516374">
        <w:rPr>
          <w:noProof/>
        </w:rPr>
        <w:t>.</w:t>
      </w:r>
    </w:p>
    <w:p w:rsidR="007951DE" w:rsidRDefault="006249DE" w:rsidP="00B819A4">
      <w:pPr>
        <w:pBdr>
          <w:top w:val="nil"/>
          <w:left w:val="nil"/>
          <w:bottom w:val="nil"/>
          <w:right w:val="nil"/>
          <w:between w:val="nil"/>
          <w:bar w:val="nil"/>
        </w:pBdr>
        <w:spacing w:before="0" w:after="240"/>
        <w:rPr>
          <w:rFonts w:eastAsia="Arial Unicode MS"/>
          <w:noProof/>
        </w:rPr>
      </w:pPr>
      <w:r w:rsidRPr="00516374">
        <w:rPr>
          <w:rFonts w:eastAsia="Arial Unicode MS"/>
          <w:noProof/>
        </w:rPr>
        <w:t xml:space="preserve">The </w:t>
      </w:r>
      <w:r w:rsidR="007951DE" w:rsidRPr="00516374">
        <w:rPr>
          <w:rFonts w:eastAsia="Arial Unicode MS"/>
          <w:noProof/>
        </w:rPr>
        <w:t xml:space="preserve">clarification of what constitutes an unfair commercial practice as regards </w:t>
      </w:r>
      <w:r w:rsidR="0096667A" w:rsidRPr="00516374">
        <w:rPr>
          <w:rFonts w:eastAsia="Arial Unicode MS"/>
          <w:noProof/>
        </w:rPr>
        <w:t>the making of environmental claims and the use of sustainability labels and sustainability information tools, and</w:t>
      </w:r>
      <w:r w:rsidR="007951DE" w:rsidRPr="00516374">
        <w:rPr>
          <w:rFonts w:eastAsia="Arial Unicode MS"/>
          <w:noProof/>
        </w:rPr>
        <w:t xml:space="preserve"> early obsolescence, </w:t>
      </w:r>
      <w:r w:rsidRPr="00516374">
        <w:rPr>
          <w:rFonts w:eastAsia="Arial Unicode MS"/>
          <w:noProof/>
        </w:rPr>
        <w:t xml:space="preserve">will contribute to the implementation of Article 16 of the Charter, which guarantees the freedom to conduct a business in accordance with </w:t>
      </w:r>
      <w:r w:rsidR="008E402E" w:rsidRPr="00516374">
        <w:rPr>
          <w:rFonts w:eastAsia="Arial Unicode MS"/>
          <w:noProof/>
        </w:rPr>
        <w:t>Union law</w:t>
      </w:r>
      <w:r w:rsidRPr="00516374">
        <w:rPr>
          <w:rFonts w:eastAsia="Arial Unicode MS"/>
          <w:noProof/>
        </w:rPr>
        <w:t xml:space="preserve"> a</w:t>
      </w:r>
      <w:r w:rsidR="007951DE" w:rsidRPr="00516374">
        <w:rPr>
          <w:rFonts w:eastAsia="Arial Unicode MS"/>
          <w:noProof/>
        </w:rPr>
        <w:t>nd national laws and practices.</w:t>
      </w:r>
    </w:p>
    <w:p w:rsidR="00B819A4" w:rsidRDefault="007951DE" w:rsidP="00B819A4">
      <w:pPr>
        <w:pBdr>
          <w:top w:val="nil"/>
          <w:left w:val="nil"/>
          <w:bottom w:val="nil"/>
          <w:right w:val="nil"/>
          <w:between w:val="nil"/>
          <w:bar w:val="nil"/>
        </w:pBdr>
        <w:spacing w:before="0" w:after="240"/>
        <w:rPr>
          <w:rFonts w:eastAsia="Arial Unicode MS"/>
          <w:noProof/>
        </w:rPr>
      </w:pPr>
      <w:r w:rsidRPr="006518A4">
        <w:rPr>
          <w:rFonts w:eastAsia="Arial Unicode MS"/>
          <w:noProof/>
        </w:rPr>
        <w:t xml:space="preserve">Finally, by empowering consumers to make more environmentally sustainable purchasing decisions, the proposal respects the right to a high level </w:t>
      </w:r>
      <w:r w:rsidR="00E45DC5" w:rsidRPr="006518A4">
        <w:rPr>
          <w:rFonts w:eastAsia="Arial Unicode MS"/>
          <w:noProof/>
        </w:rPr>
        <w:t>of</w:t>
      </w:r>
      <w:r w:rsidRPr="006518A4">
        <w:rPr>
          <w:rFonts w:eastAsia="Arial Unicode MS"/>
          <w:noProof/>
        </w:rPr>
        <w:t xml:space="preserve"> environmental protection </w:t>
      </w:r>
      <w:r w:rsidR="00E45DC5" w:rsidRPr="006518A4">
        <w:rPr>
          <w:rFonts w:eastAsia="Arial Unicode MS"/>
          <w:noProof/>
        </w:rPr>
        <w:t>and the improvement of the quality of the environment</w:t>
      </w:r>
      <w:r w:rsidR="00F354DA" w:rsidRPr="001D16DE">
        <w:rPr>
          <w:rFonts w:eastAsia="Arial Unicode MS"/>
          <w:noProof/>
        </w:rPr>
        <w:t>,</w:t>
      </w:r>
      <w:r w:rsidR="00E45DC5" w:rsidRPr="001D16DE">
        <w:rPr>
          <w:rFonts w:eastAsia="Arial Unicode MS"/>
          <w:noProof/>
        </w:rPr>
        <w:t xml:space="preserve"> </w:t>
      </w:r>
      <w:r w:rsidR="00F354DA" w:rsidRPr="001D16DE">
        <w:rPr>
          <w:rFonts w:eastAsia="Arial Unicode MS"/>
          <w:noProof/>
        </w:rPr>
        <w:t>set out</w:t>
      </w:r>
      <w:r w:rsidR="00E45DC5" w:rsidRPr="006518A4">
        <w:rPr>
          <w:rFonts w:eastAsia="Arial Unicode MS"/>
          <w:noProof/>
        </w:rPr>
        <w:t xml:space="preserve"> </w:t>
      </w:r>
      <w:r w:rsidR="0085481A" w:rsidRPr="006518A4">
        <w:rPr>
          <w:rFonts w:eastAsia="Arial Unicode MS"/>
          <w:noProof/>
        </w:rPr>
        <w:t xml:space="preserve">in </w:t>
      </w:r>
      <w:r w:rsidRPr="006518A4">
        <w:rPr>
          <w:rFonts w:eastAsia="Arial Unicode MS"/>
          <w:noProof/>
        </w:rPr>
        <w:t>Article 37 of the Charter.</w:t>
      </w:r>
    </w:p>
    <w:p w:rsidR="00665EFC" w:rsidRPr="00AE7695" w:rsidRDefault="00B819A4" w:rsidP="00B819A4">
      <w:pPr>
        <w:spacing w:before="0" w:after="200" w:line="276" w:lineRule="auto"/>
        <w:jc w:val="left"/>
        <w:rPr>
          <w:rFonts w:eastAsia="Arial Unicode MS"/>
          <w:noProof/>
        </w:rPr>
      </w:pPr>
      <w:r>
        <w:rPr>
          <w:rFonts w:eastAsia="Arial Unicode MS"/>
          <w:noProof/>
        </w:rPr>
        <w:br w:type="page"/>
      </w:r>
    </w:p>
    <w:p w:rsidR="00665EFC" w:rsidRPr="007360B2" w:rsidRDefault="00665EFC" w:rsidP="00B819A4">
      <w:pPr>
        <w:pStyle w:val="ManualHeading1"/>
        <w:spacing w:after="240"/>
        <w:rPr>
          <w:noProof/>
        </w:rPr>
      </w:pPr>
      <w:r w:rsidRPr="007360B2">
        <w:rPr>
          <w:noProof/>
        </w:rPr>
        <w:t>4.</w:t>
      </w:r>
      <w:r w:rsidRPr="007360B2">
        <w:rPr>
          <w:noProof/>
        </w:rPr>
        <w:tab/>
        <w:t>BUDGET IMPLICATIONS</w:t>
      </w:r>
      <w:r w:rsidR="0062039F">
        <w:rPr>
          <w:noProof/>
        </w:rPr>
        <w:tab/>
      </w:r>
    </w:p>
    <w:p w:rsidR="00AE7695" w:rsidRPr="00AE7695" w:rsidRDefault="007951DE" w:rsidP="00AE7695">
      <w:pPr>
        <w:pBdr>
          <w:top w:val="nil"/>
          <w:left w:val="nil"/>
          <w:bottom w:val="nil"/>
          <w:right w:val="nil"/>
          <w:between w:val="nil"/>
          <w:bar w:val="nil"/>
        </w:pBdr>
        <w:spacing w:before="0" w:after="240"/>
        <w:rPr>
          <w:rFonts w:eastAsia="Arial Unicode MS"/>
          <w:noProof/>
        </w:rPr>
      </w:pPr>
      <w:r w:rsidRPr="00AE7695">
        <w:rPr>
          <w:rFonts w:eastAsia="Arial Unicode MS"/>
          <w:noProof/>
        </w:rPr>
        <w:t>There are no consequences for the EU budget.</w:t>
      </w:r>
    </w:p>
    <w:p w:rsidR="00665EFC" w:rsidRPr="007360B2" w:rsidRDefault="00665EFC" w:rsidP="00B819A4">
      <w:pPr>
        <w:pStyle w:val="ManualHeading1"/>
        <w:spacing w:after="240"/>
        <w:rPr>
          <w:noProof/>
        </w:rPr>
      </w:pPr>
      <w:r w:rsidRPr="007360B2">
        <w:rPr>
          <w:noProof/>
        </w:rPr>
        <w:t>5.</w:t>
      </w:r>
      <w:r w:rsidRPr="007360B2">
        <w:rPr>
          <w:noProof/>
        </w:rPr>
        <w:tab/>
        <w:t>OTHER ELEMENTS</w:t>
      </w:r>
    </w:p>
    <w:p w:rsidR="00665EFC" w:rsidRPr="001D7C8C" w:rsidRDefault="00665EFC" w:rsidP="00064846">
      <w:pPr>
        <w:pStyle w:val="Bullet0"/>
        <w:spacing w:before="0" w:after="240"/>
        <w:rPr>
          <w:b/>
          <w:noProof/>
          <w:u w:color="000000"/>
          <w:bdr w:val="nil"/>
        </w:rPr>
      </w:pPr>
      <w:r w:rsidRPr="004F0D04">
        <w:rPr>
          <w:b/>
          <w:noProof/>
          <w:bdr w:val="nil"/>
        </w:rPr>
        <w:t>Implementation plans and monitoring, evaluation and reporting arrangements</w:t>
      </w:r>
    </w:p>
    <w:p w:rsidR="0090662C" w:rsidRDefault="0090662C" w:rsidP="00B819A4">
      <w:pPr>
        <w:spacing w:before="0" w:after="240"/>
        <w:rPr>
          <w:noProof/>
        </w:rPr>
      </w:pPr>
      <w:r w:rsidRPr="00C31CA3">
        <w:rPr>
          <w:noProof/>
        </w:rPr>
        <w:t xml:space="preserve">The Commission will </w:t>
      </w:r>
      <w:r w:rsidR="002D78F8">
        <w:rPr>
          <w:noProof/>
        </w:rPr>
        <w:t xml:space="preserve">submit a report on the application of this Directive to the European Parliament and to the Council no later than </w:t>
      </w:r>
      <w:r w:rsidR="00D2337E">
        <w:rPr>
          <w:noProof/>
        </w:rPr>
        <w:t xml:space="preserve">5 </w:t>
      </w:r>
      <w:r w:rsidR="002D78F8">
        <w:rPr>
          <w:noProof/>
        </w:rPr>
        <w:t xml:space="preserve">years after its </w:t>
      </w:r>
      <w:r w:rsidR="00D2337E">
        <w:rPr>
          <w:noProof/>
        </w:rPr>
        <w:t>adoption</w:t>
      </w:r>
      <w:r w:rsidR="002D78F8">
        <w:rPr>
          <w:noProof/>
        </w:rPr>
        <w:t>. This report will assess the application of the Directive</w:t>
      </w:r>
      <w:r w:rsidR="00B57DB2">
        <w:rPr>
          <w:noProof/>
        </w:rPr>
        <w:t>.</w:t>
      </w:r>
      <w:r w:rsidR="00D2337E">
        <w:rPr>
          <w:noProof/>
        </w:rPr>
        <w:t xml:space="preserve"> </w:t>
      </w:r>
    </w:p>
    <w:p w:rsidR="00665EFC" w:rsidRPr="001D7C8C" w:rsidRDefault="00665EFC" w:rsidP="00064846">
      <w:pPr>
        <w:pStyle w:val="Bullet0"/>
        <w:spacing w:after="240"/>
        <w:rPr>
          <w:b/>
          <w:noProof/>
          <w:u w:color="000000"/>
          <w:bdr w:val="nil"/>
        </w:rPr>
      </w:pPr>
      <w:r w:rsidRPr="004F0D04">
        <w:rPr>
          <w:b/>
          <w:noProof/>
          <w:bdr w:val="nil"/>
        </w:rPr>
        <w:t>Explanatory documents (for directives)</w:t>
      </w:r>
    </w:p>
    <w:p w:rsidR="00AE7695" w:rsidRDefault="0090662C" w:rsidP="00D240F5">
      <w:pPr>
        <w:rPr>
          <w:noProof/>
          <w:shd w:val="clear" w:color="auto" w:fill="FFFFFF"/>
        </w:rPr>
      </w:pPr>
      <w:r>
        <w:rPr>
          <w:noProof/>
          <w:shd w:val="clear" w:color="auto" w:fill="FFFFFF"/>
        </w:rPr>
        <w:t xml:space="preserve">As the proposal introduces specific amendments to </w:t>
      </w:r>
      <w:r w:rsidR="003217F4">
        <w:rPr>
          <w:noProof/>
          <w:shd w:val="clear" w:color="auto" w:fill="FFFFFF"/>
        </w:rPr>
        <w:t>two</w:t>
      </w:r>
      <w:r>
        <w:rPr>
          <w:noProof/>
          <w:shd w:val="clear" w:color="auto" w:fill="FFFFFF"/>
        </w:rPr>
        <w:t xml:space="preserve"> existing directives, Member States should either provide the Commission with the text of the specific amendments to national </w:t>
      </w:r>
      <w:r w:rsidR="00B4199F" w:rsidRPr="001D16DE">
        <w:rPr>
          <w:noProof/>
          <w:shd w:val="clear" w:color="auto" w:fill="FFFFFF"/>
        </w:rPr>
        <w:t>rules</w:t>
      </w:r>
      <w:r>
        <w:rPr>
          <w:noProof/>
          <w:shd w:val="clear" w:color="auto" w:fill="FFFFFF"/>
        </w:rPr>
        <w:t xml:space="preserve"> or, in the absence of such amendments, explain which specific national law provision already implements the amendments provided in the proposal.</w:t>
      </w:r>
    </w:p>
    <w:p w:rsidR="00665EFC" w:rsidRPr="006518A4" w:rsidRDefault="00665EFC" w:rsidP="00064846">
      <w:pPr>
        <w:pStyle w:val="Bullet0"/>
        <w:spacing w:after="240"/>
        <w:rPr>
          <w:b/>
          <w:noProof/>
          <w:u w:color="000000"/>
          <w:bdr w:val="nil"/>
        </w:rPr>
      </w:pPr>
      <w:r w:rsidRPr="004F0D04">
        <w:rPr>
          <w:b/>
          <w:noProof/>
          <w:bdr w:val="nil"/>
        </w:rPr>
        <w:t xml:space="preserve">Detailed explanation of the specific </w:t>
      </w:r>
      <w:r w:rsidR="00B4199F" w:rsidRPr="001D16DE">
        <w:rPr>
          <w:b/>
          <w:noProof/>
          <w:u w:color="000000"/>
          <w:bdr w:val="nil"/>
          <w:lang w:eastAsia="en-GB"/>
        </w:rPr>
        <w:t>rules</w:t>
      </w:r>
      <w:r w:rsidRPr="001D16DE">
        <w:rPr>
          <w:b/>
          <w:noProof/>
          <w:u w:color="000000"/>
          <w:bdr w:val="nil"/>
          <w:lang w:eastAsia="en-GB"/>
        </w:rPr>
        <w:t xml:space="preserve"> </w:t>
      </w:r>
      <w:r w:rsidR="00B4199F" w:rsidRPr="001D16DE">
        <w:rPr>
          <w:b/>
          <w:noProof/>
          <w:u w:color="000000"/>
          <w:bdr w:val="nil"/>
          <w:lang w:eastAsia="en-GB"/>
        </w:rPr>
        <w:t>in</w:t>
      </w:r>
      <w:r w:rsidRPr="004F0D04">
        <w:rPr>
          <w:b/>
          <w:noProof/>
          <w:bdr w:val="nil"/>
        </w:rPr>
        <w:t xml:space="preserve"> the proposal</w:t>
      </w:r>
    </w:p>
    <w:p w:rsidR="008C2B17" w:rsidRDefault="00665EFC">
      <w:pPr>
        <w:spacing w:before="0" w:after="240"/>
        <w:rPr>
          <w:b/>
          <w:noProof/>
        </w:rPr>
      </w:pPr>
      <w:r w:rsidRPr="003C59C2">
        <w:rPr>
          <w:b/>
          <w:noProof/>
        </w:rPr>
        <w:t xml:space="preserve">Article 1 </w:t>
      </w:r>
      <w:r w:rsidR="008C2B17">
        <w:rPr>
          <w:b/>
          <w:noProof/>
        </w:rPr>
        <w:t xml:space="preserve">- </w:t>
      </w:r>
      <w:r w:rsidR="008C2B17" w:rsidRPr="003C59C2">
        <w:rPr>
          <w:b/>
          <w:noProof/>
        </w:rPr>
        <w:t xml:space="preserve">Amendments to Directive </w:t>
      </w:r>
      <w:r w:rsidR="008C2B17">
        <w:rPr>
          <w:b/>
          <w:noProof/>
        </w:rPr>
        <w:t>2005/29/EC</w:t>
      </w:r>
    </w:p>
    <w:p w:rsidR="008C2B17" w:rsidRPr="007360B2" w:rsidRDefault="008C2B17" w:rsidP="008C2B17">
      <w:pPr>
        <w:spacing w:before="0" w:after="240"/>
        <w:rPr>
          <w:noProof/>
        </w:rPr>
      </w:pPr>
      <w:r w:rsidRPr="006518A4">
        <w:rPr>
          <w:noProof/>
        </w:rPr>
        <w:t xml:space="preserve">Article </w:t>
      </w:r>
      <w:r w:rsidR="00E80413">
        <w:rPr>
          <w:noProof/>
        </w:rPr>
        <w:t>1</w:t>
      </w:r>
      <w:r w:rsidRPr="006518A4">
        <w:rPr>
          <w:noProof/>
        </w:rPr>
        <w:t xml:space="preserve"> of the proposal amends Directive 2005/29/EC by </w:t>
      </w:r>
      <w:r>
        <w:rPr>
          <w:noProof/>
        </w:rPr>
        <w:t>updating the list of product characteristics about which if a trader deceives a consumer it can be considered a misleading action</w:t>
      </w:r>
      <w:r w:rsidRPr="001D16DE">
        <w:rPr>
          <w:noProof/>
        </w:rPr>
        <w:t xml:space="preserve">. </w:t>
      </w:r>
      <w:r w:rsidR="00BC77AC">
        <w:rPr>
          <w:noProof/>
        </w:rPr>
        <w:t xml:space="preserve">Two </w:t>
      </w:r>
      <w:r>
        <w:rPr>
          <w:noProof/>
        </w:rPr>
        <w:t>new commercial practices are also included in the list of actions which are to be considered misleading if they cause</w:t>
      </w:r>
      <w:r w:rsidRPr="006518A4">
        <w:rPr>
          <w:noProof/>
        </w:rPr>
        <w:t xml:space="preserve"> or </w:t>
      </w:r>
      <w:r>
        <w:rPr>
          <w:noProof/>
        </w:rPr>
        <w:t>are</w:t>
      </w:r>
      <w:r w:rsidRPr="006518A4">
        <w:rPr>
          <w:noProof/>
        </w:rPr>
        <w:t xml:space="preserve"> likely to cause the average consumer</w:t>
      </w:r>
      <w:r w:rsidR="00670C08">
        <w:rPr>
          <w:noProof/>
        </w:rPr>
        <w:t>s</w:t>
      </w:r>
      <w:r w:rsidRPr="006518A4">
        <w:rPr>
          <w:noProof/>
        </w:rPr>
        <w:t xml:space="preserve"> to take a transactional decision that </w:t>
      </w:r>
      <w:r>
        <w:rPr>
          <w:noProof/>
        </w:rPr>
        <w:t xml:space="preserve">they </w:t>
      </w:r>
      <w:r w:rsidRPr="006518A4">
        <w:rPr>
          <w:noProof/>
        </w:rPr>
        <w:t>would not have otherwise</w:t>
      </w:r>
      <w:r w:rsidRPr="001D16DE">
        <w:rPr>
          <w:noProof/>
        </w:rPr>
        <w:t xml:space="preserve"> taken</w:t>
      </w:r>
      <w:r>
        <w:rPr>
          <w:noProof/>
        </w:rPr>
        <w:t xml:space="preserve">. </w:t>
      </w:r>
      <w:r w:rsidR="00BC77AC">
        <w:rPr>
          <w:noProof/>
        </w:rPr>
        <w:t xml:space="preserve">One new item is added to the list of information to be regarded as material in the case of specific </w:t>
      </w:r>
      <w:r w:rsidR="00BC77AC" w:rsidRPr="00BC77AC">
        <w:rPr>
          <w:noProof/>
        </w:rPr>
        <w:t>commercial practice</w:t>
      </w:r>
      <w:r w:rsidR="00BC77AC">
        <w:rPr>
          <w:noProof/>
        </w:rPr>
        <w:t xml:space="preserve">s, </w:t>
      </w:r>
      <w:r w:rsidR="00BB1722">
        <w:rPr>
          <w:noProof/>
        </w:rPr>
        <w:t xml:space="preserve">the omission of which may cause </w:t>
      </w:r>
      <w:r w:rsidR="00BC77AC">
        <w:rPr>
          <w:noProof/>
        </w:rPr>
        <w:t xml:space="preserve">the commercial practice in question </w:t>
      </w:r>
      <w:r w:rsidR="00BB1722">
        <w:rPr>
          <w:noProof/>
        </w:rPr>
        <w:t xml:space="preserve">to </w:t>
      </w:r>
      <w:r w:rsidR="00BC77AC">
        <w:rPr>
          <w:noProof/>
        </w:rPr>
        <w:t xml:space="preserve">be regarded as misleading. </w:t>
      </w:r>
      <w:r w:rsidRPr="006518A4">
        <w:rPr>
          <w:noProof/>
        </w:rPr>
        <w:t>Furthe</w:t>
      </w:r>
      <w:r>
        <w:rPr>
          <w:noProof/>
        </w:rPr>
        <w:t>r</w:t>
      </w:r>
      <w:r w:rsidRPr="006518A4">
        <w:rPr>
          <w:noProof/>
        </w:rPr>
        <w:t>more, the list of commercial practices which are considered unfair in all circumstances is extended to practices associated with the early obsolescence of products and greenwashing.</w:t>
      </w:r>
    </w:p>
    <w:p w:rsidR="008C2B17" w:rsidRPr="001D16DE" w:rsidRDefault="008C2B17" w:rsidP="008C2B17">
      <w:pPr>
        <w:spacing w:before="0" w:after="240"/>
        <w:rPr>
          <w:noProof/>
        </w:rPr>
      </w:pPr>
      <w:r>
        <w:rPr>
          <w:noProof/>
        </w:rPr>
        <w:t xml:space="preserve">The list of product characteristics about which a trader should not deceive a consumer in Article 6(1) of Directive 2005/29/EC is amended to include ‘environmental </w:t>
      </w:r>
      <w:r w:rsidR="00513C2F">
        <w:rPr>
          <w:noProof/>
        </w:rPr>
        <w:t xml:space="preserve">or social </w:t>
      </w:r>
      <w:r>
        <w:rPr>
          <w:noProof/>
        </w:rPr>
        <w:t>impact</w:t>
      </w:r>
      <w:r w:rsidR="00A15F56">
        <w:rPr>
          <w:noProof/>
        </w:rPr>
        <w:t>, ‘durability’ and ‘reparability’</w:t>
      </w:r>
      <w:r>
        <w:rPr>
          <w:noProof/>
        </w:rPr>
        <w:t xml:space="preserve">. As regards the commercial practices to be considered misleading actions </w:t>
      </w:r>
      <w:r w:rsidRPr="001D16DE">
        <w:rPr>
          <w:noProof/>
        </w:rPr>
        <w:t>if</w:t>
      </w:r>
      <w:r w:rsidRPr="006518A4">
        <w:rPr>
          <w:noProof/>
        </w:rPr>
        <w:t xml:space="preserve"> they cause or are likely to cause the average consumer</w:t>
      </w:r>
      <w:r w:rsidR="00670C08">
        <w:rPr>
          <w:noProof/>
        </w:rPr>
        <w:t>s</w:t>
      </w:r>
      <w:r w:rsidRPr="006518A4">
        <w:rPr>
          <w:noProof/>
        </w:rPr>
        <w:t xml:space="preserve"> to take a transactional decision that </w:t>
      </w:r>
      <w:r>
        <w:rPr>
          <w:noProof/>
        </w:rPr>
        <w:t>they</w:t>
      </w:r>
      <w:r w:rsidRPr="006518A4">
        <w:rPr>
          <w:noProof/>
        </w:rPr>
        <w:t xml:space="preserve"> would not have otherwise</w:t>
      </w:r>
      <w:r w:rsidRPr="001D16DE">
        <w:rPr>
          <w:noProof/>
        </w:rPr>
        <w:t xml:space="preserve"> taken</w:t>
      </w:r>
      <w:r>
        <w:rPr>
          <w:noProof/>
        </w:rPr>
        <w:t xml:space="preserve">, </w:t>
      </w:r>
      <w:r w:rsidR="0031166E">
        <w:rPr>
          <w:b/>
          <w:noProof/>
        </w:rPr>
        <w:t>two</w:t>
      </w:r>
      <w:r w:rsidR="0031166E" w:rsidRPr="004F0D04">
        <w:rPr>
          <w:b/>
          <w:noProof/>
        </w:rPr>
        <w:t xml:space="preserve"> </w:t>
      </w:r>
      <w:r w:rsidRPr="004F0D04">
        <w:rPr>
          <w:b/>
          <w:noProof/>
        </w:rPr>
        <w:t>additional practices</w:t>
      </w:r>
      <w:r>
        <w:rPr>
          <w:noProof/>
        </w:rPr>
        <w:t xml:space="preserve"> are added in Article 6(2) of Directive 2005/29/EC</w:t>
      </w:r>
      <w:r w:rsidR="00982C81">
        <w:rPr>
          <w:noProof/>
        </w:rPr>
        <w:t>:</w:t>
      </w:r>
      <w:r w:rsidRPr="001D16DE">
        <w:rPr>
          <w:noProof/>
        </w:rPr>
        <w:t xml:space="preserve"> </w:t>
      </w:r>
    </w:p>
    <w:p w:rsidR="00513C2F" w:rsidRPr="0031166E" w:rsidRDefault="008C2B17" w:rsidP="00C86155">
      <w:pPr>
        <w:pStyle w:val="Tiret0"/>
        <w:numPr>
          <w:ilvl w:val="0"/>
          <w:numId w:val="25"/>
        </w:numPr>
        <w:rPr>
          <w:noProof/>
        </w:rPr>
      </w:pPr>
      <w:r>
        <w:rPr>
          <w:noProof/>
        </w:rPr>
        <w:t xml:space="preserve">making an environmental claim related to future environmental performance without clear, </w:t>
      </w:r>
      <w:r w:rsidRPr="00AA5DB8">
        <w:rPr>
          <w:noProof/>
        </w:rPr>
        <w:t>objective and verifiable commitments and targets and a</w:t>
      </w:r>
      <w:r w:rsidR="00BE2E66">
        <w:rPr>
          <w:noProof/>
        </w:rPr>
        <w:t>n independent</w:t>
      </w:r>
      <w:r w:rsidRPr="00AA5DB8">
        <w:rPr>
          <w:noProof/>
        </w:rPr>
        <w:t xml:space="preserve"> monitoring system.</w:t>
      </w:r>
    </w:p>
    <w:p w:rsidR="0031166E" w:rsidRDefault="008C2B17" w:rsidP="0031166E">
      <w:pPr>
        <w:pStyle w:val="Tiret0"/>
        <w:rPr>
          <w:noProof/>
        </w:rPr>
      </w:pPr>
      <w:r w:rsidRPr="00AA5DB8">
        <w:rPr>
          <w:noProof/>
        </w:rPr>
        <w:t xml:space="preserve">advertising benefits for consumers that are considered as a common practice in the relevant market. </w:t>
      </w:r>
    </w:p>
    <w:p w:rsidR="0031166E" w:rsidRDefault="00BB1722" w:rsidP="000A4225">
      <w:pPr>
        <w:spacing w:before="0" w:after="240"/>
        <w:rPr>
          <w:noProof/>
        </w:rPr>
      </w:pPr>
      <w:r>
        <w:rPr>
          <w:noProof/>
        </w:rPr>
        <w:t>In Article 7 of Directive 2005/29/EC, t</w:t>
      </w:r>
      <w:r w:rsidR="0031166E">
        <w:rPr>
          <w:noProof/>
        </w:rPr>
        <w:t xml:space="preserve">he list of </w:t>
      </w:r>
      <w:r w:rsidR="00BC77AC">
        <w:rPr>
          <w:noProof/>
        </w:rPr>
        <w:t xml:space="preserve">information to be regarded as material in the case of specific </w:t>
      </w:r>
      <w:r w:rsidR="00BC77AC" w:rsidRPr="00BC77AC">
        <w:rPr>
          <w:noProof/>
        </w:rPr>
        <w:t>commercial practice</w:t>
      </w:r>
      <w:r w:rsidR="00BC77AC">
        <w:rPr>
          <w:noProof/>
        </w:rPr>
        <w:t xml:space="preserve">s, </w:t>
      </w:r>
      <w:r>
        <w:rPr>
          <w:noProof/>
        </w:rPr>
        <w:t>the omission of which may cause</w:t>
      </w:r>
      <w:r w:rsidR="00BC77AC">
        <w:rPr>
          <w:noProof/>
        </w:rPr>
        <w:t xml:space="preserve"> the commercial practice in question</w:t>
      </w:r>
      <w:r>
        <w:rPr>
          <w:noProof/>
        </w:rPr>
        <w:t xml:space="preserve"> to</w:t>
      </w:r>
      <w:r w:rsidR="00BC77AC">
        <w:rPr>
          <w:noProof/>
        </w:rPr>
        <w:t xml:space="preserve"> be regarded as misleading, is extended to include the following item:</w:t>
      </w:r>
    </w:p>
    <w:p w:rsidR="0031166E" w:rsidRPr="00AA5DB8" w:rsidRDefault="00BC77AC" w:rsidP="0031166E">
      <w:pPr>
        <w:pStyle w:val="Tiret0"/>
        <w:rPr>
          <w:noProof/>
        </w:rPr>
      </w:pPr>
      <w:r>
        <w:rPr>
          <w:noProof/>
        </w:rPr>
        <w:t>w</w:t>
      </w:r>
      <w:r w:rsidR="0031166E" w:rsidRPr="0031166E">
        <w:rPr>
          <w:noProof/>
        </w:rPr>
        <w:t xml:space="preserve">here a trader provides </w:t>
      </w:r>
      <w:r w:rsidR="004F5C99">
        <w:rPr>
          <w:noProof/>
        </w:rPr>
        <w:t>a service</w:t>
      </w:r>
      <w:r w:rsidR="00E30E8F">
        <w:rPr>
          <w:noProof/>
        </w:rPr>
        <w:t xml:space="preserve"> which compares products</w:t>
      </w:r>
      <w:r w:rsidR="0031166E" w:rsidRPr="0031166E">
        <w:rPr>
          <w:noProof/>
        </w:rPr>
        <w:t xml:space="preserve">, including through a sustainability information tool, information about the method of the comparison, </w:t>
      </w:r>
      <w:r w:rsidR="004F5C99" w:rsidRPr="00B66279">
        <w:rPr>
          <w:noProof/>
          <w:szCs w:val="24"/>
        </w:rPr>
        <w:t xml:space="preserve">the products which are the object of the comparison and the suppliers of those products, </w:t>
      </w:r>
      <w:r w:rsidR="0031166E" w:rsidRPr="0031166E">
        <w:rPr>
          <w:noProof/>
        </w:rPr>
        <w:t>and the measures to keep information up to date shall be regarded as material</w:t>
      </w:r>
      <w:r>
        <w:rPr>
          <w:noProof/>
        </w:rPr>
        <w:t>.</w:t>
      </w:r>
    </w:p>
    <w:p w:rsidR="008C2B17" w:rsidRPr="00AA5DB8" w:rsidRDefault="008C2B17" w:rsidP="008C2B17">
      <w:pPr>
        <w:spacing w:before="0" w:after="240"/>
        <w:rPr>
          <w:noProof/>
        </w:rPr>
      </w:pPr>
      <w:r w:rsidRPr="00AA5DB8">
        <w:rPr>
          <w:noProof/>
        </w:rPr>
        <w:t xml:space="preserve">The </w:t>
      </w:r>
      <w:r w:rsidR="00513C2F">
        <w:rPr>
          <w:b/>
          <w:noProof/>
        </w:rPr>
        <w:t>ten</w:t>
      </w:r>
      <w:r w:rsidR="00513C2F" w:rsidRPr="00AA5DB8">
        <w:rPr>
          <w:b/>
          <w:noProof/>
        </w:rPr>
        <w:t xml:space="preserve"> </w:t>
      </w:r>
      <w:r w:rsidRPr="00AA5DB8">
        <w:rPr>
          <w:b/>
          <w:noProof/>
        </w:rPr>
        <w:t>additional commercial practices</w:t>
      </w:r>
      <w:r w:rsidRPr="00AA5DB8">
        <w:rPr>
          <w:noProof/>
        </w:rPr>
        <w:t xml:space="preserve"> added to Annex I of Directive 2005/29/EC which are to be considered unfair in all circumstances are: </w:t>
      </w:r>
    </w:p>
    <w:p w:rsidR="008C2B17" w:rsidRPr="00AA5DB8" w:rsidRDefault="008C2B17" w:rsidP="00AA5DB8">
      <w:pPr>
        <w:pStyle w:val="Tiret0"/>
        <w:rPr>
          <w:rFonts w:cstheme="minorBidi"/>
          <w:noProof/>
        </w:rPr>
      </w:pPr>
      <w:r w:rsidRPr="00AA5DB8">
        <w:rPr>
          <w:rFonts w:cstheme="minorBidi"/>
          <w:noProof/>
        </w:rPr>
        <w:t xml:space="preserve">Displaying a sustainability label which is not based on a certification scheme or </w:t>
      </w:r>
      <w:r w:rsidR="008F500B">
        <w:rPr>
          <w:rFonts w:cstheme="minorBidi"/>
          <w:noProof/>
        </w:rPr>
        <w:t xml:space="preserve">not </w:t>
      </w:r>
      <w:r w:rsidRPr="00AA5DB8">
        <w:rPr>
          <w:rFonts w:cstheme="minorBidi"/>
          <w:noProof/>
        </w:rPr>
        <w:t>established by public authorities.</w:t>
      </w:r>
      <w:r w:rsidR="003C787C" w:rsidRPr="00AA5DB8" w:rsidDel="003C787C">
        <w:rPr>
          <w:rFonts w:cstheme="minorBidi"/>
          <w:noProof/>
        </w:rPr>
        <w:t xml:space="preserve"> </w:t>
      </w:r>
    </w:p>
    <w:p w:rsidR="008C2B17" w:rsidRDefault="008C2B17" w:rsidP="00AA5DB8">
      <w:pPr>
        <w:pStyle w:val="Tiret0"/>
        <w:rPr>
          <w:noProof/>
        </w:rPr>
      </w:pPr>
      <w:r w:rsidRPr="00AA5DB8">
        <w:rPr>
          <w:noProof/>
        </w:rPr>
        <w:t xml:space="preserve">Making a generic environmental claim </w:t>
      </w:r>
      <w:r w:rsidR="008F500B">
        <w:rPr>
          <w:noProof/>
        </w:rPr>
        <w:t>for which</w:t>
      </w:r>
      <w:r w:rsidR="008F500B" w:rsidRPr="00AA5DB8">
        <w:rPr>
          <w:noProof/>
        </w:rPr>
        <w:t xml:space="preserve"> </w:t>
      </w:r>
      <w:r w:rsidR="00513C2F">
        <w:rPr>
          <w:noProof/>
        </w:rPr>
        <w:t xml:space="preserve">the trader </w:t>
      </w:r>
      <w:r w:rsidR="008F500B">
        <w:rPr>
          <w:noProof/>
        </w:rPr>
        <w:t xml:space="preserve">is not </w:t>
      </w:r>
      <w:r w:rsidR="00513C2F">
        <w:rPr>
          <w:noProof/>
        </w:rPr>
        <w:t xml:space="preserve">able to demonstrate </w:t>
      </w:r>
      <w:r w:rsidRPr="00AA5DB8">
        <w:rPr>
          <w:noProof/>
        </w:rPr>
        <w:t xml:space="preserve">recognised </w:t>
      </w:r>
      <w:r w:rsidR="005B5998" w:rsidRPr="00AA5DB8">
        <w:rPr>
          <w:noProof/>
        </w:rPr>
        <w:t xml:space="preserve">excellent </w:t>
      </w:r>
      <w:r w:rsidRPr="00AA5DB8">
        <w:rPr>
          <w:noProof/>
        </w:rPr>
        <w:t>environmental</w:t>
      </w:r>
      <w:r w:rsidR="005B5998" w:rsidRPr="00AA5DB8">
        <w:rPr>
          <w:noProof/>
        </w:rPr>
        <w:t xml:space="preserve"> </w:t>
      </w:r>
      <w:r w:rsidRPr="00AA5DB8">
        <w:rPr>
          <w:noProof/>
        </w:rPr>
        <w:t>performance</w:t>
      </w:r>
      <w:r w:rsidR="00BB163F">
        <w:rPr>
          <w:noProof/>
        </w:rPr>
        <w:t xml:space="preserve"> relevant to the claim</w:t>
      </w:r>
      <w:r w:rsidRPr="00AA5DB8">
        <w:rPr>
          <w:noProof/>
        </w:rPr>
        <w:t>.</w:t>
      </w:r>
    </w:p>
    <w:p w:rsidR="00113701" w:rsidRPr="00AA5DB8" w:rsidRDefault="00113701" w:rsidP="000E4F56">
      <w:pPr>
        <w:pStyle w:val="Tiret0"/>
        <w:rPr>
          <w:noProof/>
        </w:rPr>
      </w:pPr>
      <w:r w:rsidRPr="000E4F56">
        <w:rPr>
          <w:noProof/>
        </w:rPr>
        <w:t>Making an environmental claim about the entire product when it actually concerns only a certain aspect of the product.</w:t>
      </w:r>
    </w:p>
    <w:p w:rsidR="008C2B17" w:rsidRPr="00AA5DB8" w:rsidRDefault="008C2B17" w:rsidP="00AA5DB8">
      <w:pPr>
        <w:pStyle w:val="Tiret0"/>
        <w:rPr>
          <w:rFonts w:cstheme="minorBidi"/>
          <w:noProof/>
        </w:rPr>
      </w:pPr>
      <w:r w:rsidRPr="00AA5DB8">
        <w:rPr>
          <w:noProof/>
        </w:rPr>
        <w:t>Presenting requirements imposed by law on all products in the relevant product category on the Union market as a distinctive feature of the trader’s offer.</w:t>
      </w:r>
    </w:p>
    <w:p w:rsidR="008C2B17" w:rsidRPr="00AA5DB8" w:rsidRDefault="008C2B17" w:rsidP="00AA5DB8">
      <w:pPr>
        <w:pStyle w:val="Tiret0"/>
        <w:rPr>
          <w:noProof/>
        </w:rPr>
      </w:pPr>
      <w:r w:rsidRPr="00AA5DB8">
        <w:rPr>
          <w:noProof/>
        </w:rPr>
        <w:t xml:space="preserve">Omitting to inform </w:t>
      </w:r>
      <w:r w:rsidR="008F500B">
        <w:rPr>
          <w:noProof/>
        </w:rPr>
        <w:t xml:space="preserve">the consumer </w:t>
      </w:r>
      <w:r w:rsidRPr="00AA5DB8">
        <w:rPr>
          <w:noProof/>
        </w:rPr>
        <w:t>that a</w:t>
      </w:r>
      <w:r w:rsidR="008F500B">
        <w:rPr>
          <w:noProof/>
        </w:rPr>
        <w:t xml:space="preserve"> software</w:t>
      </w:r>
      <w:r w:rsidRPr="00AA5DB8">
        <w:rPr>
          <w:noProof/>
        </w:rPr>
        <w:t xml:space="preserve"> update </w:t>
      </w:r>
      <w:r w:rsidR="008F500B">
        <w:rPr>
          <w:noProof/>
        </w:rPr>
        <w:t>will</w:t>
      </w:r>
      <w:r w:rsidR="008F500B" w:rsidRPr="00AA5DB8">
        <w:rPr>
          <w:noProof/>
        </w:rPr>
        <w:t xml:space="preserve"> </w:t>
      </w:r>
      <w:r w:rsidRPr="00AA5DB8">
        <w:rPr>
          <w:noProof/>
        </w:rPr>
        <w:t>negatively impact the use of goods with digital elements</w:t>
      </w:r>
      <w:r w:rsidR="008F500B">
        <w:rPr>
          <w:noProof/>
        </w:rPr>
        <w:t xml:space="preserve"> or certain feature of those goods</w:t>
      </w:r>
      <w:r w:rsidRPr="00AA5DB8">
        <w:rPr>
          <w:noProof/>
        </w:rPr>
        <w:t xml:space="preserve"> even if the </w:t>
      </w:r>
      <w:r w:rsidR="008F500B">
        <w:rPr>
          <w:noProof/>
        </w:rPr>
        <w:t xml:space="preserve">software </w:t>
      </w:r>
      <w:r w:rsidRPr="00AA5DB8">
        <w:rPr>
          <w:noProof/>
        </w:rPr>
        <w:t xml:space="preserve">update improves the function of </w:t>
      </w:r>
      <w:r w:rsidR="008F500B">
        <w:rPr>
          <w:noProof/>
        </w:rPr>
        <w:t xml:space="preserve">other </w:t>
      </w:r>
      <w:r w:rsidRPr="00AA5DB8">
        <w:rPr>
          <w:noProof/>
        </w:rPr>
        <w:t>features.</w:t>
      </w:r>
    </w:p>
    <w:p w:rsidR="008C2B17" w:rsidRPr="00AA5DB8" w:rsidRDefault="008C2B17" w:rsidP="00AA5DB8">
      <w:pPr>
        <w:pStyle w:val="Tiret0"/>
        <w:rPr>
          <w:noProof/>
        </w:rPr>
      </w:pPr>
      <w:r w:rsidRPr="00AA5DB8">
        <w:rPr>
          <w:noProof/>
        </w:rPr>
        <w:t xml:space="preserve">Omitting to inform the consumer about the existence of a feature of </w:t>
      </w:r>
      <w:r w:rsidR="00782B1B" w:rsidRPr="00AA5DB8">
        <w:rPr>
          <w:noProof/>
        </w:rPr>
        <w:t xml:space="preserve">a </w:t>
      </w:r>
      <w:r w:rsidRPr="00AA5DB8">
        <w:rPr>
          <w:noProof/>
        </w:rPr>
        <w:t xml:space="preserve">good </w:t>
      </w:r>
      <w:r w:rsidR="00513C2F">
        <w:rPr>
          <w:noProof/>
        </w:rPr>
        <w:t xml:space="preserve">introduced to </w:t>
      </w:r>
      <w:r w:rsidRPr="00AA5DB8">
        <w:rPr>
          <w:noProof/>
        </w:rPr>
        <w:t>limit its durability.</w:t>
      </w:r>
    </w:p>
    <w:p w:rsidR="00A15F56" w:rsidRPr="00AA5DB8" w:rsidRDefault="00A15F56" w:rsidP="00BE2E66">
      <w:pPr>
        <w:pStyle w:val="Tiret0"/>
        <w:rPr>
          <w:noProof/>
        </w:rPr>
      </w:pPr>
      <w:r w:rsidRPr="00AA5DB8">
        <w:rPr>
          <w:noProof/>
        </w:rPr>
        <w:t>Claiming that a good has a certain durability</w:t>
      </w:r>
      <w:r w:rsidR="00BE2E66">
        <w:rPr>
          <w:noProof/>
        </w:rPr>
        <w:t xml:space="preserve"> </w:t>
      </w:r>
      <w:r w:rsidR="00BE2E66" w:rsidRPr="00BE2E66">
        <w:rPr>
          <w:noProof/>
        </w:rPr>
        <w:t>in terms of usage time or intensity</w:t>
      </w:r>
      <w:r w:rsidRPr="00AA5DB8">
        <w:rPr>
          <w:noProof/>
        </w:rPr>
        <w:t xml:space="preserve"> when it does not.</w:t>
      </w:r>
    </w:p>
    <w:p w:rsidR="008C2B17" w:rsidRPr="00AA5DB8" w:rsidRDefault="008C2B17" w:rsidP="00AA5DB8">
      <w:pPr>
        <w:pStyle w:val="Tiret0"/>
        <w:rPr>
          <w:noProof/>
        </w:rPr>
      </w:pPr>
      <w:r w:rsidRPr="00AA5DB8">
        <w:rPr>
          <w:noProof/>
        </w:rPr>
        <w:t>Presenting products as allowing repair when they do not</w:t>
      </w:r>
      <w:r w:rsidR="00E978F9" w:rsidRPr="00AA5DB8">
        <w:rPr>
          <w:noProof/>
        </w:rPr>
        <w:t xml:space="preserve"> or omitting to inform the consumer that goods do not allow repair in accordance with legal requirements.</w:t>
      </w:r>
    </w:p>
    <w:p w:rsidR="008C2B17" w:rsidRPr="001D16DE" w:rsidRDefault="008C2B17" w:rsidP="00AA5DB8">
      <w:pPr>
        <w:pStyle w:val="Tiret0"/>
        <w:rPr>
          <w:noProof/>
        </w:rPr>
      </w:pPr>
      <w:r w:rsidRPr="00AA5DB8">
        <w:rPr>
          <w:noProof/>
        </w:rPr>
        <w:t>Inducing the consumer into replacing the consumables</w:t>
      </w:r>
      <w:r>
        <w:rPr>
          <w:noProof/>
        </w:rPr>
        <w:t xml:space="preserve"> of a </w:t>
      </w:r>
      <w:r w:rsidR="008F500B">
        <w:rPr>
          <w:noProof/>
        </w:rPr>
        <w:t xml:space="preserve">good </w:t>
      </w:r>
      <w:r>
        <w:rPr>
          <w:noProof/>
        </w:rPr>
        <w:t>earlier than for technical reasons</w:t>
      </w:r>
      <w:r w:rsidR="00513C2F">
        <w:rPr>
          <w:noProof/>
        </w:rPr>
        <w:t xml:space="preserve"> </w:t>
      </w:r>
      <w:r w:rsidR="008F500B">
        <w:rPr>
          <w:noProof/>
        </w:rPr>
        <w:t>is</w:t>
      </w:r>
      <w:r w:rsidR="00513C2F">
        <w:rPr>
          <w:noProof/>
        </w:rPr>
        <w:t xml:space="preserve"> necessary</w:t>
      </w:r>
      <w:r>
        <w:rPr>
          <w:noProof/>
        </w:rPr>
        <w:t>.</w:t>
      </w:r>
    </w:p>
    <w:p w:rsidR="008C2B17" w:rsidRDefault="00782B1B" w:rsidP="00AA5DB8">
      <w:pPr>
        <w:pStyle w:val="Tiret0"/>
        <w:rPr>
          <w:noProof/>
        </w:rPr>
      </w:pPr>
      <w:r w:rsidRPr="007D7B63">
        <w:rPr>
          <w:noProof/>
        </w:rPr>
        <w:t xml:space="preserve">Omitting to inform that </w:t>
      </w:r>
      <w:r>
        <w:rPr>
          <w:noProof/>
        </w:rPr>
        <w:t>a</w:t>
      </w:r>
      <w:r w:rsidRPr="007D7B63">
        <w:rPr>
          <w:noProof/>
        </w:rPr>
        <w:t xml:space="preserve"> good is designed to limit its functionality when using consumables, spare parts or accessories that are not provided by the original producer</w:t>
      </w:r>
      <w:r w:rsidR="00276B4A">
        <w:rPr>
          <w:noProof/>
        </w:rPr>
        <w:t>.</w:t>
      </w:r>
    </w:p>
    <w:p w:rsidR="00665EFC" w:rsidRPr="00CC1D5C" w:rsidRDefault="008C2B17">
      <w:pPr>
        <w:spacing w:before="0" w:after="240"/>
        <w:rPr>
          <w:b/>
          <w:noProof/>
        </w:rPr>
      </w:pPr>
      <w:r w:rsidRPr="00CC1D5C">
        <w:rPr>
          <w:b/>
          <w:noProof/>
        </w:rPr>
        <w:t>Article 2</w:t>
      </w:r>
      <w:r w:rsidR="00665EFC" w:rsidRPr="00CC1D5C">
        <w:rPr>
          <w:noProof/>
        </w:rPr>
        <w:t>–</w:t>
      </w:r>
      <w:r w:rsidR="00665EFC" w:rsidRPr="00CC1D5C">
        <w:rPr>
          <w:b/>
          <w:noProof/>
        </w:rPr>
        <w:t xml:space="preserve"> Amendments to Directive </w:t>
      </w:r>
      <w:r w:rsidR="0090662C" w:rsidRPr="00CC1D5C">
        <w:rPr>
          <w:b/>
          <w:noProof/>
        </w:rPr>
        <w:t>2011/83/EU</w:t>
      </w:r>
    </w:p>
    <w:p w:rsidR="00850519" w:rsidRPr="00CC1D5C" w:rsidRDefault="00516374" w:rsidP="00B819A4">
      <w:pPr>
        <w:spacing w:before="0" w:after="240"/>
        <w:rPr>
          <w:noProof/>
        </w:rPr>
      </w:pPr>
      <w:r w:rsidRPr="00CC1D5C">
        <w:rPr>
          <w:noProof/>
        </w:rPr>
        <w:t xml:space="preserve">Article </w:t>
      </w:r>
      <w:r w:rsidRPr="00CC1D5C" w:rsidDel="00E80413">
        <w:rPr>
          <w:noProof/>
        </w:rPr>
        <w:t>2</w:t>
      </w:r>
      <w:r w:rsidR="0090662C" w:rsidRPr="00CC1D5C">
        <w:rPr>
          <w:noProof/>
        </w:rPr>
        <w:t xml:space="preserve"> of the proposal amends Directive 2011/83/EU </w:t>
      </w:r>
      <w:r w:rsidR="00ED7191" w:rsidRPr="00CC1D5C">
        <w:rPr>
          <w:noProof/>
        </w:rPr>
        <w:t>as regards the pre-contractual information to be provided to consumers when concluding distance and off-premises contracts as well as contracts other than distance or off-premises contracts</w:t>
      </w:r>
      <w:r w:rsidR="00EA5EF8" w:rsidRPr="00CC1D5C">
        <w:rPr>
          <w:noProof/>
        </w:rPr>
        <w:t>, in particular in regard</w:t>
      </w:r>
      <w:r w:rsidR="00263650">
        <w:rPr>
          <w:noProof/>
        </w:rPr>
        <w:t xml:space="preserve"> to</w:t>
      </w:r>
      <w:r w:rsidR="00EA5EF8" w:rsidRPr="00CC1D5C">
        <w:rPr>
          <w:noProof/>
        </w:rPr>
        <w:t xml:space="preserve"> information on the durability and reparability of </w:t>
      </w:r>
      <w:r w:rsidR="002B6B61" w:rsidRPr="00CC1D5C">
        <w:rPr>
          <w:noProof/>
        </w:rPr>
        <w:t>goods</w:t>
      </w:r>
      <w:r w:rsidR="00ED7191" w:rsidRPr="00CC1D5C">
        <w:rPr>
          <w:noProof/>
        </w:rPr>
        <w:t xml:space="preserve">. </w:t>
      </w:r>
    </w:p>
    <w:p w:rsidR="00665EFC" w:rsidRPr="00CC1D5C" w:rsidRDefault="00ED7191" w:rsidP="00B819A4">
      <w:pPr>
        <w:spacing w:before="0" w:after="240"/>
        <w:rPr>
          <w:noProof/>
        </w:rPr>
      </w:pPr>
      <w:r w:rsidRPr="00CC1D5C">
        <w:rPr>
          <w:noProof/>
        </w:rPr>
        <w:t xml:space="preserve">It also amends the Directive as regards the information of which </w:t>
      </w:r>
      <w:r w:rsidR="004E2BB8" w:rsidRPr="00CC1D5C">
        <w:rPr>
          <w:noProof/>
        </w:rPr>
        <w:t>consumers</w:t>
      </w:r>
      <w:r w:rsidRPr="00CC1D5C">
        <w:rPr>
          <w:noProof/>
        </w:rPr>
        <w:t xml:space="preserve"> </w:t>
      </w:r>
      <w:r w:rsidR="005700A3" w:rsidRPr="00CC1D5C">
        <w:rPr>
          <w:noProof/>
        </w:rPr>
        <w:t>are</w:t>
      </w:r>
      <w:r w:rsidRPr="00CC1D5C">
        <w:rPr>
          <w:noProof/>
        </w:rPr>
        <w:t xml:space="preserve"> to be made aware directly before </w:t>
      </w:r>
      <w:r w:rsidR="00EE4F01" w:rsidRPr="00CC1D5C">
        <w:rPr>
          <w:noProof/>
        </w:rPr>
        <w:t>placing</w:t>
      </w:r>
      <w:r w:rsidRPr="00CC1D5C">
        <w:rPr>
          <w:noProof/>
        </w:rPr>
        <w:t xml:space="preserve"> </w:t>
      </w:r>
      <w:r w:rsidR="005700A3" w:rsidRPr="00CC1D5C">
        <w:rPr>
          <w:noProof/>
        </w:rPr>
        <w:t>their</w:t>
      </w:r>
      <w:r w:rsidRPr="00CC1D5C">
        <w:rPr>
          <w:noProof/>
        </w:rPr>
        <w:t xml:space="preserve"> order, in the case of distance contracts to be concluded by electronic means.</w:t>
      </w:r>
    </w:p>
    <w:p w:rsidR="00EA5EF8" w:rsidRPr="00CC1D5C" w:rsidRDefault="00ED7191" w:rsidP="00B819A4">
      <w:pPr>
        <w:spacing w:before="0" w:after="240"/>
        <w:rPr>
          <w:noProof/>
        </w:rPr>
      </w:pPr>
      <w:r w:rsidRPr="008108AC">
        <w:rPr>
          <w:noProof/>
        </w:rPr>
        <w:t>As regards</w:t>
      </w:r>
      <w:r w:rsidR="009A1ED3" w:rsidRPr="008108AC">
        <w:rPr>
          <w:noProof/>
        </w:rPr>
        <w:t xml:space="preserve"> the pre-contractual information to be provided to consumers when concluding contracts other than distance or off-premises contracts, </w:t>
      </w:r>
      <w:r w:rsidR="00513C2F" w:rsidRPr="008108AC">
        <w:rPr>
          <w:noProof/>
        </w:rPr>
        <w:t xml:space="preserve">six </w:t>
      </w:r>
      <w:r w:rsidR="009A1ED3" w:rsidRPr="008108AC">
        <w:rPr>
          <w:noProof/>
        </w:rPr>
        <w:t xml:space="preserve">additional </w:t>
      </w:r>
      <w:r w:rsidR="00EE4F01" w:rsidRPr="008108AC">
        <w:rPr>
          <w:noProof/>
        </w:rPr>
        <w:t>items are added to the list un</w:t>
      </w:r>
      <w:r w:rsidR="00AA2420" w:rsidRPr="008108AC">
        <w:rPr>
          <w:noProof/>
        </w:rPr>
        <w:t>d</w:t>
      </w:r>
      <w:r w:rsidR="00EE4F01" w:rsidRPr="008108AC">
        <w:rPr>
          <w:noProof/>
        </w:rPr>
        <w:t xml:space="preserve">er Article </w:t>
      </w:r>
      <w:r w:rsidR="009A1ED3" w:rsidRPr="008108AC">
        <w:rPr>
          <w:noProof/>
        </w:rPr>
        <w:t>5</w:t>
      </w:r>
      <w:r w:rsidR="00EE4F01" w:rsidRPr="008108AC">
        <w:rPr>
          <w:noProof/>
        </w:rPr>
        <w:t xml:space="preserve">(1) </w:t>
      </w:r>
      <w:r w:rsidR="00D7666E" w:rsidRPr="008108AC">
        <w:rPr>
          <w:noProof/>
        </w:rPr>
        <w:t>of Directive 2011/83/EU</w:t>
      </w:r>
      <w:r w:rsidR="00850519" w:rsidRPr="008108AC">
        <w:rPr>
          <w:noProof/>
        </w:rPr>
        <w:t>, which</w:t>
      </w:r>
      <w:r w:rsidR="00D7666E" w:rsidRPr="008108AC">
        <w:rPr>
          <w:noProof/>
        </w:rPr>
        <w:t xml:space="preserve"> </w:t>
      </w:r>
      <w:r w:rsidR="00EE4F01" w:rsidRPr="008108AC">
        <w:rPr>
          <w:noProof/>
        </w:rPr>
        <w:t>compris</w:t>
      </w:r>
      <w:r w:rsidR="00850519" w:rsidRPr="008108AC">
        <w:rPr>
          <w:noProof/>
        </w:rPr>
        <w:t>es</w:t>
      </w:r>
      <w:r w:rsidR="00EE4F01" w:rsidRPr="008108AC">
        <w:rPr>
          <w:noProof/>
        </w:rPr>
        <w:t xml:space="preserve"> the information to be provided to the consumer in a clear and comprehensible manner.</w:t>
      </w:r>
      <w:r w:rsidR="00EE4F01" w:rsidRPr="00CC1D5C">
        <w:rPr>
          <w:noProof/>
        </w:rPr>
        <w:t xml:space="preserve"> </w:t>
      </w:r>
    </w:p>
    <w:p w:rsidR="00850519" w:rsidRPr="00CC1D5C" w:rsidRDefault="00EE4F01" w:rsidP="00B819A4">
      <w:pPr>
        <w:spacing w:before="0" w:after="240"/>
        <w:rPr>
          <w:noProof/>
        </w:rPr>
      </w:pPr>
      <w:r w:rsidRPr="00CC1D5C">
        <w:rPr>
          <w:noProof/>
        </w:rPr>
        <w:t xml:space="preserve">These </w:t>
      </w:r>
      <w:r w:rsidR="00513C2F">
        <w:rPr>
          <w:b/>
          <w:noProof/>
        </w:rPr>
        <w:t>six</w:t>
      </w:r>
      <w:r w:rsidR="00513C2F" w:rsidRPr="00CC1D5C">
        <w:rPr>
          <w:b/>
          <w:noProof/>
        </w:rPr>
        <w:t xml:space="preserve"> </w:t>
      </w:r>
      <w:r w:rsidRPr="00CC1D5C">
        <w:rPr>
          <w:b/>
          <w:noProof/>
        </w:rPr>
        <w:t>additional items</w:t>
      </w:r>
      <w:r w:rsidRPr="00CC1D5C">
        <w:rPr>
          <w:noProof/>
        </w:rPr>
        <w:t xml:space="preserve"> consist of</w:t>
      </w:r>
      <w:r w:rsidR="00850519" w:rsidRPr="00CC1D5C">
        <w:rPr>
          <w:noProof/>
        </w:rPr>
        <w:t>:</w:t>
      </w:r>
    </w:p>
    <w:p w:rsidR="006628F7" w:rsidRPr="0051343D" w:rsidRDefault="00EE4F01" w:rsidP="00AA5DB8">
      <w:pPr>
        <w:pStyle w:val="Tiret0"/>
        <w:rPr>
          <w:noProof/>
        </w:rPr>
      </w:pPr>
      <w:r w:rsidRPr="00CC1D5C">
        <w:rPr>
          <w:noProof/>
        </w:rPr>
        <w:t>information on the existence and length</w:t>
      </w:r>
      <w:r w:rsidR="00D7666E" w:rsidRPr="00CC1D5C">
        <w:rPr>
          <w:noProof/>
        </w:rPr>
        <w:t xml:space="preserve">, </w:t>
      </w:r>
      <w:r w:rsidRPr="00CC1D5C">
        <w:rPr>
          <w:noProof/>
        </w:rPr>
        <w:t xml:space="preserve">of </w:t>
      </w:r>
      <w:r w:rsidR="00D7666E" w:rsidRPr="00CC1D5C">
        <w:rPr>
          <w:noProof/>
        </w:rPr>
        <w:t>a</w:t>
      </w:r>
      <w:r w:rsidRPr="00CC1D5C">
        <w:rPr>
          <w:noProof/>
        </w:rPr>
        <w:t xml:space="preserve"> producer’s commercial guarantee of </w:t>
      </w:r>
      <w:r w:rsidRPr="0051343D">
        <w:rPr>
          <w:noProof/>
        </w:rPr>
        <w:t>durability</w:t>
      </w:r>
      <w:r w:rsidR="00D7666E" w:rsidRPr="0051343D">
        <w:rPr>
          <w:noProof/>
        </w:rPr>
        <w:t xml:space="preserve"> </w:t>
      </w:r>
      <w:r w:rsidR="006628F7" w:rsidRPr="0051343D">
        <w:rPr>
          <w:noProof/>
        </w:rPr>
        <w:t>for all</w:t>
      </w:r>
      <w:r w:rsidR="00680DB8">
        <w:rPr>
          <w:noProof/>
        </w:rPr>
        <w:t xml:space="preserve"> </w:t>
      </w:r>
      <w:r w:rsidR="00680DB8" w:rsidRPr="000A4225">
        <w:rPr>
          <w:noProof/>
        </w:rPr>
        <w:t>types of</w:t>
      </w:r>
      <w:r w:rsidR="006628F7" w:rsidRPr="0051343D">
        <w:rPr>
          <w:noProof/>
        </w:rPr>
        <w:t xml:space="preserve"> goods, when this information is made available by the producer</w:t>
      </w:r>
      <w:r w:rsidR="000C729F" w:rsidRPr="0051343D">
        <w:rPr>
          <w:noProof/>
        </w:rPr>
        <w:t>;</w:t>
      </w:r>
      <w:r w:rsidR="00DA37DB" w:rsidRPr="0051343D">
        <w:rPr>
          <w:noProof/>
        </w:rPr>
        <w:t xml:space="preserve"> </w:t>
      </w:r>
    </w:p>
    <w:p w:rsidR="006628F7" w:rsidRPr="005802F2" w:rsidRDefault="006628F7" w:rsidP="00AA5DB8">
      <w:pPr>
        <w:pStyle w:val="Tiret0"/>
        <w:rPr>
          <w:noProof/>
        </w:rPr>
      </w:pPr>
      <w:r w:rsidRPr="005802F2">
        <w:rPr>
          <w:noProof/>
        </w:rPr>
        <w:t xml:space="preserve">information </w:t>
      </w:r>
      <w:r w:rsidR="008108AC">
        <w:rPr>
          <w:noProof/>
        </w:rPr>
        <w:t>that no information has been provided</w:t>
      </w:r>
      <w:r w:rsidR="00540C7B">
        <w:rPr>
          <w:noProof/>
        </w:rPr>
        <w:t xml:space="preserve"> </w:t>
      </w:r>
      <w:r w:rsidR="00C54314">
        <w:rPr>
          <w:noProof/>
        </w:rPr>
        <w:t xml:space="preserve">by the producer </w:t>
      </w:r>
      <w:r w:rsidR="00540C7B">
        <w:rPr>
          <w:noProof/>
        </w:rPr>
        <w:t>about the existe</w:t>
      </w:r>
      <w:r w:rsidR="008108AC">
        <w:rPr>
          <w:noProof/>
        </w:rPr>
        <w:t>nce</w:t>
      </w:r>
      <w:r w:rsidRPr="005802F2">
        <w:rPr>
          <w:noProof/>
        </w:rPr>
        <w:t xml:space="preserve"> of a producer’s guarantee of durability for energy-using goods</w:t>
      </w:r>
      <w:r w:rsidR="00876F80" w:rsidRPr="005802F2">
        <w:rPr>
          <w:noProof/>
        </w:rPr>
        <w:t>;</w:t>
      </w:r>
    </w:p>
    <w:p w:rsidR="006364AD" w:rsidRPr="0051343D" w:rsidRDefault="00EE4F01" w:rsidP="00AA5DB8">
      <w:pPr>
        <w:pStyle w:val="Tiret0"/>
        <w:rPr>
          <w:noProof/>
        </w:rPr>
      </w:pPr>
      <w:r w:rsidRPr="0051343D">
        <w:rPr>
          <w:noProof/>
        </w:rPr>
        <w:t>the existence and length of the period during which the producer commits to providing software updates</w:t>
      </w:r>
      <w:r w:rsidR="00D7666E" w:rsidRPr="0051343D">
        <w:rPr>
          <w:noProof/>
        </w:rPr>
        <w:t xml:space="preserve"> for goods with digital elements</w:t>
      </w:r>
      <w:r w:rsidR="00876F80" w:rsidRPr="0051343D">
        <w:rPr>
          <w:noProof/>
        </w:rPr>
        <w:t>;</w:t>
      </w:r>
    </w:p>
    <w:p w:rsidR="00850519" w:rsidRPr="0051343D" w:rsidRDefault="006364AD" w:rsidP="00AA5DB8">
      <w:pPr>
        <w:pStyle w:val="Tiret0"/>
        <w:rPr>
          <w:noProof/>
        </w:rPr>
      </w:pPr>
      <w:r w:rsidRPr="0051343D">
        <w:rPr>
          <w:noProof/>
        </w:rPr>
        <w:t>the existence and length of the period during which the provider commits to providing software updates for</w:t>
      </w:r>
      <w:r w:rsidR="00D7666E" w:rsidRPr="0051343D">
        <w:rPr>
          <w:noProof/>
        </w:rPr>
        <w:t xml:space="preserve"> digital content and digital services</w:t>
      </w:r>
      <w:r w:rsidR="000C729F" w:rsidRPr="0051343D">
        <w:rPr>
          <w:noProof/>
        </w:rPr>
        <w:t>;</w:t>
      </w:r>
      <w:r w:rsidR="00621ADF" w:rsidRPr="0051343D">
        <w:rPr>
          <w:noProof/>
        </w:rPr>
        <w:t xml:space="preserve"> </w:t>
      </w:r>
    </w:p>
    <w:p w:rsidR="006364AD" w:rsidRPr="0051343D" w:rsidRDefault="00EE4F01" w:rsidP="00AA5DB8">
      <w:pPr>
        <w:pStyle w:val="Tiret0"/>
        <w:rPr>
          <w:noProof/>
        </w:rPr>
      </w:pPr>
      <w:r w:rsidRPr="0051343D">
        <w:rPr>
          <w:noProof/>
        </w:rPr>
        <w:t>the reparability score of the</w:t>
      </w:r>
      <w:r w:rsidR="006364AD" w:rsidRPr="0051343D">
        <w:rPr>
          <w:noProof/>
        </w:rPr>
        <w:t xml:space="preserve"> </w:t>
      </w:r>
      <w:r w:rsidR="000C729F" w:rsidRPr="0051343D">
        <w:rPr>
          <w:noProof/>
        </w:rPr>
        <w:t>good</w:t>
      </w:r>
      <w:r w:rsidRPr="0051343D">
        <w:rPr>
          <w:noProof/>
        </w:rPr>
        <w:t xml:space="preserve"> as applicable under </w:t>
      </w:r>
      <w:r w:rsidR="001244BA" w:rsidRPr="0051343D">
        <w:rPr>
          <w:noProof/>
        </w:rPr>
        <w:t xml:space="preserve">Union </w:t>
      </w:r>
      <w:r w:rsidRPr="0051343D">
        <w:rPr>
          <w:noProof/>
        </w:rPr>
        <w:t>law</w:t>
      </w:r>
      <w:r w:rsidR="00850519" w:rsidRPr="0051343D">
        <w:rPr>
          <w:noProof/>
        </w:rPr>
        <w:t>;</w:t>
      </w:r>
      <w:r w:rsidRPr="0051343D">
        <w:rPr>
          <w:noProof/>
        </w:rPr>
        <w:t xml:space="preserve"> </w:t>
      </w:r>
    </w:p>
    <w:p w:rsidR="00ED7191" w:rsidRPr="0051343D" w:rsidRDefault="00EE4F01" w:rsidP="00AA5DB8">
      <w:pPr>
        <w:pStyle w:val="Tiret0"/>
        <w:rPr>
          <w:noProof/>
        </w:rPr>
      </w:pPr>
      <w:r w:rsidRPr="0051343D">
        <w:rPr>
          <w:noProof/>
        </w:rPr>
        <w:t>other repair information, should no reparability score be available</w:t>
      </w:r>
      <w:r w:rsidR="00F27DF7" w:rsidRPr="0051343D">
        <w:rPr>
          <w:noProof/>
        </w:rPr>
        <w:t xml:space="preserve"> at </w:t>
      </w:r>
      <w:r w:rsidR="001244BA" w:rsidRPr="0051343D">
        <w:rPr>
          <w:noProof/>
        </w:rPr>
        <w:t>Union</w:t>
      </w:r>
      <w:r w:rsidR="00F27DF7" w:rsidRPr="0051343D">
        <w:rPr>
          <w:noProof/>
        </w:rPr>
        <w:t xml:space="preserve"> level</w:t>
      </w:r>
      <w:r w:rsidR="00850519" w:rsidRPr="0051343D">
        <w:rPr>
          <w:noProof/>
        </w:rPr>
        <w:t xml:space="preserve"> –</w:t>
      </w:r>
      <w:r w:rsidRPr="0051343D">
        <w:rPr>
          <w:noProof/>
        </w:rPr>
        <w:t xml:space="preserve"> such as information </w:t>
      </w:r>
      <w:r w:rsidR="00850519" w:rsidRPr="0051343D">
        <w:rPr>
          <w:noProof/>
        </w:rPr>
        <w:t>on</w:t>
      </w:r>
      <w:r w:rsidRPr="0051343D">
        <w:rPr>
          <w:noProof/>
        </w:rPr>
        <w:t xml:space="preserve"> the availability of spare parts</w:t>
      </w:r>
      <w:r w:rsidR="0085308D" w:rsidRPr="0051343D">
        <w:rPr>
          <w:noProof/>
        </w:rPr>
        <w:t xml:space="preserve"> </w:t>
      </w:r>
      <w:r w:rsidRPr="0051343D">
        <w:rPr>
          <w:noProof/>
        </w:rPr>
        <w:t>and a repair manual.</w:t>
      </w:r>
    </w:p>
    <w:p w:rsidR="00EE4F01" w:rsidRPr="00CC1D5C" w:rsidRDefault="00EE4F01" w:rsidP="00B819A4">
      <w:pPr>
        <w:spacing w:before="0" w:after="240"/>
        <w:rPr>
          <w:noProof/>
        </w:rPr>
      </w:pPr>
      <w:r w:rsidRPr="00CC1D5C">
        <w:rPr>
          <w:noProof/>
        </w:rPr>
        <w:t>As regards the pre-contractual information to be provided to consumers when concluding distance and off-premises contracts</w:t>
      </w:r>
      <w:r w:rsidR="00850519" w:rsidRPr="00CC1D5C">
        <w:rPr>
          <w:noProof/>
        </w:rPr>
        <w:t>,</w:t>
      </w:r>
      <w:r w:rsidRPr="00CC1D5C">
        <w:rPr>
          <w:noProof/>
        </w:rPr>
        <w:t xml:space="preserve"> the same </w:t>
      </w:r>
      <w:r w:rsidR="00704DCF">
        <w:rPr>
          <w:noProof/>
        </w:rPr>
        <w:t>six</w:t>
      </w:r>
      <w:r w:rsidR="00704DCF" w:rsidRPr="00CC1D5C">
        <w:rPr>
          <w:noProof/>
        </w:rPr>
        <w:t xml:space="preserve"> </w:t>
      </w:r>
      <w:r w:rsidRPr="00CC1D5C">
        <w:rPr>
          <w:noProof/>
        </w:rPr>
        <w:t>items are added to the list un</w:t>
      </w:r>
      <w:r w:rsidR="00AA2420" w:rsidRPr="00CC1D5C">
        <w:rPr>
          <w:noProof/>
        </w:rPr>
        <w:t>d</w:t>
      </w:r>
      <w:r w:rsidRPr="00CC1D5C">
        <w:rPr>
          <w:noProof/>
        </w:rPr>
        <w:t>er Article 6(1)</w:t>
      </w:r>
      <w:r w:rsidR="00285976" w:rsidRPr="00CC1D5C">
        <w:rPr>
          <w:noProof/>
        </w:rPr>
        <w:t xml:space="preserve"> </w:t>
      </w:r>
      <w:r w:rsidR="00D7666E" w:rsidRPr="00CC1D5C">
        <w:rPr>
          <w:noProof/>
        </w:rPr>
        <w:t>of Directive 2011/83/EU</w:t>
      </w:r>
      <w:r w:rsidRPr="00CC1D5C">
        <w:rPr>
          <w:noProof/>
        </w:rPr>
        <w:t xml:space="preserve"> </w:t>
      </w:r>
      <w:r w:rsidR="00850519" w:rsidRPr="00CC1D5C">
        <w:rPr>
          <w:noProof/>
        </w:rPr>
        <w:t>(</w:t>
      </w:r>
      <w:r w:rsidRPr="00CC1D5C">
        <w:rPr>
          <w:noProof/>
        </w:rPr>
        <w:t>information to be provided to the consumer in a clear and comprehensible manner</w:t>
      </w:r>
      <w:r w:rsidR="00850519" w:rsidRPr="00CC1D5C">
        <w:rPr>
          <w:noProof/>
        </w:rPr>
        <w:t>)</w:t>
      </w:r>
      <w:r w:rsidRPr="00CC1D5C">
        <w:rPr>
          <w:noProof/>
        </w:rPr>
        <w:t>.</w:t>
      </w:r>
    </w:p>
    <w:p w:rsidR="00EE4F01" w:rsidRPr="00CC1D5C" w:rsidRDefault="00EE4F01" w:rsidP="00B819A4">
      <w:pPr>
        <w:spacing w:before="0" w:after="240"/>
        <w:rPr>
          <w:noProof/>
        </w:rPr>
      </w:pPr>
      <w:r w:rsidRPr="00CC1D5C">
        <w:rPr>
          <w:noProof/>
        </w:rPr>
        <w:t xml:space="preserve">As regards the information </w:t>
      </w:r>
      <w:r w:rsidR="004E2BB8" w:rsidRPr="00CC1D5C">
        <w:rPr>
          <w:noProof/>
        </w:rPr>
        <w:t>consumers</w:t>
      </w:r>
      <w:r w:rsidRPr="00CC1D5C">
        <w:rPr>
          <w:noProof/>
        </w:rPr>
        <w:t xml:space="preserve"> </w:t>
      </w:r>
      <w:r w:rsidR="005700A3" w:rsidRPr="00CC1D5C">
        <w:rPr>
          <w:noProof/>
        </w:rPr>
        <w:t>are</w:t>
      </w:r>
      <w:r w:rsidRPr="00CC1D5C">
        <w:rPr>
          <w:noProof/>
        </w:rPr>
        <w:t xml:space="preserve"> to be made aware </w:t>
      </w:r>
      <w:r w:rsidR="00850519" w:rsidRPr="00CC1D5C">
        <w:rPr>
          <w:noProof/>
        </w:rPr>
        <w:t xml:space="preserve">of </w:t>
      </w:r>
      <w:r w:rsidRPr="00CC1D5C">
        <w:rPr>
          <w:noProof/>
        </w:rPr>
        <w:t xml:space="preserve">directly before placing </w:t>
      </w:r>
      <w:r w:rsidR="005700A3" w:rsidRPr="00CC1D5C">
        <w:rPr>
          <w:noProof/>
        </w:rPr>
        <w:t>their</w:t>
      </w:r>
      <w:r w:rsidRPr="00CC1D5C">
        <w:rPr>
          <w:noProof/>
        </w:rPr>
        <w:t xml:space="preserve"> order, in the case of distance contracts to be concluded by electronic means, </w:t>
      </w:r>
      <w:r w:rsidR="00D7666E" w:rsidRPr="00CC1D5C">
        <w:rPr>
          <w:noProof/>
        </w:rPr>
        <w:t xml:space="preserve">information on the existence and length </w:t>
      </w:r>
      <w:r w:rsidR="00850519" w:rsidRPr="005802F2">
        <w:rPr>
          <w:noProof/>
        </w:rPr>
        <w:t>(</w:t>
      </w:r>
      <w:r w:rsidR="008108AC">
        <w:rPr>
          <w:noProof/>
        </w:rPr>
        <w:t>or that no such information has been provided</w:t>
      </w:r>
      <w:r w:rsidR="00604A2D" w:rsidRPr="005802F2">
        <w:rPr>
          <w:noProof/>
        </w:rPr>
        <w:t>, in the case of energy-using goods</w:t>
      </w:r>
      <w:r w:rsidR="00850519" w:rsidRPr="005802F2">
        <w:rPr>
          <w:noProof/>
        </w:rPr>
        <w:t>)</w:t>
      </w:r>
      <w:r w:rsidR="00D7666E" w:rsidRPr="00CC1D5C">
        <w:rPr>
          <w:noProof/>
        </w:rPr>
        <w:t xml:space="preserve"> of a producer’s commercial guarantee of durability</w:t>
      </w:r>
      <w:r w:rsidR="00D7666E" w:rsidRPr="00CC1D5C" w:rsidDel="00604A2D">
        <w:rPr>
          <w:noProof/>
        </w:rPr>
        <w:t xml:space="preserve"> </w:t>
      </w:r>
      <w:r w:rsidR="00D7666E" w:rsidRPr="00CC1D5C">
        <w:rPr>
          <w:noProof/>
        </w:rPr>
        <w:t xml:space="preserve">is added to the list of such information to be provided under </w:t>
      </w:r>
      <w:r w:rsidRPr="00CC1D5C">
        <w:rPr>
          <w:noProof/>
        </w:rPr>
        <w:t>Art 8</w:t>
      </w:r>
      <w:r w:rsidR="00D7666E" w:rsidRPr="00CC1D5C">
        <w:rPr>
          <w:noProof/>
        </w:rPr>
        <w:t>(2) of Directive 2011/83/EU.</w:t>
      </w:r>
    </w:p>
    <w:p w:rsidR="00AE7695" w:rsidRPr="00CC1D5C" w:rsidRDefault="00AE7695" w:rsidP="00D26A61">
      <w:pPr>
        <w:rPr>
          <w:noProof/>
        </w:rPr>
        <w:sectPr w:rsidR="00AE7695" w:rsidRPr="00CC1D5C" w:rsidSect="00CE7D10">
          <w:footerReference w:type="default" r:id="rId14"/>
          <w:footerReference w:type="first" r:id="rId15"/>
          <w:pgSz w:w="11907" w:h="16839"/>
          <w:pgMar w:top="1134" w:right="1417" w:bottom="1134" w:left="1417" w:header="709" w:footer="709" w:gutter="0"/>
          <w:cols w:space="708"/>
          <w:docGrid w:linePitch="360"/>
        </w:sectPr>
      </w:pPr>
    </w:p>
    <w:p w:rsidR="00567565" w:rsidRDefault="00856236" w:rsidP="00856236">
      <w:pPr>
        <w:pStyle w:val="Rfrenceinterinstitutionnelle"/>
        <w:rPr>
          <w:noProof/>
        </w:rPr>
      </w:pPr>
      <w:r w:rsidRPr="00856236">
        <w:t>2022/0092 (COD)</w:t>
      </w:r>
    </w:p>
    <w:p w:rsidR="00996125" w:rsidRPr="00CC1D5C" w:rsidRDefault="006351B8" w:rsidP="006351B8">
      <w:pPr>
        <w:pStyle w:val="Statut"/>
        <w:rPr>
          <w:noProof/>
        </w:rPr>
      </w:pPr>
      <w:r w:rsidRPr="006351B8">
        <w:rPr>
          <w:noProof/>
        </w:rPr>
        <w:t>Proposal for a</w:t>
      </w:r>
    </w:p>
    <w:p w:rsidR="00996125" w:rsidRPr="00CC1D5C" w:rsidRDefault="006351B8" w:rsidP="006351B8">
      <w:pPr>
        <w:pStyle w:val="Typedudocument"/>
        <w:rPr>
          <w:noProof/>
        </w:rPr>
      </w:pPr>
      <w:r w:rsidRPr="006351B8">
        <w:rPr>
          <w:noProof/>
        </w:rPr>
        <w:t>DIRECTIVE OF THE EUROPEAN PARLIAMENT AND OF THE COUNCIL</w:t>
      </w:r>
    </w:p>
    <w:p w:rsidR="00996125" w:rsidRPr="00CC1D5C" w:rsidRDefault="006351B8" w:rsidP="006351B8">
      <w:pPr>
        <w:pStyle w:val="Titreobjet"/>
        <w:rPr>
          <w:noProof/>
        </w:rPr>
      </w:pPr>
      <w:r w:rsidRPr="006351B8">
        <w:rPr>
          <w:noProof/>
        </w:rPr>
        <w:t>amending Directives 2005/29/EC and 2011/83/EU as regards empowering consumers for the green transition through better protection against unfair practices and better information</w:t>
      </w:r>
    </w:p>
    <w:p w:rsidR="00996125" w:rsidRPr="00CC1D5C" w:rsidRDefault="006351B8" w:rsidP="006351B8">
      <w:pPr>
        <w:pStyle w:val="IntrtEEE"/>
        <w:rPr>
          <w:noProof/>
        </w:rPr>
      </w:pPr>
      <w:r w:rsidRPr="006351B8">
        <w:rPr>
          <w:noProof/>
        </w:rPr>
        <w:t>(Text with EEA relevance)</w:t>
      </w:r>
    </w:p>
    <w:p w:rsidR="00996125" w:rsidRPr="00CC1D5C" w:rsidRDefault="00111AEA" w:rsidP="00E03EA4">
      <w:pPr>
        <w:pStyle w:val="Institutionquiagit"/>
        <w:rPr>
          <w:noProof/>
        </w:rPr>
      </w:pPr>
      <w:r w:rsidRPr="00CC1D5C">
        <w:rPr>
          <w:noProof/>
        </w:rPr>
        <w:t>THE EUROPEAN PARLIAMENT AND THE COUNCIL OF THE EUROPEAN UNION,</w:t>
      </w:r>
    </w:p>
    <w:p w:rsidR="00996125" w:rsidRPr="00CC1D5C" w:rsidRDefault="00111AEA" w:rsidP="00B819A4">
      <w:pPr>
        <w:spacing w:before="0"/>
        <w:rPr>
          <w:noProof/>
        </w:rPr>
      </w:pPr>
      <w:r w:rsidRPr="00CC1D5C">
        <w:rPr>
          <w:noProof/>
        </w:rPr>
        <w:t>Having regard to the Treaty on the Functioning of the European Union, and in particular Article 114 thereof,</w:t>
      </w:r>
    </w:p>
    <w:p w:rsidR="00996125" w:rsidRPr="00CC1D5C" w:rsidRDefault="00111AEA" w:rsidP="00B819A4">
      <w:pPr>
        <w:spacing w:before="0"/>
        <w:rPr>
          <w:noProof/>
        </w:rPr>
      </w:pPr>
      <w:r w:rsidRPr="00CC1D5C">
        <w:rPr>
          <w:noProof/>
        </w:rPr>
        <w:t>Having regard to the proposal from the European Commission,</w:t>
      </w:r>
    </w:p>
    <w:p w:rsidR="00996125" w:rsidRPr="00CC1D5C" w:rsidRDefault="00111AEA" w:rsidP="00B819A4">
      <w:pPr>
        <w:spacing w:before="0"/>
        <w:rPr>
          <w:noProof/>
        </w:rPr>
      </w:pPr>
      <w:r w:rsidRPr="00CC1D5C">
        <w:rPr>
          <w:noProof/>
        </w:rPr>
        <w:t>After transmission of the draft legislative act to the national parliaments,</w:t>
      </w:r>
    </w:p>
    <w:p w:rsidR="00996125" w:rsidRPr="00CC1D5C" w:rsidRDefault="00111AEA" w:rsidP="00B819A4">
      <w:pPr>
        <w:spacing w:before="0"/>
        <w:rPr>
          <w:noProof/>
        </w:rPr>
      </w:pPr>
      <w:r w:rsidRPr="002E63F1">
        <w:rPr>
          <w:noProof/>
        </w:rPr>
        <w:t>Having regard to the opinion of the</w:t>
      </w:r>
      <w:r w:rsidR="00375886" w:rsidRPr="002E63F1">
        <w:rPr>
          <w:noProof/>
        </w:rPr>
        <w:t xml:space="preserve"> </w:t>
      </w:r>
      <w:r w:rsidRPr="002E63F1">
        <w:rPr>
          <w:noProof/>
        </w:rPr>
        <w:t>European Economic and Social Committee</w:t>
      </w:r>
      <w:r w:rsidR="00AD1951" w:rsidRPr="002E63F1">
        <w:rPr>
          <w:noProof/>
        </w:rPr>
        <w:t>,</w:t>
      </w:r>
      <w:r w:rsidRPr="002E63F1">
        <w:rPr>
          <w:rStyle w:val="FootnoteReference0"/>
          <w:noProof/>
        </w:rPr>
        <w:footnoteReference w:id="21"/>
      </w:r>
      <w:r w:rsidRPr="00CC1D5C">
        <w:rPr>
          <w:noProof/>
          <w:vertAlign w:val="superscript"/>
        </w:rPr>
        <w:t xml:space="preserve"> </w:t>
      </w:r>
    </w:p>
    <w:p w:rsidR="00996125" w:rsidRPr="00CC1D5C" w:rsidRDefault="00111AEA" w:rsidP="00B819A4">
      <w:pPr>
        <w:spacing w:before="0" w:after="240"/>
        <w:rPr>
          <w:noProof/>
        </w:rPr>
      </w:pPr>
      <w:r w:rsidRPr="00CC1D5C">
        <w:rPr>
          <w:noProof/>
        </w:rPr>
        <w:t>Acting in accordance with the ordinary legislative procedure,</w:t>
      </w:r>
    </w:p>
    <w:p w:rsidR="00CB4396" w:rsidRPr="00CC1D5C" w:rsidRDefault="00CB4396" w:rsidP="004F0D04">
      <w:pPr>
        <w:rPr>
          <w:noProof/>
          <w:shd w:val="clear" w:color="auto" w:fill="FFFFFF"/>
        </w:rPr>
      </w:pPr>
      <w:r w:rsidRPr="00CC1D5C">
        <w:rPr>
          <w:noProof/>
        </w:rPr>
        <w:t>Whereas:</w:t>
      </w:r>
    </w:p>
    <w:p w:rsidR="00CB4396" w:rsidRPr="00CC1D5C" w:rsidRDefault="00C327B1" w:rsidP="00C327B1">
      <w:pPr>
        <w:pStyle w:val="ManualConsidrant"/>
        <w:rPr>
          <w:noProof/>
          <w:color w:val="000000"/>
          <w:shd w:val="clear" w:color="auto" w:fill="FFFFFF"/>
        </w:rPr>
      </w:pPr>
      <w:r w:rsidRPr="00C327B1">
        <w:t>(1)</w:t>
      </w:r>
      <w:r w:rsidRPr="00C327B1">
        <w:tab/>
      </w:r>
      <w:r w:rsidR="0067657C" w:rsidRPr="00CC1D5C">
        <w:rPr>
          <w:noProof/>
        </w:rPr>
        <w:t>In order to tackle unfair commercial practi</w:t>
      </w:r>
      <w:r w:rsidR="0049244B" w:rsidRPr="00CC1D5C">
        <w:rPr>
          <w:noProof/>
        </w:rPr>
        <w:t>c</w:t>
      </w:r>
      <w:r w:rsidR="0067657C" w:rsidRPr="00CC1D5C">
        <w:rPr>
          <w:noProof/>
        </w:rPr>
        <w:t>es</w:t>
      </w:r>
      <w:r w:rsidR="0049244B" w:rsidRPr="00CC1D5C">
        <w:rPr>
          <w:noProof/>
        </w:rPr>
        <w:t xml:space="preserve"> which prevent consumers from making sustainable consumption choices, </w:t>
      </w:r>
      <w:r w:rsidR="00FA5A08">
        <w:rPr>
          <w:noProof/>
        </w:rPr>
        <w:t>such as</w:t>
      </w:r>
      <w:r w:rsidR="0049244B" w:rsidRPr="00CC1D5C">
        <w:rPr>
          <w:noProof/>
        </w:rPr>
        <w:t xml:space="preserve"> </w:t>
      </w:r>
      <w:r w:rsidR="00CB4396" w:rsidRPr="00CC1D5C">
        <w:rPr>
          <w:noProof/>
        </w:rPr>
        <w:t xml:space="preserve">practices </w:t>
      </w:r>
      <w:r w:rsidR="00CB4396" w:rsidRPr="00CC1D5C">
        <w:rPr>
          <w:noProof/>
          <w:color w:val="000000"/>
          <w:shd w:val="clear" w:color="auto" w:fill="FFFFFF"/>
        </w:rPr>
        <w:t xml:space="preserve">associated with </w:t>
      </w:r>
      <w:r w:rsidR="00A1718E" w:rsidRPr="00CC1D5C">
        <w:rPr>
          <w:noProof/>
          <w:color w:val="000000"/>
          <w:shd w:val="clear" w:color="auto" w:fill="FFFFFF"/>
        </w:rPr>
        <w:t xml:space="preserve">the early </w:t>
      </w:r>
      <w:r w:rsidR="00CB4396" w:rsidRPr="00CC1D5C">
        <w:rPr>
          <w:noProof/>
          <w:color w:val="000000"/>
          <w:shd w:val="clear" w:color="auto" w:fill="FFFFFF"/>
        </w:rPr>
        <w:t>obsolescence of goods, misleading environmental claims (“greenwashing”), non-transparent and non-credible sustainability labels or sustainability information tools</w:t>
      </w:r>
      <w:r w:rsidR="0067657C" w:rsidRPr="00CC1D5C">
        <w:rPr>
          <w:noProof/>
          <w:color w:val="000000"/>
          <w:shd w:val="clear" w:color="auto" w:fill="FFFFFF"/>
        </w:rPr>
        <w:t xml:space="preserve">, </w:t>
      </w:r>
      <w:r w:rsidR="004B54F8" w:rsidRPr="00CC1D5C">
        <w:rPr>
          <w:noProof/>
          <w:color w:val="000000"/>
          <w:shd w:val="clear" w:color="auto" w:fill="FFFFFF"/>
        </w:rPr>
        <w:t xml:space="preserve">specific rules should be introduced in Union consumer law. This would enable </w:t>
      </w:r>
      <w:r w:rsidR="00FF26D5" w:rsidRPr="00CC1D5C">
        <w:rPr>
          <w:noProof/>
          <w:color w:val="000000"/>
          <w:shd w:val="clear" w:color="auto" w:fill="FFFFFF"/>
        </w:rPr>
        <w:t>national</w:t>
      </w:r>
      <w:r w:rsidR="004B54F8" w:rsidRPr="00CC1D5C">
        <w:rPr>
          <w:noProof/>
          <w:color w:val="000000"/>
          <w:shd w:val="clear" w:color="auto" w:fill="FFFFFF"/>
        </w:rPr>
        <w:t xml:space="preserve"> </w:t>
      </w:r>
      <w:r w:rsidR="004411C2" w:rsidRPr="00CC1D5C">
        <w:rPr>
          <w:noProof/>
          <w:color w:val="000000"/>
          <w:shd w:val="clear" w:color="auto" w:fill="FFFFFF"/>
        </w:rPr>
        <w:t xml:space="preserve">competent bodies </w:t>
      </w:r>
      <w:r w:rsidR="004B54F8" w:rsidRPr="00CC1D5C">
        <w:rPr>
          <w:noProof/>
          <w:color w:val="000000"/>
          <w:shd w:val="clear" w:color="auto" w:fill="FFFFFF"/>
        </w:rPr>
        <w:t>to address th</w:t>
      </w:r>
      <w:r w:rsidR="00C13597">
        <w:rPr>
          <w:noProof/>
          <w:color w:val="000000"/>
          <w:shd w:val="clear" w:color="auto" w:fill="FFFFFF"/>
        </w:rPr>
        <w:t>o</w:t>
      </w:r>
      <w:r w:rsidR="004B54F8" w:rsidRPr="00CC1D5C">
        <w:rPr>
          <w:noProof/>
          <w:color w:val="000000"/>
          <w:shd w:val="clear" w:color="auto" w:fill="FFFFFF"/>
        </w:rPr>
        <w:t>se practices effectively</w:t>
      </w:r>
      <w:r w:rsidR="00CB4396" w:rsidRPr="00CC1D5C">
        <w:rPr>
          <w:noProof/>
          <w:color w:val="000000"/>
          <w:shd w:val="clear" w:color="auto" w:fill="FFFFFF"/>
        </w:rPr>
        <w:t>.</w:t>
      </w:r>
      <w:r w:rsidR="00FB5983" w:rsidRPr="00FB5983">
        <w:rPr>
          <w:noProof/>
        </w:rPr>
        <w:t xml:space="preserve"> </w:t>
      </w:r>
      <w:r w:rsidR="00A134F0">
        <w:rPr>
          <w:noProof/>
          <w:color w:val="000000"/>
          <w:shd w:val="clear" w:color="auto" w:fill="FFFFFF"/>
        </w:rPr>
        <w:t xml:space="preserve"> By ensuring that environmental claims are fair, consumers will be able to choose products that are genuinely</w:t>
      </w:r>
      <w:r w:rsidR="00736F14">
        <w:rPr>
          <w:noProof/>
          <w:color w:val="000000"/>
          <w:shd w:val="clear" w:color="auto" w:fill="FFFFFF"/>
        </w:rPr>
        <w:t xml:space="preserve"> better for</w:t>
      </w:r>
      <w:r w:rsidR="00A134F0">
        <w:rPr>
          <w:noProof/>
          <w:color w:val="000000"/>
          <w:shd w:val="clear" w:color="auto" w:fill="FFFFFF"/>
        </w:rPr>
        <w:t xml:space="preserve"> the environment </w:t>
      </w:r>
      <w:r w:rsidR="00A134F0" w:rsidRPr="0075580D">
        <w:rPr>
          <w:noProof/>
          <w:color w:val="000000"/>
          <w:shd w:val="clear" w:color="auto" w:fill="FFFFFF"/>
        </w:rPr>
        <w:t xml:space="preserve">than </w:t>
      </w:r>
      <w:r w:rsidR="00337EAF" w:rsidRPr="0075580D">
        <w:rPr>
          <w:noProof/>
          <w:color w:val="000000"/>
          <w:shd w:val="clear" w:color="auto" w:fill="FFFFFF"/>
        </w:rPr>
        <w:t>competing products</w:t>
      </w:r>
      <w:r w:rsidR="00A134F0">
        <w:rPr>
          <w:noProof/>
          <w:color w:val="000000"/>
          <w:shd w:val="clear" w:color="auto" w:fill="FFFFFF"/>
        </w:rPr>
        <w:t>.</w:t>
      </w:r>
      <w:r w:rsidR="00F025C3">
        <w:rPr>
          <w:noProof/>
          <w:color w:val="000000"/>
          <w:shd w:val="clear" w:color="auto" w:fill="FFFFFF"/>
        </w:rPr>
        <w:t xml:space="preserve"> </w:t>
      </w:r>
      <w:r w:rsidR="00A134F0">
        <w:rPr>
          <w:noProof/>
          <w:color w:val="000000"/>
          <w:shd w:val="clear" w:color="auto" w:fill="FFFFFF"/>
        </w:rPr>
        <w:t>This will encourage competition towards more environmentally sustainable products, thus reducing negative impact on the environment.</w:t>
      </w:r>
    </w:p>
    <w:p w:rsidR="00646563" w:rsidRPr="00813A4A" w:rsidRDefault="00C327B1" w:rsidP="00C327B1">
      <w:pPr>
        <w:pStyle w:val="ManualConsidrant"/>
        <w:rPr>
          <w:noProof/>
        </w:rPr>
      </w:pPr>
      <w:r w:rsidRPr="00C327B1">
        <w:t>(2)</w:t>
      </w:r>
      <w:r w:rsidRPr="00C327B1">
        <w:tab/>
      </w:r>
      <w:r w:rsidR="00646563" w:rsidRPr="00C10794">
        <w:rPr>
          <w:noProof/>
        </w:rPr>
        <w:t>Th</w:t>
      </w:r>
      <w:r w:rsidR="00FA5A08">
        <w:rPr>
          <w:noProof/>
        </w:rPr>
        <w:t>ose new rules</w:t>
      </w:r>
      <w:r w:rsidR="00646563">
        <w:rPr>
          <w:noProof/>
          <w:shd w:val="clear" w:color="auto" w:fill="FFFFFF"/>
        </w:rPr>
        <w:t xml:space="preserve"> should be </w:t>
      </w:r>
      <w:r w:rsidR="00FA5A08">
        <w:rPr>
          <w:noProof/>
          <w:shd w:val="clear" w:color="auto" w:fill="FFFFFF"/>
        </w:rPr>
        <w:t>introduced</w:t>
      </w:r>
      <w:r w:rsidR="00646563">
        <w:rPr>
          <w:noProof/>
          <w:shd w:val="clear" w:color="auto" w:fill="FFFFFF"/>
        </w:rPr>
        <w:t xml:space="preserve"> both through amending Article</w:t>
      </w:r>
      <w:r w:rsidR="00361AE5">
        <w:rPr>
          <w:noProof/>
          <w:shd w:val="clear" w:color="auto" w:fill="FFFFFF"/>
        </w:rPr>
        <w:t>s</w:t>
      </w:r>
      <w:r w:rsidR="00646563">
        <w:rPr>
          <w:noProof/>
          <w:shd w:val="clear" w:color="auto" w:fill="FFFFFF"/>
        </w:rPr>
        <w:t xml:space="preserve"> 6 </w:t>
      </w:r>
      <w:r w:rsidR="00361AE5">
        <w:rPr>
          <w:noProof/>
          <w:shd w:val="clear" w:color="auto" w:fill="FFFFFF"/>
        </w:rPr>
        <w:t xml:space="preserve">and 7 </w:t>
      </w:r>
      <w:r w:rsidR="00646563">
        <w:rPr>
          <w:noProof/>
          <w:shd w:val="clear" w:color="auto" w:fill="FFFFFF"/>
        </w:rPr>
        <w:t xml:space="preserve">of Directive 2005/29/EC </w:t>
      </w:r>
      <w:r w:rsidR="00C520D4">
        <w:rPr>
          <w:noProof/>
          <w:shd w:val="clear" w:color="auto" w:fill="FFFFFF"/>
        </w:rPr>
        <w:t xml:space="preserve">of the </w:t>
      </w:r>
      <w:r w:rsidR="00C520D4" w:rsidRPr="004F4982">
        <w:rPr>
          <w:noProof/>
        </w:rPr>
        <w:t>European</w:t>
      </w:r>
      <w:r w:rsidR="00C520D4">
        <w:rPr>
          <w:noProof/>
          <w:shd w:val="clear" w:color="auto" w:fill="FFFFFF"/>
        </w:rPr>
        <w:t xml:space="preserve"> Parliament and of the Council</w:t>
      </w:r>
      <w:r w:rsidR="00C520D4">
        <w:rPr>
          <w:rStyle w:val="FootnoteReference0"/>
          <w:noProof/>
        </w:rPr>
        <w:footnoteReference w:id="22"/>
      </w:r>
      <w:r w:rsidR="00C01473">
        <w:rPr>
          <w:noProof/>
          <w:shd w:val="clear" w:color="auto" w:fill="FFFFFF"/>
        </w:rPr>
        <w:t xml:space="preserve"> </w:t>
      </w:r>
      <w:r w:rsidR="00646563">
        <w:rPr>
          <w:noProof/>
          <w:shd w:val="clear" w:color="auto" w:fill="FFFFFF"/>
        </w:rPr>
        <w:t xml:space="preserve">relating to those commercial practices which are to be considered misleading, and therefore prohibited, on the basis of a case-by-case assessment, and through amending </w:t>
      </w:r>
      <w:r w:rsidR="00646563" w:rsidRPr="00AA5DB8">
        <w:rPr>
          <w:noProof/>
        </w:rPr>
        <w:t>Annex I to Directive 2005/29/EC with the addition of specific misleading practices which are in all circumstances consi</w:t>
      </w:r>
      <w:r w:rsidR="00813A4A">
        <w:rPr>
          <w:noProof/>
        </w:rPr>
        <w:t>dered unfair, hence prohibited.</w:t>
      </w:r>
    </w:p>
    <w:p w:rsidR="0049405E" w:rsidRPr="00C50F98" w:rsidRDefault="00C327B1" w:rsidP="00C327B1">
      <w:pPr>
        <w:pStyle w:val="ManualConsidrant"/>
        <w:rPr>
          <w:noProof/>
          <w:shd w:val="clear" w:color="auto" w:fill="FFFFFF"/>
        </w:rPr>
      </w:pPr>
      <w:r w:rsidRPr="00C327B1">
        <w:t>(3)</w:t>
      </w:r>
      <w:r w:rsidRPr="00C327B1">
        <w:tab/>
      </w:r>
      <w:r w:rsidR="00EE47F3" w:rsidRPr="00CC1D5C">
        <w:rPr>
          <w:noProof/>
        </w:rPr>
        <w:t>I</w:t>
      </w:r>
      <w:r w:rsidR="00E7620F" w:rsidRPr="00CC1D5C">
        <w:rPr>
          <w:noProof/>
          <w:shd w:val="clear" w:color="auto" w:fill="FFFFFF"/>
        </w:rPr>
        <w:t xml:space="preserve">n order to </w:t>
      </w:r>
      <w:r w:rsidR="00855F94">
        <w:rPr>
          <w:noProof/>
          <w:shd w:val="clear" w:color="auto" w:fill="FFFFFF"/>
        </w:rPr>
        <w:t>deter</w:t>
      </w:r>
      <w:r w:rsidR="00E7620F" w:rsidRPr="00CC1D5C">
        <w:rPr>
          <w:noProof/>
          <w:shd w:val="clear" w:color="auto" w:fill="FFFFFF"/>
        </w:rPr>
        <w:t xml:space="preserve"> traders </w:t>
      </w:r>
      <w:r w:rsidR="00855F94">
        <w:rPr>
          <w:noProof/>
          <w:shd w:val="clear" w:color="auto" w:fill="FFFFFF"/>
        </w:rPr>
        <w:t xml:space="preserve">from </w:t>
      </w:r>
      <w:r w:rsidR="00E7620F" w:rsidRPr="00CC1D5C">
        <w:rPr>
          <w:noProof/>
          <w:shd w:val="clear" w:color="auto" w:fill="FFFFFF"/>
        </w:rPr>
        <w:t>deceiv</w:t>
      </w:r>
      <w:r w:rsidR="00855F94">
        <w:rPr>
          <w:noProof/>
          <w:shd w:val="clear" w:color="auto" w:fill="FFFFFF"/>
        </w:rPr>
        <w:t>ing</w:t>
      </w:r>
      <w:r w:rsidR="00E7620F" w:rsidRPr="00CC1D5C">
        <w:rPr>
          <w:noProof/>
          <w:shd w:val="clear" w:color="auto" w:fill="FFFFFF"/>
        </w:rPr>
        <w:t xml:space="preserve"> consumers as regards the environmental </w:t>
      </w:r>
      <w:r w:rsidR="00F67A67">
        <w:rPr>
          <w:noProof/>
          <w:shd w:val="clear" w:color="auto" w:fill="FFFFFF"/>
        </w:rPr>
        <w:t>or social impact</w:t>
      </w:r>
      <w:r w:rsidR="0066177F">
        <w:rPr>
          <w:noProof/>
          <w:shd w:val="clear" w:color="auto" w:fill="FFFFFF"/>
        </w:rPr>
        <w:t xml:space="preserve">, </w:t>
      </w:r>
      <w:r w:rsidR="0066177F" w:rsidRPr="004F4982">
        <w:rPr>
          <w:noProof/>
        </w:rPr>
        <w:t>durability</w:t>
      </w:r>
      <w:r w:rsidR="0066177F">
        <w:rPr>
          <w:noProof/>
          <w:shd w:val="clear" w:color="auto" w:fill="FFFFFF"/>
        </w:rPr>
        <w:t xml:space="preserve"> or reparability</w:t>
      </w:r>
      <w:r w:rsidR="00E7620F" w:rsidRPr="00CC1D5C">
        <w:rPr>
          <w:noProof/>
          <w:shd w:val="clear" w:color="auto" w:fill="FFFFFF"/>
        </w:rPr>
        <w:t xml:space="preserve"> of their product</w:t>
      </w:r>
      <w:r w:rsidR="00855F94">
        <w:rPr>
          <w:noProof/>
          <w:shd w:val="clear" w:color="auto" w:fill="FFFFFF"/>
        </w:rPr>
        <w:t>s</w:t>
      </w:r>
      <w:r w:rsidR="00E7620F" w:rsidRPr="00CC1D5C">
        <w:rPr>
          <w:noProof/>
          <w:shd w:val="clear" w:color="auto" w:fill="FFFFFF"/>
        </w:rPr>
        <w:t xml:space="preserve">, </w:t>
      </w:r>
      <w:r w:rsidR="00640F36" w:rsidRPr="00CC1D5C">
        <w:rPr>
          <w:noProof/>
          <w:shd w:val="clear" w:color="auto" w:fill="FFFFFF"/>
        </w:rPr>
        <w:t>including through the overall presentation of the product</w:t>
      </w:r>
      <w:r w:rsidR="00855F94">
        <w:rPr>
          <w:noProof/>
          <w:shd w:val="clear" w:color="auto" w:fill="FFFFFF"/>
        </w:rPr>
        <w:t>s</w:t>
      </w:r>
      <w:r w:rsidR="00640F36" w:rsidRPr="00CC1D5C">
        <w:rPr>
          <w:noProof/>
          <w:shd w:val="clear" w:color="auto" w:fill="FFFFFF"/>
        </w:rPr>
        <w:t>,</w:t>
      </w:r>
      <w:r w:rsidR="00E7620F" w:rsidRPr="00CC1D5C">
        <w:rPr>
          <w:noProof/>
          <w:shd w:val="clear" w:color="auto" w:fill="FFFFFF"/>
        </w:rPr>
        <w:t xml:space="preserve"> A</w:t>
      </w:r>
      <w:r w:rsidR="00EA156A" w:rsidRPr="00CC1D5C">
        <w:rPr>
          <w:noProof/>
          <w:shd w:val="clear" w:color="auto" w:fill="FFFFFF"/>
        </w:rPr>
        <w:t>rticle 6(1) of Directive 2005/29/EC</w:t>
      </w:r>
      <w:r w:rsidR="00AD1951">
        <w:rPr>
          <w:noProof/>
          <w:shd w:val="clear" w:color="auto" w:fill="FFFFFF"/>
        </w:rPr>
        <w:t xml:space="preserve"> </w:t>
      </w:r>
      <w:r w:rsidR="00EA156A" w:rsidRPr="00CC1D5C">
        <w:rPr>
          <w:noProof/>
          <w:shd w:val="clear" w:color="auto" w:fill="FFFFFF"/>
        </w:rPr>
        <w:t xml:space="preserve">should be amended by </w:t>
      </w:r>
      <w:r w:rsidR="007260D6" w:rsidRPr="00CC1D5C">
        <w:rPr>
          <w:noProof/>
          <w:shd w:val="clear" w:color="auto" w:fill="FFFFFF"/>
        </w:rPr>
        <w:t>adding the environmental</w:t>
      </w:r>
      <w:r w:rsidR="00DB7CD7">
        <w:rPr>
          <w:noProof/>
          <w:shd w:val="clear" w:color="auto" w:fill="FFFFFF"/>
        </w:rPr>
        <w:t xml:space="preserve"> or social</w:t>
      </w:r>
      <w:r w:rsidR="007260D6" w:rsidRPr="00CC1D5C">
        <w:rPr>
          <w:noProof/>
          <w:shd w:val="clear" w:color="auto" w:fill="FFFFFF"/>
        </w:rPr>
        <w:t xml:space="preserve"> impact</w:t>
      </w:r>
      <w:r w:rsidR="00611170">
        <w:rPr>
          <w:noProof/>
          <w:shd w:val="clear" w:color="auto" w:fill="FFFFFF"/>
        </w:rPr>
        <w:t xml:space="preserve">, </w:t>
      </w:r>
      <w:r w:rsidR="00611170" w:rsidRPr="007D7B63">
        <w:rPr>
          <w:noProof/>
          <w:shd w:val="clear" w:color="auto" w:fill="FFFFFF"/>
        </w:rPr>
        <w:t>durability and reparability</w:t>
      </w:r>
      <w:r w:rsidR="007260D6" w:rsidRPr="00CC1D5C">
        <w:rPr>
          <w:noProof/>
          <w:shd w:val="clear" w:color="auto" w:fill="FFFFFF"/>
        </w:rPr>
        <w:t xml:space="preserve"> of the product</w:t>
      </w:r>
      <w:r w:rsidR="00654C71" w:rsidRPr="00CC1D5C">
        <w:rPr>
          <w:noProof/>
          <w:shd w:val="clear" w:color="auto" w:fill="FFFFFF"/>
        </w:rPr>
        <w:t xml:space="preserve"> to </w:t>
      </w:r>
      <w:r w:rsidR="00654C71" w:rsidRPr="00CC1D5C">
        <w:rPr>
          <w:noProof/>
        </w:rPr>
        <w:t xml:space="preserve">the list of </w:t>
      </w:r>
      <w:r w:rsidR="00855F94">
        <w:rPr>
          <w:noProof/>
        </w:rPr>
        <w:t>the main</w:t>
      </w:r>
      <w:r w:rsidR="00654C71" w:rsidRPr="00CC1D5C">
        <w:rPr>
          <w:noProof/>
        </w:rPr>
        <w:t xml:space="preserve"> characteristics </w:t>
      </w:r>
      <w:r w:rsidR="00855F94">
        <w:rPr>
          <w:noProof/>
        </w:rPr>
        <w:t>of the product</w:t>
      </w:r>
      <w:r w:rsidR="00654C71" w:rsidRPr="00CC1D5C">
        <w:rPr>
          <w:noProof/>
        </w:rPr>
        <w:t xml:space="preserve"> </w:t>
      </w:r>
      <w:r w:rsidR="00855F94">
        <w:rPr>
          <w:noProof/>
        </w:rPr>
        <w:t xml:space="preserve">in respect of which the </w:t>
      </w:r>
      <w:r w:rsidR="00654C71" w:rsidRPr="00CC1D5C">
        <w:rPr>
          <w:noProof/>
        </w:rPr>
        <w:t>trader</w:t>
      </w:r>
      <w:r w:rsidR="00855F94">
        <w:rPr>
          <w:noProof/>
        </w:rPr>
        <w:t xml:space="preserve">’s </w:t>
      </w:r>
      <w:r w:rsidR="001D5C53">
        <w:rPr>
          <w:noProof/>
        </w:rPr>
        <w:t>practices</w:t>
      </w:r>
      <w:r w:rsidR="001D5C53" w:rsidRPr="00CC1D5C">
        <w:rPr>
          <w:noProof/>
        </w:rPr>
        <w:t xml:space="preserve"> </w:t>
      </w:r>
      <w:r w:rsidR="00654C71" w:rsidRPr="00CC1D5C">
        <w:rPr>
          <w:noProof/>
        </w:rPr>
        <w:t>can be considered misleading</w:t>
      </w:r>
      <w:r w:rsidR="005756CA">
        <w:rPr>
          <w:noProof/>
        </w:rPr>
        <w:t xml:space="preserve">, </w:t>
      </w:r>
      <w:r w:rsidR="005756CA" w:rsidRPr="00AA5DB8">
        <w:rPr>
          <w:noProof/>
        </w:rPr>
        <w:t>following a case-by-case assessment</w:t>
      </w:r>
      <w:r w:rsidR="007260D6" w:rsidRPr="00CC1D5C">
        <w:rPr>
          <w:noProof/>
          <w:shd w:val="clear" w:color="auto" w:fill="FFFFFF"/>
        </w:rPr>
        <w:t>.</w:t>
      </w:r>
      <w:r w:rsidR="00EA156A" w:rsidRPr="00CC1D5C">
        <w:rPr>
          <w:noProof/>
          <w:shd w:val="clear" w:color="auto" w:fill="FFFFFF"/>
        </w:rPr>
        <w:t xml:space="preserve"> </w:t>
      </w:r>
      <w:r w:rsidR="00032F76" w:rsidRPr="00032F76">
        <w:rPr>
          <w:noProof/>
          <w:color w:val="000000"/>
          <w:u w:val="single"/>
          <w:shd w:val="clear" w:color="auto" w:fill="FFFFFF"/>
        </w:rPr>
        <w:t>Infor</w:t>
      </w:r>
      <w:r w:rsidR="00032F76" w:rsidRPr="00E05F17">
        <w:rPr>
          <w:noProof/>
          <w:color w:val="000000"/>
          <w:u w:val="single"/>
          <w:shd w:val="clear" w:color="auto" w:fill="FFFFFF"/>
        </w:rPr>
        <w:t>mation</w:t>
      </w:r>
      <w:r w:rsidR="00032F76" w:rsidRPr="00B24ED6">
        <w:rPr>
          <w:noProof/>
          <w:color w:val="000000"/>
          <w:u w:val="single"/>
          <w:shd w:val="clear" w:color="auto" w:fill="FFFFFF"/>
        </w:rPr>
        <w:t xml:space="preserve"> provided by traders on the social sustainability of products, such as </w:t>
      </w:r>
      <w:r w:rsidR="00032F76" w:rsidRPr="000B7221">
        <w:rPr>
          <w:noProof/>
          <w:color w:val="000000"/>
          <w:u w:val="single"/>
          <w:shd w:val="clear" w:color="auto" w:fill="FFFFFF"/>
        </w:rPr>
        <w:t>working conditions, charity contributions or animal welfare, should not mislead consumers</w:t>
      </w:r>
      <w:r w:rsidR="00032F76" w:rsidRPr="004F3D44">
        <w:rPr>
          <w:noProof/>
          <w:color w:val="000000"/>
          <w:u w:val="single"/>
          <w:shd w:val="clear" w:color="auto" w:fill="FFFFFF"/>
        </w:rPr>
        <w:t xml:space="preserve"> either.</w:t>
      </w:r>
    </w:p>
    <w:p w:rsidR="00730878" w:rsidRDefault="00C327B1" w:rsidP="00C327B1">
      <w:pPr>
        <w:pStyle w:val="ManualConsidrant"/>
        <w:rPr>
          <w:noProof/>
        </w:rPr>
      </w:pPr>
      <w:r w:rsidRPr="00C327B1">
        <w:t>(4)</w:t>
      </w:r>
      <w:r w:rsidRPr="00C327B1">
        <w:tab/>
      </w:r>
      <w:r w:rsidR="00382EB2">
        <w:rPr>
          <w:noProof/>
        </w:rPr>
        <w:t>E</w:t>
      </w:r>
      <w:r w:rsidR="00640F36" w:rsidRPr="00CC1D5C">
        <w:rPr>
          <w:noProof/>
        </w:rPr>
        <w:t>nvironmental claims, in particular climate-related claims</w:t>
      </w:r>
      <w:r w:rsidR="004F4982">
        <w:rPr>
          <w:noProof/>
        </w:rPr>
        <w:t>,</w:t>
      </w:r>
      <w:r w:rsidR="00730878" w:rsidRPr="00CC1D5C">
        <w:rPr>
          <w:noProof/>
        </w:rPr>
        <w:t xml:space="preserve"> increasingly </w:t>
      </w:r>
      <w:r w:rsidR="00640F36" w:rsidRPr="00CC1D5C">
        <w:rPr>
          <w:noProof/>
        </w:rPr>
        <w:t>relate to</w:t>
      </w:r>
      <w:r w:rsidR="00A9277E" w:rsidRPr="00CC1D5C">
        <w:rPr>
          <w:noProof/>
        </w:rPr>
        <w:t xml:space="preserve"> </w:t>
      </w:r>
      <w:r w:rsidR="00730878" w:rsidRPr="00CC1D5C">
        <w:rPr>
          <w:noProof/>
        </w:rPr>
        <w:t xml:space="preserve">future performance in the form of a transition to carbon or climate neutrality, or </w:t>
      </w:r>
      <w:r w:rsidR="00B2048B">
        <w:rPr>
          <w:noProof/>
        </w:rPr>
        <w:t xml:space="preserve">a </w:t>
      </w:r>
      <w:r w:rsidR="00730878" w:rsidRPr="00CC1D5C">
        <w:rPr>
          <w:noProof/>
        </w:rPr>
        <w:t>similar</w:t>
      </w:r>
      <w:r w:rsidR="009F3CE8">
        <w:rPr>
          <w:noProof/>
        </w:rPr>
        <w:t xml:space="preserve"> objective</w:t>
      </w:r>
      <w:r w:rsidR="00730878" w:rsidRPr="00CC1D5C">
        <w:rPr>
          <w:noProof/>
        </w:rPr>
        <w:t xml:space="preserve">, by a certain date. Through such claims, </w:t>
      </w:r>
      <w:r w:rsidR="00565006">
        <w:rPr>
          <w:noProof/>
        </w:rPr>
        <w:t xml:space="preserve">traders create </w:t>
      </w:r>
      <w:r w:rsidR="00730878" w:rsidRPr="00CC1D5C">
        <w:rPr>
          <w:noProof/>
        </w:rPr>
        <w:t xml:space="preserve">the impression that </w:t>
      </w:r>
      <w:r w:rsidR="00565006">
        <w:rPr>
          <w:noProof/>
        </w:rPr>
        <w:t xml:space="preserve">consumers </w:t>
      </w:r>
      <w:r w:rsidR="00730878" w:rsidRPr="00CC1D5C">
        <w:rPr>
          <w:noProof/>
        </w:rPr>
        <w:t xml:space="preserve">contribute to </w:t>
      </w:r>
      <w:r w:rsidR="006F20B8">
        <w:rPr>
          <w:noProof/>
        </w:rPr>
        <w:t xml:space="preserve">a low-carbon economy </w:t>
      </w:r>
      <w:r w:rsidR="00730878" w:rsidRPr="00CC1D5C">
        <w:rPr>
          <w:noProof/>
        </w:rPr>
        <w:t xml:space="preserve">by purchasing </w:t>
      </w:r>
      <w:r w:rsidR="00565006">
        <w:rPr>
          <w:noProof/>
        </w:rPr>
        <w:t xml:space="preserve">their products. </w:t>
      </w:r>
      <w:r w:rsidR="001D197B">
        <w:rPr>
          <w:noProof/>
        </w:rPr>
        <w:t>T</w:t>
      </w:r>
      <w:r w:rsidR="00730878" w:rsidRPr="00CC1D5C">
        <w:rPr>
          <w:noProof/>
        </w:rPr>
        <w:t xml:space="preserve">o ensure the </w:t>
      </w:r>
      <w:r w:rsidR="00565006">
        <w:rPr>
          <w:noProof/>
        </w:rPr>
        <w:t>fairness</w:t>
      </w:r>
      <w:r w:rsidR="00730878" w:rsidRPr="00CC1D5C">
        <w:rPr>
          <w:noProof/>
        </w:rPr>
        <w:t xml:space="preserve"> </w:t>
      </w:r>
      <w:r w:rsidR="001D197B">
        <w:rPr>
          <w:noProof/>
        </w:rPr>
        <w:t xml:space="preserve">and credibility </w:t>
      </w:r>
      <w:r w:rsidR="00730878" w:rsidRPr="00CC1D5C">
        <w:rPr>
          <w:noProof/>
        </w:rPr>
        <w:t>of such claims</w:t>
      </w:r>
      <w:r w:rsidR="00640F36" w:rsidRPr="00CC1D5C">
        <w:rPr>
          <w:noProof/>
          <w:color w:val="000000"/>
          <w:shd w:val="clear" w:color="auto" w:fill="FFFFFF"/>
        </w:rPr>
        <w:t>, Article 6(2) of Directive 2005/29/EC</w:t>
      </w:r>
      <w:r w:rsidR="00640F36" w:rsidRPr="00AA5DB8">
        <w:rPr>
          <w:noProof/>
        </w:rPr>
        <w:t xml:space="preserve"> </w:t>
      </w:r>
      <w:r w:rsidR="00640F36" w:rsidRPr="00CC1D5C">
        <w:rPr>
          <w:noProof/>
        </w:rPr>
        <w:t xml:space="preserve">should be amended to </w:t>
      </w:r>
      <w:r w:rsidR="005756CA">
        <w:rPr>
          <w:noProof/>
        </w:rPr>
        <w:t xml:space="preserve">prohibit </w:t>
      </w:r>
      <w:r w:rsidR="0047779B">
        <w:rPr>
          <w:noProof/>
        </w:rPr>
        <w:t>such claim</w:t>
      </w:r>
      <w:r w:rsidR="001D197B">
        <w:rPr>
          <w:noProof/>
        </w:rPr>
        <w:t>s</w:t>
      </w:r>
      <w:r w:rsidR="005756CA">
        <w:rPr>
          <w:noProof/>
        </w:rPr>
        <w:t xml:space="preserve">, </w:t>
      </w:r>
      <w:r w:rsidR="005756CA" w:rsidRPr="00AA5DB8">
        <w:rPr>
          <w:noProof/>
        </w:rPr>
        <w:t>following a case-by-case assessment</w:t>
      </w:r>
      <w:r w:rsidR="005756CA">
        <w:rPr>
          <w:noProof/>
        </w:rPr>
        <w:t>,</w:t>
      </w:r>
      <w:r w:rsidR="0047779B">
        <w:rPr>
          <w:noProof/>
        </w:rPr>
        <w:t xml:space="preserve"> </w:t>
      </w:r>
      <w:r w:rsidR="005756CA">
        <w:rPr>
          <w:noProof/>
        </w:rPr>
        <w:t>when they are not</w:t>
      </w:r>
      <w:r w:rsidR="0047779B">
        <w:rPr>
          <w:noProof/>
        </w:rPr>
        <w:t xml:space="preserve"> </w:t>
      </w:r>
      <w:r w:rsidR="00C231E0">
        <w:rPr>
          <w:noProof/>
        </w:rPr>
        <w:t>supported</w:t>
      </w:r>
      <w:r w:rsidR="0047779B">
        <w:rPr>
          <w:noProof/>
        </w:rPr>
        <w:t xml:space="preserve"> by</w:t>
      </w:r>
      <w:r w:rsidR="00640F36" w:rsidRPr="00CC1D5C" w:rsidDel="0047779B">
        <w:rPr>
          <w:noProof/>
        </w:rPr>
        <w:t xml:space="preserve"> </w:t>
      </w:r>
      <w:r w:rsidR="00640F36" w:rsidRPr="00CC1D5C">
        <w:rPr>
          <w:noProof/>
        </w:rPr>
        <w:t>clear, objective and verifiable commitments</w:t>
      </w:r>
      <w:r w:rsidR="006A1A4C">
        <w:rPr>
          <w:noProof/>
        </w:rPr>
        <w:t xml:space="preserve"> </w:t>
      </w:r>
      <w:r w:rsidR="003B424B" w:rsidRPr="003B424B">
        <w:rPr>
          <w:noProof/>
        </w:rPr>
        <w:t>and targets</w:t>
      </w:r>
      <w:r w:rsidR="003B424B">
        <w:rPr>
          <w:noProof/>
        </w:rPr>
        <w:t xml:space="preserve"> </w:t>
      </w:r>
      <w:r w:rsidR="004F4982">
        <w:rPr>
          <w:noProof/>
        </w:rPr>
        <w:t>given by the trader</w:t>
      </w:r>
      <w:r w:rsidR="006A1A4C">
        <w:rPr>
          <w:noProof/>
        </w:rPr>
        <w:t>. Such claims should also be supported by</w:t>
      </w:r>
      <w:r w:rsidR="00640F36" w:rsidRPr="00CC1D5C">
        <w:rPr>
          <w:noProof/>
        </w:rPr>
        <w:t xml:space="preserve"> a</w:t>
      </w:r>
      <w:r w:rsidR="00EA307B">
        <w:rPr>
          <w:noProof/>
        </w:rPr>
        <w:t>n independent</w:t>
      </w:r>
      <w:r w:rsidR="00640F36" w:rsidRPr="00CC1D5C">
        <w:rPr>
          <w:noProof/>
        </w:rPr>
        <w:t xml:space="preserve"> monitoring system</w:t>
      </w:r>
      <w:r w:rsidR="006A1A4C">
        <w:rPr>
          <w:noProof/>
        </w:rPr>
        <w:t xml:space="preserve"> to monitor the </w:t>
      </w:r>
      <w:r w:rsidR="00CA1AAB" w:rsidRPr="004F4982">
        <w:rPr>
          <w:noProof/>
        </w:rPr>
        <w:t>progress</w:t>
      </w:r>
      <w:r w:rsidR="006A1A4C">
        <w:rPr>
          <w:noProof/>
        </w:rPr>
        <w:t xml:space="preserve"> of the trader with</w:t>
      </w:r>
      <w:r w:rsidR="00CA1AAB">
        <w:rPr>
          <w:noProof/>
        </w:rPr>
        <w:t xml:space="preserve"> </w:t>
      </w:r>
      <w:r w:rsidR="00405226">
        <w:rPr>
          <w:noProof/>
        </w:rPr>
        <w:t xml:space="preserve">regard to </w:t>
      </w:r>
      <w:r w:rsidR="00CA1AAB">
        <w:rPr>
          <w:noProof/>
        </w:rPr>
        <w:t>the</w:t>
      </w:r>
      <w:r w:rsidR="006A1A4C">
        <w:rPr>
          <w:noProof/>
        </w:rPr>
        <w:t xml:space="preserve"> </w:t>
      </w:r>
      <w:r w:rsidR="00CA1AAB">
        <w:rPr>
          <w:noProof/>
        </w:rPr>
        <w:t>commitments and targets</w:t>
      </w:r>
      <w:r w:rsidR="00640F36" w:rsidRPr="00CC1D5C">
        <w:rPr>
          <w:noProof/>
        </w:rPr>
        <w:t>.</w:t>
      </w:r>
    </w:p>
    <w:p w:rsidR="00A9431D" w:rsidRDefault="00C327B1" w:rsidP="00C327B1">
      <w:pPr>
        <w:pStyle w:val="ManualConsidrant"/>
        <w:rPr>
          <w:noProof/>
        </w:rPr>
      </w:pPr>
      <w:r w:rsidRPr="00C327B1">
        <w:t>(5)</w:t>
      </w:r>
      <w:r w:rsidRPr="00C327B1">
        <w:tab/>
      </w:r>
      <w:r w:rsidR="0060274C" w:rsidRPr="00CC1D5C">
        <w:rPr>
          <w:noProof/>
          <w:shd w:val="clear" w:color="auto" w:fill="FFFFFF"/>
        </w:rPr>
        <w:t xml:space="preserve">Another potentially </w:t>
      </w:r>
      <w:r w:rsidR="0060274C" w:rsidRPr="007C04EE">
        <w:rPr>
          <w:noProof/>
        </w:rPr>
        <w:t>misleading</w:t>
      </w:r>
      <w:r w:rsidR="0060274C" w:rsidRPr="00CC1D5C">
        <w:rPr>
          <w:noProof/>
          <w:shd w:val="clear" w:color="auto" w:fill="FFFFFF"/>
        </w:rPr>
        <w:t xml:space="preserve"> commercial practice which should be added to</w:t>
      </w:r>
      <w:r w:rsidR="00F30CAC">
        <w:rPr>
          <w:noProof/>
          <w:shd w:val="clear" w:color="auto" w:fill="FFFFFF"/>
        </w:rPr>
        <w:t xml:space="preserve"> the </w:t>
      </w:r>
      <w:r w:rsidR="001D5C53">
        <w:rPr>
          <w:noProof/>
          <w:shd w:val="clear" w:color="auto" w:fill="FFFFFF"/>
        </w:rPr>
        <w:t>specific practices targeted by</w:t>
      </w:r>
      <w:r w:rsidR="0060274C" w:rsidRPr="00CC1D5C">
        <w:rPr>
          <w:noProof/>
          <w:shd w:val="clear" w:color="auto" w:fill="FFFFFF"/>
        </w:rPr>
        <w:t xml:space="preserve"> </w:t>
      </w:r>
      <w:r w:rsidR="00504796" w:rsidRPr="00CC1D5C">
        <w:rPr>
          <w:noProof/>
          <w:shd w:val="clear" w:color="auto" w:fill="FFFFFF"/>
        </w:rPr>
        <w:t>Article 6(2) of Directive 2005/29/EC</w:t>
      </w:r>
      <w:r w:rsidR="00504796" w:rsidRPr="00CC1D5C">
        <w:rPr>
          <w:noProof/>
        </w:rPr>
        <w:t xml:space="preserve"> </w:t>
      </w:r>
      <w:r w:rsidR="0060274C" w:rsidRPr="00CC1D5C">
        <w:rPr>
          <w:noProof/>
          <w:shd w:val="clear" w:color="auto" w:fill="FFFFFF"/>
        </w:rPr>
        <w:t>is</w:t>
      </w:r>
      <w:r w:rsidR="007260D6" w:rsidRPr="00AA5DB8" w:rsidDel="0047779B">
        <w:rPr>
          <w:noProof/>
          <w:shd w:val="clear" w:color="auto" w:fill="FFFFFF"/>
        </w:rPr>
        <w:t xml:space="preserve"> </w:t>
      </w:r>
      <w:r w:rsidR="007260D6" w:rsidRPr="00CC1D5C">
        <w:rPr>
          <w:noProof/>
        </w:rPr>
        <w:t xml:space="preserve">advertising benefits for consumers that are </w:t>
      </w:r>
      <w:r w:rsidR="00DF2700">
        <w:rPr>
          <w:noProof/>
        </w:rPr>
        <w:t>actually</w:t>
      </w:r>
      <w:r w:rsidR="007260D6" w:rsidRPr="00CC1D5C">
        <w:rPr>
          <w:noProof/>
        </w:rPr>
        <w:t xml:space="preserve"> a common practice in the relevant market.</w:t>
      </w:r>
      <w:r w:rsidR="00865A98" w:rsidRPr="00CC1D5C">
        <w:rPr>
          <w:noProof/>
        </w:rPr>
        <w:t xml:space="preserve"> </w:t>
      </w:r>
      <w:r w:rsidR="00E33345" w:rsidRPr="00CC1D5C">
        <w:rPr>
          <w:noProof/>
        </w:rPr>
        <w:t xml:space="preserve">For example, if the absence of a chemical substance is a common practice in a specific product market, </w:t>
      </w:r>
      <w:r w:rsidR="006E143B">
        <w:rPr>
          <w:noProof/>
        </w:rPr>
        <w:t>its</w:t>
      </w:r>
      <w:r w:rsidR="00E33345" w:rsidRPr="00CC1D5C">
        <w:rPr>
          <w:noProof/>
        </w:rPr>
        <w:t xml:space="preserve"> </w:t>
      </w:r>
      <w:r w:rsidR="006E143B">
        <w:rPr>
          <w:noProof/>
        </w:rPr>
        <w:t>promotion</w:t>
      </w:r>
      <w:r w:rsidR="00E33345" w:rsidRPr="00CC1D5C">
        <w:rPr>
          <w:noProof/>
        </w:rPr>
        <w:t xml:space="preserve"> as a distinctive </w:t>
      </w:r>
      <w:r w:rsidR="00E33345" w:rsidRPr="00AA5DB8">
        <w:rPr>
          <w:noProof/>
        </w:rPr>
        <w:t>feature</w:t>
      </w:r>
      <w:r w:rsidR="0060274C" w:rsidRPr="00AA5DB8">
        <w:rPr>
          <w:noProof/>
        </w:rPr>
        <w:t xml:space="preserve"> of the product</w:t>
      </w:r>
      <w:r w:rsidR="006E143B" w:rsidRPr="00AA5DB8">
        <w:rPr>
          <w:noProof/>
        </w:rPr>
        <w:t xml:space="preserve"> could constitute </w:t>
      </w:r>
      <w:r w:rsidR="00B2048B" w:rsidRPr="00AA5DB8">
        <w:rPr>
          <w:noProof/>
        </w:rPr>
        <w:t xml:space="preserve">an </w:t>
      </w:r>
      <w:r w:rsidR="006E143B" w:rsidRPr="00AA5DB8">
        <w:rPr>
          <w:noProof/>
        </w:rPr>
        <w:t>unfair commercial practice</w:t>
      </w:r>
      <w:r w:rsidR="00E33345" w:rsidRPr="00AA5DB8">
        <w:rPr>
          <w:noProof/>
        </w:rPr>
        <w:t>.</w:t>
      </w:r>
    </w:p>
    <w:p w:rsidR="00A9431D" w:rsidRPr="00AA5DB8" w:rsidRDefault="00C327B1" w:rsidP="00C327B1">
      <w:pPr>
        <w:pStyle w:val="ManualConsidrant"/>
        <w:rPr>
          <w:noProof/>
        </w:rPr>
      </w:pPr>
      <w:r w:rsidRPr="00C327B1">
        <w:t>(6)</w:t>
      </w:r>
      <w:r w:rsidRPr="00C327B1">
        <w:tab/>
      </w:r>
      <w:r w:rsidR="00A9431D">
        <w:rPr>
          <w:noProof/>
        </w:rPr>
        <w:t xml:space="preserve">Comparing products based on their environmental or social aspects, including through the use of </w:t>
      </w:r>
      <w:r w:rsidR="00A9431D" w:rsidRPr="004F4982">
        <w:rPr>
          <w:noProof/>
          <w:color w:val="000000"/>
          <w:shd w:val="clear" w:color="auto" w:fill="FFFFFF"/>
        </w:rPr>
        <w:t>sustainability</w:t>
      </w:r>
      <w:r w:rsidR="00A9431D">
        <w:rPr>
          <w:noProof/>
        </w:rPr>
        <w:t xml:space="preserve"> information tools, is an increasingly common marketing technique. In order to ensure that </w:t>
      </w:r>
      <w:r w:rsidR="00EA307B">
        <w:rPr>
          <w:noProof/>
        </w:rPr>
        <w:t>such</w:t>
      </w:r>
      <w:r w:rsidR="00A9431D">
        <w:rPr>
          <w:noProof/>
        </w:rPr>
        <w:t xml:space="preserve"> comparisons do not mislead consumers, Article 7 of Directive 2005/29/EC should be amended to require that the consumer is provided with </w:t>
      </w:r>
      <w:r w:rsidR="00A9431D" w:rsidRPr="00B66279">
        <w:rPr>
          <w:noProof/>
        </w:rPr>
        <w:t xml:space="preserve">information about the method of the comparison, the products which are the object of comparison and the suppliers of those products, and the measures to keep information up to date. This should ensure that consumers make better informed transactional decisions when using such services. The comparison should be objective by, in particular, comparing </w:t>
      </w:r>
      <w:r w:rsidR="00A9431D">
        <w:rPr>
          <w:noProof/>
        </w:rPr>
        <w:t>products which serve the same function, using a common method and common assumptions, and comparing material and verifiable features of the products being compared.</w:t>
      </w:r>
    </w:p>
    <w:p w:rsidR="00F67439" w:rsidRPr="00AA5DB8" w:rsidRDefault="00C327B1" w:rsidP="00C327B1">
      <w:pPr>
        <w:pStyle w:val="ManualConsidrant"/>
        <w:rPr>
          <w:noProof/>
        </w:rPr>
      </w:pPr>
      <w:r w:rsidRPr="00C327B1">
        <w:t>(7)</w:t>
      </w:r>
      <w:r w:rsidRPr="00C327B1">
        <w:tab/>
      </w:r>
      <w:r w:rsidR="00DD77ED">
        <w:rPr>
          <w:noProof/>
        </w:rPr>
        <w:t>T</w:t>
      </w:r>
      <w:r w:rsidR="00F67439" w:rsidRPr="00AA5DB8">
        <w:rPr>
          <w:noProof/>
        </w:rPr>
        <w:t xml:space="preserve">he displaying of </w:t>
      </w:r>
      <w:r w:rsidR="00F67439" w:rsidRPr="004F4982">
        <w:rPr>
          <w:noProof/>
          <w:color w:val="000000"/>
          <w:shd w:val="clear" w:color="auto" w:fill="FFFFFF"/>
        </w:rPr>
        <w:t>sustainability</w:t>
      </w:r>
      <w:r w:rsidR="00F67439" w:rsidRPr="00AA5DB8">
        <w:rPr>
          <w:noProof/>
        </w:rPr>
        <w:t xml:space="preserve"> labels which are not based on a certification scheme or not established by public authorities</w:t>
      </w:r>
      <w:r w:rsidR="00DD38D0" w:rsidRPr="00AA5DB8">
        <w:rPr>
          <w:noProof/>
        </w:rPr>
        <w:t xml:space="preserve"> sh</w:t>
      </w:r>
      <w:r w:rsidR="00640F36" w:rsidRPr="00AA5DB8">
        <w:rPr>
          <w:noProof/>
        </w:rPr>
        <w:t>ould</w:t>
      </w:r>
      <w:r w:rsidR="00DD38D0" w:rsidRPr="00AA5DB8">
        <w:rPr>
          <w:noProof/>
        </w:rPr>
        <w:t xml:space="preserve"> be </w:t>
      </w:r>
      <w:r w:rsidR="00ED53E1" w:rsidRPr="00AA5DB8">
        <w:rPr>
          <w:noProof/>
        </w:rPr>
        <w:t xml:space="preserve">prohibited </w:t>
      </w:r>
      <w:r w:rsidR="00DD77ED">
        <w:rPr>
          <w:noProof/>
        </w:rPr>
        <w:t xml:space="preserve">by including such practices </w:t>
      </w:r>
      <w:r w:rsidR="001D2ACA">
        <w:rPr>
          <w:noProof/>
        </w:rPr>
        <w:t>in the list in</w:t>
      </w:r>
      <w:r w:rsidR="00DD77ED">
        <w:rPr>
          <w:noProof/>
        </w:rPr>
        <w:t xml:space="preserve"> </w:t>
      </w:r>
      <w:r w:rsidR="00DD77ED" w:rsidRPr="00DD77ED">
        <w:rPr>
          <w:noProof/>
        </w:rPr>
        <w:t>Annex I to Directive 2005/29/EC</w:t>
      </w:r>
      <w:r w:rsidR="00F67439" w:rsidRPr="00AA5DB8">
        <w:rPr>
          <w:noProof/>
        </w:rPr>
        <w:t xml:space="preserve">. </w:t>
      </w:r>
      <w:r w:rsidR="00783958" w:rsidRPr="00C21D58">
        <w:rPr>
          <w:noProof/>
        </w:rPr>
        <w:t>The certification scheme should fulfil minimum transparency and credibility conditions</w:t>
      </w:r>
      <w:r w:rsidR="00F67439" w:rsidRPr="00C21D58">
        <w:rPr>
          <w:noProof/>
        </w:rPr>
        <w:t>.</w:t>
      </w:r>
      <w:r w:rsidR="00F67439" w:rsidRPr="00AA5DB8">
        <w:rPr>
          <w:noProof/>
        </w:rPr>
        <w:t xml:space="preserve"> </w:t>
      </w:r>
      <w:r w:rsidR="00783958" w:rsidRPr="00AA5DB8">
        <w:rPr>
          <w:noProof/>
        </w:rPr>
        <w:t>The displaying</w:t>
      </w:r>
      <w:r w:rsidR="00F67439" w:rsidRPr="00AA5DB8" w:rsidDel="00944491">
        <w:rPr>
          <w:noProof/>
        </w:rPr>
        <w:t xml:space="preserve"> of sustainability </w:t>
      </w:r>
      <w:r w:rsidR="00783958" w:rsidRPr="00AA5DB8">
        <w:rPr>
          <w:noProof/>
        </w:rPr>
        <w:t>labels remains possible without</w:t>
      </w:r>
      <w:r w:rsidR="0060274C" w:rsidRPr="00AA5DB8">
        <w:rPr>
          <w:noProof/>
        </w:rPr>
        <w:t xml:space="preserve"> a certification</w:t>
      </w:r>
      <w:r w:rsidR="00D87E13" w:rsidRPr="00AA5DB8">
        <w:rPr>
          <w:noProof/>
        </w:rPr>
        <w:t xml:space="preserve"> scheme</w:t>
      </w:r>
      <w:r w:rsidR="0060274C" w:rsidRPr="00AA5DB8">
        <w:rPr>
          <w:noProof/>
        </w:rPr>
        <w:t xml:space="preserve"> </w:t>
      </w:r>
      <w:r w:rsidR="00783958" w:rsidRPr="00AA5DB8">
        <w:rPr>
          <w:noProof/>
        </w:rPr>
        <w:t xml:space="preserve">where such </w:t>
      </w:r>
      <w:r w:rsidR="0060274C" w:rsidRPr="00AA5DB8">
        <w:rPr>
          <w:noProof/>
        </w:rPr>
        <w:t>label</w:t>
      </w:r>
      <w:r w:rsidR="00783958" w:rsidRPr="00AA5DB8">
        <w:rPr>
          <w:noProof/>
        </w:rPr>
        <w:t>s</w:t>
      </w:r>
      <w:r w:rsidR="0060274C" w:rsidRPr="00AA5DB8">
        <w:rPr>
          <w:noProof/>
        </w:rPr>
        <w:t xml:space="preserve"> </w:t>
      </w:r>
      <w:r w:rsidR="00783958" w:rsidRPr="00AA5DB8">
        <w:rPr>
          <w:noProof/>
        </w:rPr>
        <w:t>are</w:t>
      </w:r>
      <w:r w:rsidR="00F67439" w:rsidRPr="00AA5DB8" w:rsidDel="00944491">
        <w:rPr>
          <w:noProof/>
        </w:rPr>
        <w:t xml:space="preserve"> established by </w:t>
      </w:r>
      <w:r w:rsidR="00886D6A" w:rsidRPr="00AA5DB8">
        <w:rPr>
          <w:noProof/>
        </w:rPr>
        <w:t>a public authority</w:t>
      </w:r>
      <w:r w:rsidR="00B24ED6">
        <w:rPr>
          <w:noProof/>
        </w:rPr>
        <w:t xml:space="preserve">, </w:t>
      </w:r>
      <w:r w:rsidR="00B24ED6" w:rsidRPr="00213A04">
        <w:rPr>
          <w:noProof/>
        </w:rPr>
        <w:t>or in case of additional forms of expression and presentation of food in accordance with Article 35 of Regulation (EU) No 1169/2011</w:t>
      </w:r>
      <w:r w:rsidR="00F67439" w:rsidRPr="00213A04">
        <w:rPr>
          <w:noProof/>
        </w:rPr>
        <w:t>.</w:t>
      </w:r>
      <w:r w:rsidR="0042358D" w:rsidRPr="00213A04">
        <w:rPr>
          <w:noProof/>
        </w:rPr>
        <w:t xml:space="preserve"> </w:t>
      </w:r>
      <w:r w:rsidR="00783958" w:rsidRPr="00213A04">
        <w:rPr>
          <w:noProof/>
        </w:rPr>
        <w:t xml:space="preserve">This </w:t>
      </w:r>
      <w:r w:rsidR="00FD7BC1" w:rsidRPr="00213A04">
        <w:rPr>
          <w:noProof/>
        </w:rPr>
        <w:t xml:space="preserve">rule </w:t>
      </w:r>
      <w:r w:rsidR="00783958" w:rsidRPr="00213A04">
        <w:rPr>
          <w:noProof/>
        </w:rPr>
        <w:t xml:space="preserve">complements </w:t>
      </w:r>
      <w:r w:rsidR="00033A2B" w:rsidRPr="00213A04">
        <w:rPr>
          <w:noProof/>
        </w:rPr>
        <w:t>point</w:t>
      </w:r>
      <w:r w:rsidR="004F4982" w:rsidRPr="00213A04">
        <w:rPr>
          <w:noProof/>
        </w:rPr>
        <w:t xml:space="preserve"> 4 of </w:t>
      </w:r>
      <w:r w:rsidR="00F67439" w:rsidRPr="00213A04">
        <w:rPr>
          <w:noProof/>
        </w:rPr>
        <w:t xml:space="preserve">Annex I to Directive 2005/29/EC </w:t>
      </w:r>
      <w:r w:rsidR="00DD77ED" w:rsidRPr="00213A04">
        <w:rPr>
          <w:noProof/>
        </w:rPr>
        <w:t xml:space="preserve">which </w:t>
      </w:r>
      <w:r w:rsidR="00ED53E1" w:rsidRPr="00213A04">
        <w:rPr>
          <w:noProof/>
        </w:rPr>
        <w:t>prohibits</w:t>
      </w:r>
      <w:r w:rsidR="00ED53E1" w:rsidRPr="00AA5DB8">
        <w:rPr>
          <w:noProof/>
        </w:rPr>
        <w:t xml:space="preserve"> </w:t>
      </w:r>
      <w:r w:rsidR="00F67439" w:rsidRPr="00AA5DB8">
        <w:rPr>
          <w:noProof/>
        </w:rPr>
        <w:t>claiming that a trader, the commercial practices of a trader, or a product has been approved, endorsed or authorised by a public or private body when it has not, or making such a claim without complying with the terms of the approval, endorsement or authorisation.</w:t>
      </w:r>
    </w:p>
    <w:p w:rsidR="00037AFB" w:rsidRPr="00813A4A" w:rsidRDefault="00C327B1" w:rsidP="00C327B1">
      <w:pPr>
        <w:pStyle w:val="ManualConsidrant"/>
        <w:rPr>
          <w:noProof/>
          <w:shd w:val="clear" w:color="auto" w:fill="FFFFFF"/>
        </w:rPr>
      </w:pPr>
      <w:r w:rsidRPr="00C327B1">
        <w:t>(8)</w:t>
      </w:r>
      <w:r w:rsidRPr="00C327B1">
        <w:tab/>
      </w:r>
      <w:r w:rsidR="00464F97" w:rsidRPr="00CC1D5C">
        <w:rPr>
          <w:noProof/>
        </w:rPr>
        <w:t xml:space="preserve">In cases where the displaying of a sustainability label involves a commercial communication </w:t>
      </w:r>
      <w:r w:rsidR="00464F97" w:rsidRPr="004F4982">
        <w:rPr>
          <w:noProof/>
          <w:color w:val="000000"/>
          <w:shd w:val="clear" w:color="auto" w:fill="FFFFFF"/>
        </w:rPr>
        <w:t>that</w:t>
      </w:r>
      <w:r w:rsidR="00464F97" w:rsidRPr="00CC1D5C">
        <w:rPr>
          <w:noProof/>
        </w:rPr>
        <w:t xml:space="preserve"> suggests or creates the impression that a product has a positive or no impact on the environment, or is less damaging to the environment than competing products, that sustainability label also </w:t>
      </w:r>
      <w:r w:rsidR="00C16C1F">
        <w:rPr>
          <w:noProof/>
        </w:rPr>
        <w:t>should be considered as</w:t>
      </w:r>
      <w:r w:rsidR="00464F97" w:rsidRPr="00CC1D5C">
        <w:rPr>
          <w:noProof/>
        </w:rPr>
        <w:t xml:space="preserve"> constitut</w:t>
      </w:r>
      <w:r w:rsidR="00C16C1F">
        <w:rPr>
          <w:noProof/>
        </w:rPr>
        <w:t>ing</w:t>
      </w:r>
      <w:r w:rsidR="00464F97" w:rsidRPr="00CC1D5C">
        <w:rPr>
          <w:noProof/>
        </w:rPr>
        <w:t xml:space="preserve"> an environmental claim.</w:t>
      </w:r>
    </w:p>
    <w:p w:rsidR="007F6992" w:rsidRPr="007F6992" w:rsidRDefault="00C327B1" w:rsidP="00C327B1">
      <w:pPr>
        <w:pStyle w:val="ManualConsidrant"/>
        <w:rPr>
          <w:rFonts w:cstheme="minorBidi"/>
          <w:noProof/>
        </w:rPr>
      </w:pPr>
      <w:r w:rsidRPr="00C327B1">
        <w:t>(9)</w:t>
      </w:r>
      <w:r w:rsidRPr="00C327B1">
        <w:tab/>
      </w:r>
      <w:r w:rsidR="00037557" w:rsidRPr="00AA5DB8">
        <w:rPr>
          <w:noProof/>
        </w:rPr>
        <w:t xml:space="preserve">Annex I to </w:t>
      </w:r>
      <w:r w:rsidR="00037557" w:rsidRPr="002054F1">
        <w:rPr>
          <w:noProof/>
        </w:rPr>
        <w:t>Directive 2005/</w:t>
      </w:r>
      <w:r w:rsidR="00AC5738" w:rsidRPr="002054F1">
        <w:rPr>
          <w:noProof/>
        </w:rPr>
        <w:t>2</w:t>
      </w:r>
      <w:r w:rsidR="00037557" w:rsidRPr="002054F1">
        <w:rPr>
          <w:noProof/>
        </w:rPr>
        <w:t>9/EC</w:t>
      </w:r>
      <w:r w:rsidR="00037557" w:rsidRPr="00AA5DB8">
        <w:rPr>
          <w:noProof/>
        </w:rPr>
        <w:t xml:space="preserve"> should </w:t>
      </w:r>
      <w:r w:rsidR="009D6F01">
        <w:rPr>
          <w:noProof/>
        </w:rPr>
        <w:t>also</w:t>
      </w:r>
      <w:r w:rsidR="00037557" w:rsidRPr="00AA5DB8">
        <w:rPr>
          <w:noProof/>
        </w:rPr>
        <w:t xml:space="preserve"> be amended to prohibit </w:t>
      </w:r>
      <w:r w:rsidR="00431818">
        <w:rPr>
          <w:noProof/>
        </w:rPr>
        <w:t>making</w:t>
      </w:r>
      <w:r w:rsidR="0004333A">
        <w:rPr>
          <w:noProof/>
        </w:rPr>
        <w:t xml:space="preserve"> </w:t>
      </w:r>
      <w:r w:rsidR="00037557" w:rsidRPr="00AA5DB8">
        <w:rPr>
          <w:noProof/>
        </w:rPr>
        <w:t xml:space="preserve">generic </w:t>
      </w:r>
      <w:r w:rsidR="00E613FA" w:rsidRPr="00AA5DB8">
        <w:rPr>
          <w:noProof/>
        </w:rPr>
        <w:t>environm</w:t>
      </w:r>
      <w:r w:rsidR="00E613FA">
        <w:rPr>
          <w:noProof/>
        </w:rPr>
        <w:t>e</w:t>
      </w:r>
      <w:r w:rsidR="00E613FA" w:rsidRPr="00AA5DB8">
        <w:rPr>
          <w:noProof/>
        </w:rPr>
        <w:t>ntal</w:t>
      </w:r>
      <w:r w:rsidR="00037557" w:rsidRPr="00AA5DB8">
        <w:rPr>
          <w:noProof/>
        </w:rPr>
        <w:t xml:space="preserve"> claims without recognised </w:t>
      </w:r>
      <w:r w:rsidR="005B5998" w:rsidRPr="00AA5DB8">
        <w:rPr>
          <w:noProof/>
        </w:rPr>
        <w:t>excellent</w:t>
      </w:r>
      <w:r w:rsidR="00ED53E1" w:rsidRPr="00AA5DB8">
        <w:rPr>
          <w:noProof/>
        </w:rPr>
        <w:t xml:space="preserve"> </w:t>
      </w:r>
      <w:r w:rsidR="00AA5DB8" w:rsidRPr="00AA5DB8">
        <w:rPr>
          <w:noProof/>
        </w:rPr>
        <w:t>environmental performance</w:t>
      </w:r>
      <w:r w:rsidR="00F83D34">
        <w:rPr>
          <w:noProof/>
        </w:rPr>
        <w:t xml:space="preserve"> which is relevant to the claim</w:t>
      </w:r>
      <w:r w:rsidR="00AA5DB8" w:rsidRPr="00AA5DB8">
        <w:rPr>
          <w:noProof/>
        </w:rPr>
        <w:t>.</w:t>
      </w:r>
      <w:r w:rsidR="00ED53E1" w:rsidRPr="00AA5DB8">
        <w:rPr>
          <w:noProof/>
        </w:rPr>
        <w:t xml:space="preserve"> </w:t>
      </w:r>
      <w:r w:rsidR="00037557" w:rsidRPr="00AA5DB8">
        <w:rPr>
          <w:noProof/>
        </w:rPr>
        <w:t xml:space="preserve">Examples of such </w:t>
      </w:r>
      <w:r w:rsidR="00865A98" w:rsidRPr="00AA5DB8">
        <w:rPr>
          <w:noProof/>
        </w:rPr>
        <w:t>generic</w:t>
      </w:r>
      <w:r w:rsidR="00037557" w:rsidRPr="00AA5DB8">
        <w:rPr>
          <w:noProof/>
        </w:rPr>
        <w:t xml:space="preserve"> environmental claims are ‘environmentally friendly’, ‘eco-friendly’, ‘eco’, ‘green’, ‘nature’s friend’, ‘ecological’, ‘environmentally correct’, ‘climate friendly’, ‘gentle on the environment’, ‘carbon frie</w:t>
      </w:r>
      <w:r w:rsidR="00037557" w:rsidRPr="00AE381D">
        <w:rPr>
          <w:noProof/>
        </w:rPr>
        <w:t xml:space="preserve">ndly’, ‘carbon neutral’, ‘carbon positive’, ‘climate neutral’, </w:t>
      </w:r>
      <w:r w:rsidR="006752E4">
        <w:rPr>
          <w:noProof/>
        </w:rPr>
        <w:t xml:space="preserve">‘energy efficient’, </w:t>
      </w:r>
      <w:r w:rsidR="00037557" w:rsidRPr="00AE381D">
        <w:rPr>
          <w:noProof/>
        </w:rPr>
        <w:t>‘biodegradable’</w:t>
      </w:r>
      <w:r w:rsidR="00564F4F">
        <w:rPr>
          <w:noProof/>
        </w:rPr>
        <w:t xml:space="preserve">, </w:t>
      </w:r>
      <w:r w:rsidR="00FA5D0C">
        <w:rPr>
          <w:noProof/>
        </w:rPr>
        <w:t>‘bio</w:t>
      </w:r>
      <w:r w:rsidR="00564F4F">
        <w:rPr>
          <w:noProof/>
        </w:rPr>
        <w:t>based’</w:t>
      </w:r>
      <w:r w:rsidR="00037557" w:rsidRPr="00AE381D">
        <w:rPr>
          <w:noProof/>
        </w:rPr>
        <w:t xml:space="preserve"> or</w:t>
      </w:r>
      <w:r w:rsidR="00037557" w:rsidRPr="00AA5DB8">
        <w:rPr>
          <w:noProof/>
        </w:rPr>
        <w:t xml:space="preserve"> similar statements, as well as broader statements such as ‘conscious’ or ‘responsible’ that suggest or create the impression of excellent</w:t>
      </w:r>
      <w:r w:rsidR="00B30218" w:rsidRPr="00AA5DB8">
        <w:rPr>
          <w:noProof/>
        </w:rPr>
        <w:t xml:space="preserve"> </w:t>
      </w:r>
      <w:r w:rsidR="00037557" w:rsidRPr="00AA5DB8">
        <w:rPr>
          <w:noProof/>
        </w:rPr>
        <w:t xml:space="preserve">environmental </w:t>
      </w:r>
      <w:r w:rsidR="00B30218" w:rsidRPr="00AA5DB8">
        <w:rPr>
          <w:noProof/>
        </w:rPr>
        <w:t>per</w:t>
      </w:r>
      <w:r w:rsidR="00037557" w:rsidRPr="00AA5DB8">
        <w:rPr>
          <w:noProof/>
        </w:rPr>
        <w:t>formance</w:t>
      </w:r>
      <w:r w:rsidR="003A14CF">
        <w:rPr>
          <w:noProof/>
        </w:rPr>
        <w:t>. Such generic environmental claims should be prohibited</w:t>
      </w:r>
      <w:r w:rsidR="007662F6" w:rsidRPr="00AA5DB8">
        <w:rPr>
          <w:noProof/>
        </w:rPr>
        <w:t xml:space="preserve"> whenever</w:t>
      </w:r>
      <w:r w:rsidR="00F07CA0">
        <w:rPr>
          <w:noProof/>
        </w:rPr>
        <w:t xml:space="preserve"> there is no excellent environmental performance demonstrated or whenever</w:t>
      </w:r>
      <w:r w:rsidR="007662F6" w:rsidRPr="00AA5DB8">
        <w:rPr>
          <w:noProof/>
        </w:rPr>
        <w:t xml:space="preserve"> </w:t>
      </w:r>
      <w:r w:rsidR="007662F6" w:rsidRPr="00AA5DB8">
        <w:rPr>
          <w:noProof/>
          <w:szCs w:val="24"/>
        </w:rPr>
        <w:t xml:space="preserve">the </w:t>
      </w:r>
      <w:r w:rsidR="00F9663C">
        <w:rPr>
          <w:noProof/>
          <w:szCs w:val="24"/>
        </w:rPr>
        <w:t xml:space="preserve">specification of the </w:t>
      </w:r>
      <w:r w:rsidR="007662F6" w:rsidRPr="00AA5DB8">
        <w:rPr>
          <w:noProof/>
          <w:szCs w:val="24"/>
        </w:rPr>
        <w:t xml:space="preserve">claim is not provided in clear and prominent terms on the same medium, </w:t>
      </w:r>
      <w:r w:rsidR="007662F6" w:rsidRPr="00AA5DB8">
        <w:rPr>
          <w:noProof/>
        </w:rPr>
        <w:t>such as the same advertising spot, product’s packaging or online selling interface</w:t>
      </w:r>
      <w:r w:rsidR="00037557" w:rsidRPr="00AA5DB8">
        <w:rPr>
          <w:noProof/>
        </w:rPr>
        <w:t xml:space="preserve">. </w:t>
      </w:r>
      <w:r w:rsidR="007F6992">
        <w:rPr>
          <w:noProof/>
        </w:rPr>
        <w:t>For example, the claim ‘biodegradable’</w:t>
      </w:r>
      <w:r w:rsidR="003A6444">
        <w:rPr>
          <w:noProof/>
        </w:rPr>
        <w:t>,</w:t>
      </w:r>
      <w:r w:rsidR="007F6992">
        <w:rPr>
          <w:noProof/>
        </w:rPr>
        <w:t xml:space="preserve"> </w:t>
      </w:r>
      <w:r w:rsidR="003A6444">
        <w:rPr>
          <w:noProof/>
        </w:rPr>
        <w:t>referr</w:t>
      </w:r>
      <w:r w:rsidR="00F07CA0">
        <w:rPr>
          <w:noProof/>
        </w:rPr>
        <w:t>ing</w:t>
      </w:r>
      <w:r w:rsidR="003A6444">
        <w:rPr>
          <w:noProof/>
        </w:rPr>
        <w:t xml:space="preserve"> to a product, </w:t>
      </w:r>
      <w:r w:rsidR="007F6992">
        <w:rPr>
          <w:noProof/>
        </w:rPr>
        <w:t xml:space="preserve">would be a generic claim, </w:t>
      </w:r>
      <w:r w:rsidR="007F6992" w:rsidRPr="007F6992">
        <w:rPr>
          <w:noProof/>
        </w:rPr>
        <w:t xml:space="preserve">whilst </w:t>
      </w:r>
      <w:r w:rsidR="007F6992">
        <w:rPr>
          <w:noProof/>
        </w:rPr>
        <w:t>claiming that ‘</w:t>
      </w:r>
      <w:r w:rsidR="00431818" w:rsidRPr="004F4982">
        <w:rPr>
          <w:noProof/>
        </w:rPr>
        <w:t>t</w:t>
      </w:r>
      <w:r w:rsidR="007F6992" w:rsidRPr="007F6992">
        <w:rPr>
          <w:noProof/>
        </w:rPr>
        <w:t>he packaging is biodegradable throu</w:t>
      </w:r>
      <w:r w:rsidR="007F6992">
        <w:rPr>
          <w:noProof/>
        </w:rPr>
        <w:t>gh home composting in one month’</w:t>
      </w:r>
      <w:r w:rsidR="007F6992" w:rsidRPr="007F6992">
        <w:rPr>
          <w:noProof/>
        </w:rPr>
        <w:t xml:space="preserve"> would be a specific claim,</w:t>
      </w:r>
      <w:r w:rsidR="007F6992">
        <w:rPr>
          <w:noProof/>
        </w:rPr>
        <w:t xml:space="preserve"> which does not fall under this</w:t>
      </w:r>
      <w:r w:rsidR="007F6992" w:rsidRPr="007F6992">
        <w:rPr>
          <w:noProof/>
        </w:rPr>
        <w:t xml:space="preserve"> </w:t>
      </w:r>
      <w:r w:rsidR="007F6992">
        <w:rPr>
          <w:noProof/>
        </w:rPr>
        <w:t>prohibition</w:t>
      </w:r>
      <w:r w:rsidR="007F6992">
        <w:rPr>
          <w:noProof/>
          <w:szCs w:val="24"/>
        </w:rPr>
        <w:t>.</w:t>
      </w:r>
    </w:p>
    <w:p w:rsidR="00BB6FA9" w:rsidRPr="00D50A67" w:rsidRDefault="00C327B1" w:rsidP="00C327B1">
      <w:pPr>
        <w:pStyle w:val="ManualConsidrant"/>
        <w:rPr>
          <w:rFonts w:cstheme="minorBidi"/>
          <w:noProof/>
        </w:rPr>
      </w:pPr>
      <w:r w:rsidRPr="00C327B1">
        <w:t>(10)</w:t>
      </w:r>
      <w:r w:rsidRPr="00C327B1">
        <w:tab/>
      </w:r>
      <w:r w:rsidR="00D90CD8" w:rsidRPr="00AA5DB8">
        <w:rPr>
          <w:noProof/>
        </w:rPr>
        <w:t>E</w:t>
      </w:r>
      <w:r w:rsidR="005B5998" w:rsidRPr="00AA5DB8">
        <w:rPr>
          <w:noProof/>
        </w:rPr>
        <w:t xml:space="preserve">xcellent environmental performance can be demonstrated </w:t>
      </w:r>
      <w:r w:rsidR="00E048D3">
        <w:rPr>
          <w:noProof/>
        </w:rPr>
        <w:t>by compliance</w:t>
      </w:r>
      <w:r w:rsidR="00622493" w:rsidRPr="00AA5DB8">
        <w:rPr>
          <w:noProof/>
        </w:rPr>
        <w:t xml:space="preserve"> with</w:t>
      </w:r>
      <w:r w:rsidR="005B5998" w:rsidRPr="00AA5DB8">
        <w:rPr>
          <w:noProof/>
        </w:rPr>
        <w:t xml:space="preserve"> </w:t>
      </w:r>
      <w:r w:rsidR="005B5998" w:rsidRPr="00AA5DB8">
        <w:rPr>
          <w:rFonts w:eastAsia="Arial Unicode MS"/>
          <w:noProof/>
        </w:rPr>
        <w:t xml:space="preserve">Regulation (EC) </w:t>
      </w:r>
      <w:r w:rsidR="003A14CF" w:rsidRPr="003A14CF">
        <w:rPr>
          <w:noProof/>
        </w:rPr>
        <w:t>No 66/2010 of the European Parliament and of the Council</w:t>
      </w:r>
      <w:r w:rsidR="003A14CF">
        <w:rPr>
          <w:rStyle w:val="FootnoteReference0"/>
          <w:rFonts w:eastAsia="Arial Unicode MS"/>
          <w:noProof/>
        </w:rPr>
        <w:footnoteReference w:id="23"/>
      </w:r>
      <w:r w:rsidR="005B5998" w:rsidRPr="00AA5DB8">
        <w:rPr>
          <w:rFonts w:eastAsia="Arial Unicode MS"/>
          <w:noProof/>
        </w:rPr>
        <w:t xml:space="preserve">, </w:t>
      </w:r>
      <w:r w:rsidR="003A6444">
        <w:rPr>
          <w:rFonts w:eastAsia="Arial Unicode MS"/>
          <w:noProof/>
        </w:rPr>
        <w:t xml:space="preserve">or </w:t>
      </w:r>
      <w:r w:rsidR="005B5998" w:rsidRPr="00AA5DB8">
        <w:rPr>
          <w:rFonts w:eastAsia="Arial Unicode MS"/>
          <w:noProof/>
        </w:rPr>
        <w:t>officially recognised ecolabelling schemes in the Member States</w:t>
      </w:r>
      <w:r w:rsidR="00DB5BFB">
        <w:rPr>
          <w:rFonts w:eastAsia="Arial Unicode MS"/>
          <w:noProof/>
        </w:rPr>
        <w:t>,</w:t>
      </w:r>
      <w:r w:rsidR="005B5998" w:rsidRPr="00AA5DB8">
        <w:rPr>
          <w:rFonts w:eastAsia="Arial Unicode MS"/>
          <w:noProof/>
        </w:rPr>
        <w:t xml:space="preserve"> or </w:t>
      </w:r>
      <w:r w:rsidR="00E048D3">
        <w:rPr>
          <w:noProof/>
        </w:rPr>
        <w:t xml:space="preserve">compliance </w:t>
      </w:r>
      <w:r w:rsidR="00E048D3" w:rsidRPr="00CC1D5C">
        <w:rPr>
          <w:noProof/>
        </w:rPr>
        <w:t>with</w:t>
      </w:r>
      <w:r w:rsidR="00E048D3">
        <w:rPr>
          <w:noProof/>
        </w:rPr>
        <w:t xml:space="preserve"> top environmental performance </w:t>
      </w:r>
      <w:r w:rsidR="008F015F" w:rsidRPr="00DB5BFB">
        <w:rPr>
          <w:noProof/>
        </w:rPr>
        <w:t>for a specific environmental aspect</w:t>
      </w:r>
      <w:r w:rsidR="008F015F">
        <w:rPr>
          <w:noProof/>
        </w:rPr>
        <w:t xml:space="preserve"> </w:t>
      </w:r>
      <w:r w:rsidR="00E048D3">
        <w:rPr>
          <w:noProof/>
        </w:rPr>
        <w:t xml:space="preserve">in accordance with </w:t>
      </w:r>
      <w:r w:rsidR="005B5998" w:rsidRPr="00AA5DB8">
        <w:rPr>
          <w:rFonts w:eastAsia="Arial Unicode MS"/>
          <w:noProof/>
        </w:rPr>
        <w:t>other applicable Union laws</w:t>
      </w:r>
      <w:r w:rsidR="00B01716">
        <w:rPr>
          <w:rFonts w:eastAsia="Arial Unicode MS"/>
          <w:noProof/>
        </w:rPr>
        <w:t>,</w:t>
      </w:r>
      <w:r w:rsidR="00760511">
        <w:rPr>
          <w:rFonts w:eastAsia="Arial Unicode MS"/>
          <w:noProof/>
        </w:rPr>
        <w:t xml:space="preserve"> such as </w:t>
      </w:r>
      <w:r w:rsidR="00ED4E96">
        <w:rPr>
          <w:rFonts w:eastAsia="Arial Unicode MS"/>
          <w:noProof/>
        </w:rPr>
        <w:t xml:space="preserve">a </w:t>
      </w:r>
      <w:r w:rsidR="00BB6FA9">
        <w:rPr>
          <w:rFonts w:eastAsia="Arial Unicode MS"/>
          <w:noProof/>
        </w:rPr>
        <w:t xml:space="preserve">class A in accordance with Regulation (EU) </w:t>
      </w:r>
      <w:r w:rsidR="00BB6FA9">
        <w:rPr>
          <w:noProof/>
        </w:rPr>
        <w:t>2017/1369 of the European Parliament and of the Council</w:t>
      </w:r>
      <w:r w:rsidR="00ED4E96">
        <w:rPr>
          <w:rStyle w:val="FootnoteReference0"/>
          <w:rFonts w:eastAsia="Arial Unicode MS"/>
          <w:noProof/>
        </w:rPr>
        <w:footnoteReference w:id="24"/>
      </w:r>
      <w:r w:rsidR="00E048D3">
        <w:rPr>
          <w:rFonts w:eastAsia="Arial Unicode MS"/>
          <w:noProof/>
        </w:rPr>
        <w:t>.</w:t>
      </w:r>
      <w:r w:rsidR="00B822C8">
        <w:rPr>
          <w:rFonts w:eastAsia="Arial Unicode MS"/>
          <w:noProof/>
        </w:rPr>
        <w:t xml:space="preserve"> </w:t>
      </w:r>
      <w:r w:rsidR="00F83D34">
        <w:rPr>
          <w:rFonts w:eastAsia="Arial Unicode MS"/>
          <w:noProof/>
        </w:rPr>
        <w:t xml:space="preserve">The excellent environmental performance in question </w:t>
      </w:r>
      <w:r w:rsidR="0004333A" w:rsidRPr="00254040">
        <w:rPr>
          <w:rFonts w:eastAsia="Arial Unicode MS"/>
          <w:noProof/>
        </w:rPr>
        <w:t>should</w:t>
      </w:r>
      <w:r w:rsidR="00F83D34">
        <w:rPr>
          <w:rFonts w:eastAsia="Arial Unicode MS"/>
          <w:noProof/>
        </w:rPr>
        <w:t xml:space="preserve"> be relevant to the claim. For example, </w:t>
      </w:r>
      <w:r w:rsidR="006658AD">
        <w:rPr>
          <w:rFonts w:eastAsia="Arial Unicode MS"/>
          <w:noProof/>
        </w:rPr>
        <w:t>a generic claim ‘energy efficient’ could be</w:t>
      </w:r>
      <w:r w:rsidR="008F015F">
        <w:rPr>
          <w:rFonts w:eastAsia="Arial Unicode MS"/>
          <w:noProof/>
        </w:rPr>
        <w:t xml:space="preserve"> </w:t>
      </w:r>
      <w:r w:rsidR="008F015F" w:rsidRPr="00DB5BFB">
        <w:rPr>
          <w:rFonts w:eastAsia="Arial Unicode MS"/>
          <w:noProof/>
        </w:rPr>
        <w:t>made</w:t>
      </w:r>
      <w:r w:rsidR="006658AD">
        <w:rPr>
          <w:rFonts w:eastAsia="Arial Unicode MS"/>
          <w:noProof/>
        </w:rPr>
        <w:t xml:space="preserve"> based on excellent environmental performance in accordance with Regulation (EU) </w:t>
      </w:r>
      <w:r w:rsidR="006658AD">
        <w:rPr>
          <w:noProof/>
        </w:rPr>
        <w:t xml:space="preserve">2017/1369. </w:t>
      </w:r>
      <w:r w:rsidR="00760511">
        <w:rPr>
          <w:noProof/>
        </w:rPr>
        <w:t>By contrast</w:t>
      </w:r>
      <w:r w:rsidR="006658AD">
        <w:rPr>
          <w:noProof/>
        </w:rPr>
        <w:t xml:space="preserve">, </w:t>
      </w:r>
      <w:r w:rsidR="00F83D34">
        <w:rPr>
          <w:rFonts w:eastAsia="Arial Unicode MS"/>
          <w:noProof/>
        </w:rPr>
        <w:t>a generic claim ‘biodegradable’ could not be made based on</w:t>
      </w:r>
      <w:r w:rsidR="001759FC">
        <w:rPr>
          <w:rFonts w:eastAsia="Arial Unicode MS"/>
          <w:noProof/>
        </w:rPr>
        <w:t xml:space="preserve"> excellent environmental performance in accordance with</w:t>
      </w:r>
      <w:r w:rsidR="00F83D34">
        <w:rPr>
          <w:rFonts w:eastAsia="Arial Unicode MS"/>
          <w:noProof/>
        </w:rPr>
        <w:t xml:space="preserve"> </w:t>
      </w:r>
      <w:r w:rsidR="00F83D34" w:rsidRPr="00AA5DB8">
        <w:rPr>
          <w:rFonts w:eastAsia="Arial Unicode MS"/>
          <w:noProof/>
        </w:rPr>
        <w:t xml:space="preserve">Regulation (EC) </w:t>
      </w:r>
      <w:r w:rsidR="00305936" w:rsidRPr="00254040">
        <w:rPr>
          <w:rFonts w:eastAsia="Arial Unicode MS"/>
          <w:noProof/>
        </w:rPr>
        <w:t xml:space="preserve">No </w:t>
      </w:r>
      <w:r w:rsidR="00F83D34" w:rsidRPr="00AA5DB8">
        <w:rPr>
          <w:rFonts w:eastAsia="Arial Unicode MS"/>
          <w:noProof/>
        </w:rPr>
        <w:t>66/2010</w:t>
      </w:r>
      <w:r w:rsidR="00F83D34">
        <w:rPr>
          <w:rFonts w:eastAsia="Arial Unicode MS"/>
          <w:noProof/>
        </w:rPr>
        <w:t xml:space="preserve">, </w:t>
      </w:r>
      <w:r w:rsidR="00DF2FBF">
        <w:rPr>
          <w:rFonts w:eastAsia="Arial Unicode MS"/>
          <w:noProof/>
        </w:rPr>
        <w:t xml:space="preserve"> insofar as</w:t>
      </w:r>
      <w:r w:rsidR="006658AD">
        <w:rPr>
          <w:rFonts w:eastAsia="Arial Unicode MS"/>
          <w:noProof/>
        </w:rPr>
        <w:t xml:space="preserve"> there are no requirements for biodegradability </w:t>
      </w:r>
      <w:r w:rsidR="0053633C" w:rsidRPr="0053633C">
        <w:rPr>
          <w:rFonts w:eastAsia="Arial Unicode MS"/>
          <w:noProof/>
        </w:rPr>
        <w:t xml:space="preserve">in the specific EU Ecolabel criteria related to the product in question. </w:t>
      </w:r>
      <w:r w:rsidR="00D50A67">
        <w:rPr>
          <w:rFonts w:eastAsia="Arial Unicode MS"/>
          <w:noProof/>
        </w:rPr>
        <w:t xml:space="preserve"> </w:t>
      </w:r>
    </w:p>
    <w:p w:rsidR="008F74CD" w:rsidRPr="00813A4A" w:rsidRDefault="00C327B1" w:rsidP="00C327B1">
      <w:pPr>
        <w:pStyle w:val="ManualConsidrant"/>
        <w:rPr>
          <w:noProof/>
        </w:rPr>
      </w:pPr>
      <w:r w:rsidRPr="00C327B1">
        <w:t>(11)</w:t>
      </w:r>
      <w:r w:rsidRPr="00C327B1">
        <w:tab/>
      </w:r>
      <w:r w:rsidR="006F68E8" w:rsidRPr="00564F4F">
        <w:rPr>
          <w:noProof/>
        </w:rPr>
        <w:t>Another misleading commercial practice which should be prohibited</w:t>
      </w:r>
      <w:r w:rsidR="003A6444">
        <w:rPr>
          <w:noProof/>
        </w:rPr>
        <w:t xml:space="preserve"> in all circumstances</w:t>
      </w:r>
      <w:r w:rsidR="006F68E8" w:rsidRPr="00564F4F">
        <w:rPr>
          <w:noProof/>
        </w:rPr>
        <w:t xml:space="preserve"> </w:t>
      </w:r>
      <w:r w:rsidR="00305936">
        <w:rPr>
          <w:noProof/>
        </w:rPr>
        <w:t xml:space="preserve">and thus added to </w:t>
      </w:r>
      <w:r w:rsidR="00E613FA">
        <w:rPr>
          <w:noProof/>
        </w:rPr>
        <w:t>the list</w:t>
      </w:r>
      <w:r w:rsidR="006F68E8" w:rsidRPr="00564F4F">
        <w:rPr>
          <w:noProof/>
        </w:rPr>
        <w:t xml:space="preserve"> in Annex I to </w:t>
      </w:r>
      <w:r w:rsidR="006F68E8" w:rsidRPr="002054F1">
        <w:rPr>
          <w:noProof/>
        </w:rPr>
        <w:t>Directive 2005/</w:t>
      </w:r>
      <w:r w:rsidR="00AC5738" w:rsidRPr="002054F1">
        <w:rPr>
          <w:noProof/>
        </w:rPr>
        <w:t>2</w:t>
      </w:r>
      <w:r w:rsidR="006F68E8" w:rsidRPr="002054F1">
        <w:rPr>
          <w:noProof/>
        </w:rPr>
        <w:t>9/EC is</w:t>
      </w:r>
      <w:r w:rsidR="006F68E8" w:rsidRPr="00564F4F">
        <w:rPr>
          <w:noProof/>
        </w:rPr>
        <w:t xml:space="preserve"> </w:t>
      </w:r>
      <w:r w:rsidR="006F68E8" w:rsidRPr="00564F4F">
        <w:rPr>
          <w:noProof/>
          <w:lang w:val="en-IE"/>
        </w:rPr>
        <w:t>m</w:t>
      </w:r>
      <w:r w:rsidR="00677F53" w:rsidRPr="00564F4F">
        <w:rPr>
          <w:noProof/>
          <w:lang w:val="en-IE"/>
        </w:rPr>
        <w:t xml:space="preserve">aking an environmental claim </w:t>
      </w:r>
      <w:r w:rsidR="00704F88" w:rsidRPr="00564F4F">
        <w:rPr>
          <w:noProof/>
          <w:lang w:val="en-IE"/>
        </w:rPr>
        <w:t>about the entire product when it actually concerns only a certain aspect of the product</w:t>
      </w:r>
      <w:r w:rsidR="00704F88" w:rsidRPr="00564F4F">
        <w:rPr>
          <w:noProof/>
        </w:rPr>
        <w:t>.</w:t>
      </w:r>
      <w:r w:rsidR="008E2D8E" w:rsidRPr="00564F4F">
        <w:rPr>
          <w:noProof/>
        </w:rPr>
        <w:t xml:space="preserve"> </w:t>
      </w:r>
      <w:r w:rsidR="006F68E8" w:rsidRPr="00564F4F">
        <w:rPr>
          <w:noProof/>
        </w:rPr>
        <w:t xml:space="preserve">This </w:t>
      </w:r>
      <w:r w:rsidR="00760511">
        <w:rPr>
          <w:noProof/>
        </w:rPr>
        <w:t>would be</w:t>
      </w:r>
      <w:r w:rsidR="00760511" w:rsidRPr="00564F4F">
        <w:rPr>
          <w:noProof/>
        </w:rPr>
        <w:t xml:space="preserve"> </w:t>
      </w:r>
      <w:r w:rsidR="00704F88" w:rsidRPr="00564F4F">
        <w:rPr>
          <w:noProof/>
        </w:rPr>
        <w:t>the</w:t>
      </w:r>
      <w:r w:rsidR="006F68E8" w:rsidRPr="00564F4F">
        <w:rPr>
          <w:noProof/>
        </w:rPr>
        <w:t xml:space="preserve"> case for example when</w:t>
      </w:r>
      <w:r w:rsidR="000E4646" w:rsidRPr="00564F4F">
        <w:rPr>
          <w:noProof/>
        </w:rPr>
        <w:t xml:space="preserve"> a</w:t>
      </w:r>
      <w:r w:rsidR="006F68E8" w:rsidRPr="00564F4F">
        <w:rPr>
          <w:noProof/>
        </w:rPr>
        <w:t xml:space="preserve"> product</w:t>
      </w:r>
      <w:r w:rsidR="000E680A" w:rsidRPr="00564F4F">
        <w:rPr>
          <w:noProof/>
        </w:rPr>
        <w:t xml:space="preserve"> </w:t>
      </w:r>
      <w:r w:rsidR="006F68E8" w:rsidRPr="00564F4F">
        <w:rPr>
          <w:noProof/>
        </w:rPr>
        <w:t>is marketed a</w:t>
      </w:r>
      <w:r w:rsidR="006F68E8" w:rsidRPr="00DB5BFB">
        <w:rPr>
          <w:noProof/>
        </w:rPr>
        <w:t>s</w:t>
      </w:r>
      <w:r w:rsidR="00760511" w:rsidRPr="00DB5BFB">
        <w:rPr>
          <w:noProof/>
        </w:rPr>
        <w:t xml:space="preserve"> </w:t>
      </w:r>
      <w:r w:rsidR="000374F7" w:rsidRPr="00DB5BFB">
        <w:rPr>
          <w:noProof/>
        </w:rPr>
        <w:t>‘</w:t>
      </w:r>
      <w:r w:rsidR="00760511" w:rsidRPr="00DB5BFB">
        <w:rPr>
          <w:noProof/>
        </w:rPr>
        <w:t>made with</w:t>
      </w:r>
      <w:r w:rsidR="008E2D8E" w:rsidRPr="00DB5BFB">
        <w:rPr>
          <w:noProof/>
        </w:rPr>
        <w:t xml:space="preserve"> </w:t>
      </w:r>
      <w:r w:rsidR="00CD516A" w:rsidRPr="00DB5BFB">
        <w:rPr>
          <w:noProof/>
        </w:rPr>
        <w:t>recycled material’</w:t>
      </w:r>
      <w:r w:rsidR="006F68E8" w:rsidRPr="00DB5BFB">
        <w:rPr>
          <w:noProof/>
        </w:rPr>
        <w:t xml:space="preserve"> giving</w:t>
      </w:r>
      <w:r w:rsidR="006F68E8" w:rsidRPr="00564F4F">
        <w:rPr>
          <w:noProof/>
        </w:rPr>
        <w:t xml:space="preserve"> the impression that </w:t>
      </w:r>
      <w:r w:rsidR="00704F88" w:rsidRPr="00564F4F">
        <w:rPr>
          <w:noProof/>
          <w:lang w:val="en-IE"/>
        </w:rPr>
        <w:t xml:space="preserve">the entire </w:t>
      </w:r>
      <w:r w:rsidR="002313D1" w:rsidRPr="00564F4F">
        <w:rPr>
          <w:noProof/>
          <w:lang w:val="en-IE"/>
        </w:rPr>
        <w:t>product</w:t>
      </w:r>
      <w:r w:rsidR="00C01473">
        <w:rPr>
          <w:noProof/>
          <w:lang w:val="en-IE"/>
        </w:rPr>
        <w:t xml:space="preserve"> is made of recycled material</w:t>
      </w:r>
      <w:r w:rsidR="006F68E8" w:rsidRPr="00564F4F">
        <w:rPr>
          <w:noProof/>
        </w:rPr>
        <w:t>, when in fact</w:t>
      </w:r>
      <w:r w:rsidR="00484426" w:rsidRPr="00564F4F">
        <w:rPr>
          <w:noProof/>
        </w:rPr>
        <w:t xml:space="preserve"> </w:t>
      </w:r>
      <w:r w:rsidR="008E2D8E" w:rsidRPr="00564F4F">
        <w:rPr>
          <w:noProof/>
        </w:rPr>
        <w:t>it is only the packaging</w:t>
      </w:r>
      <w:r w:rsidR="00564F4F">
        <w:rPr>
          <w:noProof/>
        </w:rPr>
        <w:t xml:space="preserve"> that is</w:t>
      </w:r>
      <w:r w:rsidR="008E2D8E" w:rsidRPr="00564F4F">
        <w:rPr>
          <w:noProof/>
        </w:rPr>
        <w:t xml:space="preserve"> </w:t>
      </w:r>
      <w:r w:rsidR="006729B2" w:rsidRPr="00564F4F">
        <w:rPr>
          <w:noProof/>
        </w:rPr>
        <w:t>made of</w:t>
      </w:r>
      <w:r w:rsidR="008E2D8E" w:rsidRPr="00564F4F">
        <w:rPr>
          <w:noProof/>
        </w:rPr>
        <w:t xml:space="preserve"> recycled </w:t>
      </w:r>
      <w:r w:rsidR="00CD516A" w:rsidRPr="00564F4F">
        <w:rPr>
          <w:noProof/>
        </w:rPr>
        <w:t>material</w:t>
      </w:r>
      <w:r w:rsidR="008E2D8E" w:rsidRPr="00564F4F">
        <w:rPr>
          <w:noProof/>
        </w:rPr>
        <w:t xml:space="preserve">. </w:t>
      </w:r>
    </w:p>
    <w:p w:rsidR="003B424B" w:rsidRPr="004A0039" w:rsidRDefault="00C327B1" w:rsidP="00C327B1">
      <w:pPr>
        <w:pStyle w:val="ManualConsidrant"/>
        <w:rPr>
          <w:noProof/>
          <w:lang w:val="en-US"/>
        </w:rPr>
      </w:pPr>
      <w:r w:rsidRPr="00C327B1">
        <w:t>(12)</w:t>
      </w:r>
      <w:r w:rsidRPr="00C327B1">
        <w:tab/>
      </w:r>
      <w:r w:rsidR="004A0039" w:rsidRPr="004A0039">
        <w:rPr>
          <w:noProof/>
          <w:lang w:val="en-US"/>
        </w:rPr>
        <w:t>The Circular Economy Action Plan</w:t>
      </w:r>
      <w:r w:rsidR="004A0039">
        <w:rPr>
          <w:rStyle w:val="FootnoteReference0"/>
          <w:noProof/>
          <w:lang w:val="en-US"/>
        </w:rPr>
        <w:footnoteReference w:id="25"/>
      </w:r>
      <w:r w:rsidR="004A0039" w:rsidRPr="004A0039">
        <w:rPr>
          <w:noProof/>
          <w:vertAlign w:val="superscript"/>
          <w:lang w:val="en-IE"/>
        </w:rPr>
        <w:t xml:space="preserve"> </w:t>
      </w:r>
      <w:r w:rsidR="004A0039" w:rsidRPr="004A0039">
        <w:rPr>
          <w:noProof/>
          <w:lang w:val="en-IE"/>
        </w:rPr>
        <w:t xml:space="preserve">provides for the need to set the rules on environmental claims using </w:t>
      </w:r>
      <w:r w:rsidR="004A0039" w:rsidRPr="004A0039">
        <w:rPr>
          <w:noProof/>
          <w:lang w:val="en-US"/>
        </w:rPr>
        <w:t>Product and Organisation Environmental Footprint methods. Additional requirements on environmental claims will</w:t>
      </w:r>
      <w:r w:rsidR="003A6444">
        <w:rPr>
          <w:noProof/>
          <w:lang w:val="en-US"/>
        </w:rPr>
        <w:t xml:space="preserve"> have to</w:t>
      </w:r>
      <w:r w:rsidR="004A0039" w:rsidRPr="004A0039">
        <w:rPr>
          <w:noProof/>
          <w:lang w:val="en-US"/>
        </w:rPr>
        <w:t xml:space="preserve"> be set in specific Union legislation. Th</w:t>
      </w:r>
      <w:r w:rsidR="003A6444">
        <w:rPr>
          <w:noProof/>
          <w:lang w:val="en-US"/>
        </w:rPr>
        <w:t>o</w:t>
      </w:r>
      <w:r w:rsidR="004A0039" w:rsidRPr="004A0039">
        <w:rPr>
          <w:noProof/>
          <w:lang w:val="en-US"/>
        </w:rPr>
        <w:t>se new requirements will contribute to the Green Deal</w:t>
      </w:r>
      <w:r w:rsidR="004A0039">
        <w:rPr>
          <w:rStyle w:val="FootnoteReference0"/>
          <w:noProof/>
          <w:lang w:val="en-US"/>
        </w:rPr>
        <w:footnoteReference w:id="26"/>
      </w:r>
      <w:r w:rsidR="004A0039" w:rsidRPr="004A0039">
        <w:rPr>
          <w:noProof/>
          <w:lang w:val="en-US"/>
        </w:rPr>
        <w:t xml:space="preserve"> objective of enabling buyers to make more sustainable decisions and reduce the risk of greenwashing through reliable, comparable and verifiable information.</w:t>
      </w:r>
    </w:p>
    <w:p w:rsidR="00F67439" w:rsidRDefault="00C327B1" w:rsidP="00C327B1">
      <w:pPr>
        <w:pStyle w:val="ManualConsidrant"/>
        <w:rPr>
          <w:noProof/>
        </w:rPr>
      </w:pPr>
      <w:r w:rsidRPr="00C327B1">
        <w:t>(13)</w:t>
      </w:r>
      <w:r w:rsidRPr="00C327B1">
        <w:tab/>
      </w:r>
      <w:r w:rsidR="00E30C12" w:rsidRPr="00AA5DB8">
        <w:rPr>
          <w:noProof/>
        </w:rPr>
        <w:t xml:space="preserve">Presenting </w:t>
      </w:r>
      <w:r w:rsidR="00F67439" w:rsidRPr="00AA5DB8">
        <w:rPr>
          <w:noProof/>
        </w:rPr>
        <w:t>requirements imposed by law on all products within the relevant product category on the Union market, including imported products,</w:t>
      </w:r>
      <w:r w:rsidR="00F53B68" w:rsidRPr="00AA5DB8">
        <w:rPr>
          <w:noProof/>
        </w:rPr>
        <w:t xml:space="preserve"> as a distinctive feature of the trader’s offer,</w:t>
      </w:r>
      <w:r w:rsidR="00F67439" w:rsidRPr="00AA5DB8">
        <w:rPr>
          <w:noProof/>
        </w:rPr>
        <w:t xml:space="preserve"> sh</w:t>
      </w:r>
      <w:r w:rsidR="00E30C12" w:rsidRPr="00AA5DB8">
        <w:rPr>
          <w:noProof/>
        </w:rPr>
        <w:t>ould</w:t>
      </w:r>
      <w:r w:rsidR="00F67439" w:rsidRPr="00AA5DB8">
        <w:rPr>
          <w:noProof/>
        </w:rPr>
        <w:t xml:space="preserve"> </w:t>
      </w:r>
      <w:r w:rsidR="005600DA" w:rsidRPr="00AA5DB8">
        <w:rPr>
          <w:noProof/>
        </w:rPr>
        <w:t xml:space="preserve">also </w:t>
      </w:r>
      <w:r w:rsidR="00F67439" w:rsidRPr="00AA5DB8">
        <w:rPr>
          <w:noProof/>
        </w:rPr>
        <w:t xml:space="preserve">be </w:t>
      </w:r>
      <w:r w:rsidR="005600DA" w:rsidRPr="00AA5DB8">
        <w:rPr>
          <w:noProof/>
        </w:rPr>
        <w:t>prohibited</w:t>
      </w:r>
      <w:r w:rsidR="001E1424" w:rsidRPr="00AA5DB8">
        <w:rPr>
          <w:noProof/>
        </w:rPr>
        <w:t xml:space="preserve"> in all circumstances </w:t>
      </w:r>
      <w:r w:rsidR="005C7E1C" w:rsidRPr="00DB5BFB">
        <w:rPr>
          <w:noProof/>
        </w:rPr>
        <w:t>and added to the list</w:t>
      </w:r>
      <w:r w:rsidR="005C7E1C" w:rsidRPr="007674B3">
        <w:rPr>
          <w:noProof/>
        </w:rPr>
        <w:t xml:space="preserve"> in</w:t>
      </w:r>
      <w:r w:rsidR="005C7E1C" w:rsidRPr="00DB5BFB">
        <w:rPr>
          <w:noProof/>
        </w:rPr>
        <w:t xml:space="preserve"> </w:t>
      </w:r>
      <w:r w:rsidR="00E30C12" w:rsidRPr="00AA5DB8">
        <w:rPr>
          <w:noProof/>
        </w:rPr>
        <w:t>Annex I to Directive 2005/29/EC</w:t>
      </w:r>
      <w:r w:rsidR="00F67439" w:rsidRPr="00AA5DB8">
        <w:rPr>
          <w:noProof/>
        </w:rPr>
        <w:t xml:space="preserve">. </w:t>
      </w:r>
      <w:r w:rsidR="000F7D1B" w:rsidRPr="00AA5DB8">
        <w:rPr>
          <w:noProof/>
        </w:rPr>
        <w:t xml:space="preserve">This </w:t>
      </w:r>
      <w:r w:rsidR="005600DA" w:rsidRPr="00AA5DB8">
        <w:rPr>
          <w:noProof/>
        </w:rPr>
        <w:t xml:space="preserve">prohibition </w:t>
      </w:r>
      <w:r w:rsidR="000F7D1B" w:rsidRPr="00AA5DB8">
        <w:rPr>
          <w:noProof/>
        </w:rPr>
        <w:t xml:space="preserve">could </w:t>
      </w:r>
      <w:r w:rsidR="005600DA" w:rsidRPr="00AA5DB8">
        <w:rPr>
          <w:noProof/>
        </w:rPr>
        <w:t>apply</w:t>
      </w:r>
      <w:r w:rsidR="000F7D1B" w:rsidRPr="00AA5DB8">
        <w:rPr>
          <w:noProof/>
        </w:rPr>
        <w:t xml:space="preserve">, </w:t>
      </w:r>
      <w:r w:rsidR="00F67439" w:rsidRPr="00AA5DB8">
        <w:rPr>
          <w:noProof/>
        </w:rPr>
        <w:t xml:space="preserve">for example, </w:t>
      </w:r>
      <w:r w:rsidR="001E1424" w:rsidRPr="00AA5DB8">
        <w:rPr>
          <w:noProof/>
        </w:rPr>
        <w:t xml:space="preserve">when </w:t>
      </w:r>
      <w:r w:rsidR="00F67439" w:rsidRPr="00AA5DB8">
        <w:rPr>
          <w:noProof/>
        </w:rPr>
        <w:t xml:space="preserve">a trader </w:t>
      </w:r>
      <w:r w:rsidR="001E1424" w:rsidRPr="00AA5DB8">
        <w:rPr>
          <w:noProof/>
        </w:rPr>
        <w:t>i</w:t>
      </w:r>
      <w:r w:rsidR="00F67439" w:rsidRPr="00AA5DB8">
        <w:rPr>
          <w:noProof/>
        </w:rPr>
        <w:t xml:space="preserve">s advertising that a </w:t>
      </w:r>
      <w:r w:rsidR="00760511">
        <w:rPr>
          <w:noProof/>
        </w:rPr>
        <w:t>given</w:t>
      </w:r>
      <w:r w:rsidR="00F67439" w:rsidRPr="00AA5DB8">
        <w:rPr>
          <w:noProof/>
        </w:rPr>
        <w:t xml:space="preserve"> product does not include a specific chemical substance while th</w:t>
      </w:r>
      <w:r w:rsidR="00760511">
        <w:rPr>
          <w:noProof/>
        </w:rPr>
        <w:t>at</w:t>
      </w:r>
      <w:r w:rsidR="00F67439" w:rsidRPr="00AA5DB8">
        <w:rPr>
          <w:noProof/>
        </w:rPr>
        <w:t xml:space="preserve"> substance is already forbidden</w:t>
      </w:r>
      <w:r w:rsidR="001E1424" w:rsidRPr="00AA5DB8">
        <w:rPr>
          <w:noProof/>
        </w:rPr>
        <w:t xml:space="preserve"> by law</w:t>
      </w:r>
      <w:r w:rsidR="000F7D1B" w:rsidRPr="00AA5DB8">
        <w:rPr>
          <w:noProof/>
        </w:rPr>
        <w:t xml:space="preserve"> for all products within that product category in the U</w:t>
      </w:r>
      <w:r w:rsidR="00E02BD5" w:rsidRPr="00AA5DB8">
        <w:rPr>
          <w:noProof/>
        </w:rPr>
        <w:t>nion</w:t>
      </w:r>
      <w:r w:rsidR="00F67439" w:rsidRPr="00AA5DB8">
        <w:rPr>
          <w:noProof/>
        </w:rPr>
        <w:t xml:space="preserve">. Conversely, the prohibition should not </w:t>
      </w:r>
      <w:r w:rsidR="00EC495E" w:rsidRPr="00AA5DB8">
        <w:rPr>
          <w:noProof/>
        </w:rPr>
        <w:t>cover commercial practices promoting traders</w:t>
      </w:r>
      <w:r w:rsidR="001E5FFA" w:rsidRPr="00AA5DB8">
        <w:rPr>
          <w:noProof/>
        </w:rPr>
        <w:t>’</w:t>
      </w:r>
      <w:r w:rsidR="00EC495E" w:rsidRPr="00AA5DB8">
        <w:rPr>
          <w:noProof/>
        </w:rPr>
        <w:t xml:space="preserve"> or products</w:t>
      </w:r>
      <w:r w:rsidR="001E5FFA" w:rsidRPr="00AA5DB8">
        <w:rPr>
          <w:noProof/>
        </w:rPr>
        <w:t>’</w:t>
      </w:r>
      <w:r w:rsidR="00EC495E" w:rsidRPr="00AA5DB8">
        <w:rPr>
          <w:noProof/>
        </w:rPr>
        <w:t xml:space="preserve"> compliance with</w:t>
      </w:r>
      <w:r w:rsidR="00F67439" w:rsidRPr="00AA5DB8">
        <w:rPr>
          <w:noProof/>
        </w:rPr>
        <w:t xml:space="preserve"> legal requirements that only apply to some products but not to other competing products of the same category</w:t>
      </w:r>
      <w:r w:rsidR="000F7D1B" w:rsidRPr="00AA5DB8">
        <w:rPr>
          <w:noProof/>
        </w:rPr>
        <w:t xml:space="preserve"> on the U</w:t>
      </w:r>
      <w:r w:rsidR="00E02BD5" w:rsidRPr="00AA5DB8">
        <w:rPr>
          <w:noProof/>
        </w:rPr>
        <w:t>nion</w:t>
      </w:r>
      <w:r w:rsidR="000F7D1B" w:rsidRPr="00AA5DB8">
        <w:rPr>
          <w:noProof/>
        </w:rPr>
        <w:t xml:space="preserve"> market</w:t>
      </w:r>
      <w:r w:rsidR="00EC495E" w:rsidRPr="00AA5DB8">
        <w:rPr>
          <w:noProof/>
        </w:rPr>
        <w:t>, such as products of non-EU origin</w:t>
      </w:r>
      <w:r w:rsidR="00F67439" w:rsidRPr="00AA5DB8">
        <w:rPr>
          <w:noProof/>
        </w:rPr>
        <w:t xml:space="preserve">. </w:t>
      </w:r>
    </w:p>
    <w:p w:rsidR="00EE3609" w:rsidRPr="00AA5DB8" w:rsidRDefault="00C327B1" w:rsidP="00C327B1">
      <w:pPr>
        <w:pStyle w:val="ManualConsidrant"/>
        <w:rPr>
          <w:noProof/>
        </w:rPr>
      </w:pPr>
      <w:r w:rsidRPr="00C327B1">
        <w:t>(14)</w:t>
      </w:r>
      <w:r w:rsidRPr="00C327B1">
        <w:tab/>
      </w:r>
      <w:r w:rsidR="00061755">
        <w:rPr>
          <w:noProof/>
        </w:rPr>
        <w:t xml:space="preserve">In order to improve </w:t>
      </w:r>
      <w:r w:rsidR="00061755" w:rsidRPr="00AA5DB8">
        <w:rPr>
          <w:noProof/>
        </w:rPr>
        <w:t xml:space="preserve">the </w:t>
      </w:r>
      <w:r w:rsidR="00061755" w:rsidRPr="00B03894">
        <w:rPr>
          <w:rFonts w:cstheme="minorBidi"/>
          <w:noProof/>
        </w:rPr>
        <w:t>welfare</w:t>
      </w:r>
      <w:r w:rsidR="00061755" w:rsidRPr="00AA5DB8">
        <w:rPr>
          <w:noProof/>
        </w:rPr>
        <w:t xml:space="preserve"> of consumers</w:t>
      </w:r>
      <w:r w:rsidR="00061755">
        <w:rPr>
          <w:noProof/>
        </w:rPr>
        <w:t>, t</w:t>
      </w:r>
      <w:r w:rsidR="00CB4396" w:rsidRPr="00AA5DB8">
        <w:rPr>
          <w:noProof/>
        </w:rPr>
        <w:t>he amendment</w:t>
      </w:r>
      <w:r w:rsidR="009C6873" w:rsidRPr="00AA5DB8">
        <w:rPr>
          <w:noProof/>
        </w:rPr>
        <w:t>s</w:t>
      </w:r>
      <w:r w:rsidR="00CB4396" w:rsidRPr="00AA5DB8">
        <w:rPr>
          <w:noProof/>
        </w:rPr>
        <w:t xml:space="preserve"> to Annex I </w:t>
      </w:r>
      <w:r w:rsidR="00F12B10" w:rsidRPr="00AA5DB8">
        <w:rPr>
          <w:noProof/>
        </w:rPr>
        <w:t xml:space="preserve">to </w:t>
      </w:r>
      <w:r w:rsidR="00CB4396" w:rsidRPr="00AA5DB8">
        <w:rPr>
          <w:noProof/>
        </w:rPr>
        <w:t>Directive 2005/29/EC</w:t>
      </w:r>
      <w:r w:rsidR="006E70CF" w:rsidRPr="00AA5DB8">
        <w:rPr>
          <w:noProof/>
        </w:rPr>
        <w:t xml:space="preserve"> </w:t>
      </w:r>
      <w:r w:rsidR="00CB4396" w:rsidRPr="00AA5DB8">
        <w:rPr>
          <w:noProof/>
        </w:rPr>
        <w:t xml:space="preserve">should </w:t>
      </w:r>
      <w:r w:rsidR="00B8794C" w:rsidRPr="00AA5DB8">
        <w:rPr>
          <w:noProof/>
        </w:rPr>
        <w:t xml:space="preserve">also </w:t>
      </w:r>
      <w:r w:rsidR="00CB4396" w:rsidRPr="00AA5DB8">
        <w:rPr>
          <w:noProof/>
        </w:rPr>
        <w:t xml:space="preserve">address several practices associated with </w:t>
      </w:r>
      <w:r w:rsidR="00A1718E" w:rsidRPr="00AA5DB8">
        <w:rPr>
          <w:noProof/>
        </w:rPr>
        <w:t>early</w:t>
      </w:r>
      <w:r w:rsidR="0058624C" w:rsidRPr="00AA5DB8">
        <w:rPr>
          <w:noProof/>
        </w:rPr>
        <w:t xml:space="preserve"> </w:t>
      </w:r>
      <w:r w:rsidR="00CB4396" w:rsidRPr="00AA5DB8">
        <w:rPr>
          <w:noProof/>
        </w:rPr>
        <w:t>obsolescence</w:t>
      </w:r>
      <w:r w:rsidR="00B812A2">
        <w:rPr>
          <w:noProof/>
        </w:rPr>
        <w:t>,</w:t>
      </w:r>
      <w:r w:rsidR="00B812A2" w:rsidRPr="00B812A2">
        <w:rPr>
          <w:noProof/>
        </w:rPr>
        <w:t xml:space="preserve"> </w:t>
      </w:r>
      <w:r w:rsidR="00B812A2" w:rsidRPr="00564F4F">
        <w:rPr>
          <w:noProof/>
        </w:rPr>
        <w:t>including planned obsolescence practices</w:t>
      </w:r>
      <w:r w:rsidR="00B812A2">
        <w:rPr>
          <w:noProof/>
        </w:rPr>
        <w:t xml:space="preserve">, understood </w:t>
      </w:r>
      <w:r w:rsidR="00526116">
        <w:rPr>
          <w:noProof/>
        </w:rPr>
        <w:t xml:space="preserve">as </w:t>
      </w:r>
      <w:r w:rsidR="00B812A2" w:rsidRPr="007674B3">
        <w:rPr>
          <w:noProof/>
        </w:rPr>
        <w:t xml:space="preserve">a commercial policy involving deliberately planning or designing a product with a limited useful life so that it </w:t>
      </w:r>
      <w:r w:rsidR="00526116">
        <w:rPr>
          <w:noProof/>
        </w:rPr>
        <w:t xml:space="preserve">prematurely </w:t>
      </w:r>
      <w:r w:rsidR="00B812A2" w:rsidRPr="007674B3">
        <w:rPr>
          <w:noProof/>
        </w:rPr>
        <w:t>become</w:t>
      </w:r>
      <w:r w:rsidR="003A6444">
        <w:rPr>
          <w:noProof/>
        </w:rPr>
        <w:t>s</w:t>
      </w:r>
      <w:r w:rsidR="00B812A2" w:rsidRPr="007674B3">
        <w:rPr>
          <w:noProof/>
        </w:rPr>
        <w:t xml:space="preserve"> obsolete or non-functional after a certain period of time</w:t>
      </w:r>
      <w:r w:rsidR="00526116">
        <w:rPr>
          <w:noProof/>
        </w:rPr>
        <w:t xml:space="preserve">. </w:t>
      </w:r>
      <w:r w:rsidR="00201DEF">
        <w:rPr>
          <w:noProof/>
          <w:color w:val="000000"/>
          <w:shd w:val="clear" w:color="auto" w:fill="FFFFFF"/>
        </w:rPr>
        <w:t>P</w:t>
      </w:r>
      <w:r w:rsidR="00EB677C" w:rsidRPr="00AA5DB8">
        <w:rPr>
          <w:noProof/>
          <w:color w:val="000000"/>
          <w:shd w:val="clear" w:color="auto" w:fill="FFFFFF"/>
        </w:rPr>
        <w:t xml:space="preserve">urchasing products </w:t>
      </w:r>
      <w:r w:rsidR="00E47D9E" w:rsidRPr="00AA5DB8">
        <w:rPr>
          <w:noProof/>
          <w:color w:val="000000"/>
          <w:shd w:val="clear" w:color="auto" w:fill="FFFFFF"/>
        </w:rPr>
        <w:t xml:space="preserve">that </w:t>
      </w:r>
      <w:r w:rsidR="00526116">
        <w:rPr>
          <w:noProof/>
          <w:color w:val="000000"/>
          <w:shd w:val="clear" w:color="auto" w:fill="FFFFFF"/>
        </w:rPr>
        <w:t>are</w:t>
      </w:r>
      <w:r w:rsidR="00526116" w:rsidRPr="00AA5DB8">
        <w:rPr>
          <w:noProof/>
          <w:color w:val="000000"/>
          <w:shd w:val="clear" w:color="auto" w:fill="FFFFFF"/>
        </w:rPr>
        <w:t xml:space="preserve"> </w:t>
      </w:r>
      <w:r w:rsidR="00E47D9E" w:rsidRPr="00AA5DB8">
        <w:rPr>
          <w:noProof/>
          <w:color w:val="000000"/>
          <w:shd w:val="clear" w:color="auto" w:fill="FFFFFF"/>
        </w:rPr>
        <w:t>expect</w:t>
      </w:r>
      <w:r w:rsidR="00526116">
        <w:rPr>
          <w:noProof/>
          <w:color w:val="000000"/>
          <w:shd w:val="clear" w:color="auto" w:fill="FFFFFF"/>
        </w:rPr>
        <w:t>ed</w:t>
      </w:r>
      <w:r w:rsidR="00E47D9E" w:rsidRPr="00AA5DB8">
        <w:rPr>
          <w:noProof/>
          <w:color w:val="000000"/>
          <w:shd w:val="clear" w:color="auto" w:fill="FFFFFF"/>
        </w:rPr>
        <w:t xml:space="preserve"> to</w:t>
      </w:r>
      <w:r w:rsidR="00EB677C" w:rsidRPr="00AA5DB8">
        <w:rPr>
          <w:noProof/>
          <w:color w:val="000000"/>
          <w:shd w:val="clear" w:color="auto" w:fill="FFFFFF"/>
        </w:rPr>
        <w:t xml:space="preserve"> last longer than they actually do</w:t>
      </w:r>
      <w:r w:rsidR="00E47D9E" w:rsidRPr="00AA5DB8">
        <w:rPr>
          <w:noProof/>
          <w:color w:val="000000"/>
          <w:shd w:val="clear" w:color="auto" w:fill="FFFFFF"/>
        </w:rPr>
        <w:t xml:space="preserve"> causes</w:t>
      </w:r>
      <w:r w:rsidR="003B61AE" w:rsidRPr="00AA5DB8">
        <w:rPr>
          <w:noProof/>
          <w:color w:val="000000"/>
          <w:shd w:val="clear" w:color="auto" w:fill="FFFFFF"/>
        </w:rPr>
        <w:t xml:space="preserve"> consumer detriment</w:t>
      </w:r>
      <w:r w:rsidR="00E47D9E" w:rsidRPr="00AA5DB8">
        <w:rPr>
          <w:noProof/>
          <w:color w:val="000000"/>
          <w:shd w:val="clear" w:color="auto" w:fill="FFFFFF"/>
        </w:rPr>
        <w:t>. Furthermore,</w:t>
      </w:r>
      <w:r w:rsidR="007004C1" w:rsidRPr="00AA5DB8">
        <w:rPr>
          <w:noProof/>
          <w:color w:val="000000"/>
          <w:shd w:val="clear" w:color="auto" w:fill="FFFFFF"/>
        </w:rPr>
        <w:t xml:space="preserve"> early obsolescence practices have an </w:t>
      </w:r>
      <w:r w:rsidR="007004C1" w:rsidRPr="00AA5DB8">
        <w:rPr>
          <w:noProof/>
        </w:rPr>
        <w:t>overall negative impact on the environment</w:t>
      </w:r>
      <w:r w:rsidR="00E96F4D" w:rsidRPr="00AA5DB8">
        <w:rPr>
          <w:noProof/>
        </w:rPr>
        <w:t xml:space="preserve"> in </w:t>
      </w:r>
      <w:r w:rsidR="00EB677C" w:rsidRPr="00AA5DB8">
        <w:rPr>
          <w:noProof/>
        </w:rPr>
        <w:t>the</w:t>
      </w:r>
      <w:r w:rsidR="00E96F4D" w:rsidRPr="00AA5DB8">
        <w:rPr>
          <w:noProof/>
        </w:rPr>
        <w:t xml:space="preserve"> form of </w:t>
      </w:r>
      <w:r w:rsidR="00DE1B2F" w:rsidRPr="00AA5DB8">
        <w:rPr>
          <w:noProof/>
        </w:rPr>
        <w:t xml:space="preserve">increased </w:t>
      </w:r>
      <w:r w:rsidR="00E96F4D" w:rsidRPr="00AA5DB8">
        <w:rPr>
          <w:noProof/>
        </w:rPr>
        <w:t>material waste</w:t>
      </w:r>
      <w:r w:rsidR="007004C1" w:rsidRPr="00AA5DB8">
        <w:rPr>
          <w:noProof/>
        </w:rPr>
        <w:t>.</w:t>
      </w:r>
      <w:r w:rsidR="00EE3609" w:rsidRPr="00AA5DB8">
        <w:rPr>
          <w:noProof/>
        </w:rPr>
        <w:t xml:space="preserve"> </w:t>
      </w:r>
      <w:r w:rsidR="00F3025C">
        <w:rPr>
          <w:noProof/>
        </w:rPr>
        <w:t xml:space="preserve">Therefore, addressing those practices </w:t>
      </w:r>
      <w:r w:rsidR="00D64F80">
        <w:rPr>
          <w:noProof/>
        </w:rPr>
        <w:t xml:space="preserve">are also likely to </w:t>
      </w:r>
      <w:r w:rsidR="00724BBC">
        <w:rPr>
          <w:noProof/>
        </w:rPr>
        <w:t xml:space="preserve">reduce </w:t>
      </w:r>
      <w:r w:rsidR="00F3025C">
        <w:rPr>
          <w:noProof/>
        </w:rPr>
        <w:t xml:space="preserve">the amount of waste, contributing to a more sustainable consumption. </w:t>
      </w:r>
    </w:p>
    <w:p w:rsidR="00CB4396" w:rsidRPr="00CC1D5C" w:rsidRDefault="00C327B1" w:rsidP="00C327B1">
      <w:pPr>
        <w:pStyle w:val="ManualConsidrant"/>
        <w:rPr>
          <w:noProof/>
        </w:rPr>
      </w:pPr>
      <w:r w:rsidRPr="00C327B1">
        <w:t>(15)</w:t>
      </w:r>
      <w:r w:rsidRPr="00C327B1">
        <w:tab/>
      </w:r>
      <w:r w:rsidR="00C86401">
        <w:rPr>
          <w:noProof/>
        </w:rPr>
        <w:t>I</w:t>
      </w:r>
      <w:r w:rsidR="006665AB" w:rsidRPr="00CC1D5C">
        <w:rPr>
          <w:noProof/>
        </w:rPr>
        <w:t xml:space="preserve">t should be prohibited to omit to </w:t>
      </w:r>
      <w:r w:rsidR="001E5FFA">
        <w:rPr>
          <w:noProof/>
        </w:rPr>
        <w:t>inform the</w:t>
      </w:r>
      <w:r w:rsidR="006665AB" w:rsidRPr="00CC1D5C">
        <w:rPr>
          <w:noProof/>
        </w:rPr>
        <w:t xml:space="preserve"> consumer that a </w:t>
      </w:r>
      <w:r w:rsidR="00B8794C">
        <w:rPr>
          <w:noProof/>
        </w:rPr>
        <w:t>software</w:t>
      </w:r>
      <w:r w:rsidR="006665AB" w:rsidRPr="00CC1D5C">
        <w:rPr>
          <w:noProof/>
        </w:rPr>
        <w:t xml:space="preserve"> update, including</w:t>
      </w:r>
      <w:r w:rsidR="00262B8C" w:rsidRPr="00CC1D5C">
        <w:rPr>
          <w:noProof/>
        </w:rPr>
        <w:t xml:space="preserve"> a security update, will</w:t>
      </w:r>
      <w:r w:rsidR="006665AB" w:rsidRPr="00CC1D5C">
        <w:rPr>
          <w:noProof/>
        </w:rPr>
        <w:t xml:space="preserve"> negatively impact the use of goods with digital elements</w:t>
      </w:r>
      <w:r w:rsidR="00262B8C" w:rsidRPr="00CC1D5C">
        <w:rPr>
          <w:noProof/>
        </w:rPr>
        <w:t xml:space="preserve"> or certain features of th</w:t>
      </w:r>
      <w:r w:rsidR="00B8794C">
        <w:rPr>
          <w:noProof/>
        </w:rPr>
        <w:t>ose</w:t>
      </w:r>
      <w:r w:rsidR="00262B8C" w:rsidRPr="00CC1D5C">
        <w:rPr>
          <w:noProof/>
        </w:rPr>
        <w:t xml:space="preserve"> good</w:t>
      </w:r>
      <w:r w:rsidR="00B8794C">
        <w:rPr>
          <w:noProof/>
        </w:rPr>
        <w:t>s</w:t>
      </w:r>
      <w:r w:rsidR="006665AB" w:rsidRPr="00CC1D5C">
        <w:rPr>
          <w:noProof/>
        </w:rPr>
        <w:t xml:space="preserve">, even if the update </w:t>
      </w:r>
      <w:r w:rsidR="00262B8C" w:rsidRPr="00CC1D5C">
        <w:rPr>
          <w:noProof/>
        </w:rPr>
        <w:t xml:space="preserve">improves the </w:t>
      </w:r>
      <w:r w:rsidR="00262B8C" w:rsidRPr="007D7B63">
        <w:rPr>
          <w:noProof/>
        </w:rPr>
        <w:t>function</w:t>
      </w:r>
      <w:r w:rsidR="00D55406" w:rsidRPr="007D7B63">
        <w:rPr>
          <w:noProof/>
        </w:rPr>
        <w:t>ing</w:t>
      </w:r>
      <w:r w:rsidR="00262B8C" w:rsidRPr="00CC1D5C">
        <w:rPr>
          <w:noProof/>
        </w:rPr>
        <w:t xml:space="preserve"> of other features</w:t>
      </w:r>
      <w:r w:rsidR="006665AB" w:rsidRPr="00CC1D5C">
        <w:rPr>
          <w:noProof/>
        </w:rPr>
        <w:t>.</w:t>
      </w:r>
      <w:r w:rsidR="00262B8C" w:rsidRPr="00CC1D5C">
        <w:rPr>
          <w:noProof/>
        </w:rPr>
        <w:t xml:space="preserve"> </w:t>
      </w:r>
      <w:r w:rsidR="00A4661F">
        <w:rPr>
          <w:noProof/>
        </w:rPr>
        <w:t xml:space="preserve">For example, when </w:t>
      </w:r>
      <w:r w:rsidR="00E47D9E">
        <w:rPr>
          <w:noProof/>
        </w:rPr>
        <w:t>inviting</w:t>
      </w:r>
      <w:r w:rsidR="00A4661F">
        <w:rPr>
          <w:noProof/>
        </w:rPr>
        <w:t xml:space="preserve"> consumer</w:t>
      </w:r>
      <w:r w:rsidR="00E47D9E">
        <w:rPr>
          <w:noProof/>
        </w:rPr>
        <w:t>s</w:t>
      </w:r>
      <w:r w:rsidR="00A4661F">
        <w:rPr>
          <w:noProof/>
        </w:rPr>
        <w:t xml:space="preserve"> to update the operating system on their smartphone, the trader will have to inform the consumer if such an update will negatively impact the functioning of any of the features of the smartphone. </w:t>
      </w:r>
      <w:r w:rsidR="00010CB3" w:rsidRPr="00CC1D5C">
        <w:rPr>
          <w:noProof/>
        </w:rPr>
        <w:t xml:space="preserve"> </w:t>
      </w:r>
    </w:p>
    <w:p w:rsidR="00262B8C" w:rsidRPr="00AA5DB8" w:rsidRDefault="00C327B1" w:rsidP="00C327B1">
      <w:pPr>
        <w:pStyle w:val="ManualConsidrant"/>
        <w:rPr>
          <w:noProof/>
        </w:rPr>
      </w:pPr>
      <w:r w:rsidRPr="00C327B1">
        <w:t>(16)</w:t>
      </w:r>
      <w:r w:rsidRPr="00C327B1">
        <w:tab/>
      </w:r>
      <w:r w:rsidR="00C86401">
        <w:rPr>
          <w:noProof/>
        </w:rPr>
        <w:t xml:space="preserve">It </w:t>
      </w:r>
      <w:r w:rsidR="00CB4396" w:rsidRPr="00AA5DB8">
        <w:rPr>
          <w:noProof/>
        </w:rPr>
        <w:t xml:space="preserve">should also </w:t>
      </w:r>
      <w:r w:rsidR="00C86401">
        <w:rPr>
          <w:noProof/>
        </w:rPr>
        <w:t xml:space="preserve">be </w:t>
      </w:r>
      <w:r w:rsidR="00106053" w:rsidRPr="00AA5DB8">
        <w:rPr>
          <w:noProof/>
        </w:rPr>
        <w:t>prohibit</w:t>
      </w:r>
      <w:r w:rsidR="00C86401">
        <w:rPr>
          <w:noProof/>
        </w:rPr>
        <w:t>ed</w:t>
      </w:r>
      <w:r w:rsidR="006665AB" w:rsidRPr="00AA5DB8">
        <w:rPr>
          <w:noProof/>
        </w:rPr>
        <w:t xml:space="preserve"> </w:t>
      </w:r>
      <w:r w:rsidR="22D7B20B" w:rsidRPr="22D7B20B">
        <w:rPr>
          <w:noProof/>
        </w:rPr>
        <w:t xml:space="preserve">to </w:t>
      </w:r>
      <w:r w:rsidR="00262B8C" w:rsidRPr="00AA5DB8">
        <w:rPr>
          <w:noProof/>
        </w:rPr>
        <w:t>o</w:t>
      </w:r>
      <w:r w:rsidR="006665AB" w:rsidRPr="00AA5DB8">
        <w:rPr>
          <w:noProof/>
        </w:rPr>
        <w:t xml:space="preserve">mit to inform the consumer about the existence of a feature of the good </w:t>
      </w:r>
      <w:r w:rsidR="00E33274">
        <w:rPr>
          <w:noProof/>
        </w:rPr>
        <w:t xml:space="preserve">introduced to </w:t>
      </w:r>
      <w:r w:rsidR="006665AB" w:rsidRPr="00AA5DB8">
        <w:rPr>
          <w:noProof/>
        </w:rPr>
        <w:t>limit its durability</w:t>
      </w:r>
      <w:r w:rsidR="00262B8C" w:rsidRPr="00AA5DB8">
        <w:rPr>
          <w:noProof/>
        </w:rPr>
        <w:t xml:space="preserve">. </w:t>
      </w:r>
      <w:r w:rsidR="003C1C98" w:rsidRPr="00AA5DB8">
        <w:rPr>
          <w:noProof/>
        </w:rPr>
        <w:t>For e</w:t>
      </w:r>
      <w:r w:rsidR="002313B0" w:rsidRPr="00AA5DB8">
        <w:rPr>
          <w:noProof/>
        </w:rPr>
        <w:t>xample, such</w:t>
      </w:r>
      <w:r w:rsidR="003C1C98" w:rsidRPr="00AA5DB8">
        <w:rPr>
          <w:noProof/>
        </w:rPr>
        <w:t xml:space="preserve"> </w:t>
      </w:r>
      <w:r w:rsidR="00BB7FD7" w:rsidRPr="00AA5DB8">
        <w:rPr>
          <w:noProof/>
        </w:rPr>
        <w:t xml:space="preserve">a </w:t>
      </w:r>
      <w:r w:rsidR="003C1C98" w:rsidRPr="00AA5DB8">
        <w:rPr>
          <w:noProof/>
        </w:rPr>
        <w:t>feature</w:t>
      </w:r>
      <w:r w:rsidR="002313B0" w:rsidRPr="00AA5DB8">
        <w:rPr>
          <w:noProof/>
        </w:rPr>
        <w:t xml:space="preserve"> could be </w:t>
      </w:r>
      <w:r w:rsidR="00BB7FD7" w:rsidRPr="00464F97">
        <w:rPr>
          <w:noProof/>
        </w:rPr>
        <w:t xml:space="preserve">software which </w:t>
      </w:r>
      <w:r w:rsidR="003F69D8" w:rsidRPr="00464F97">
        <w:rPr>
          <w:noProof/>
        </w:rPr>
        <w:t>stops or downgrades the functionality of the good after</w:t>
      </w:r>
      <w:r w:rsidR="00BB7FD7" w:rsidRPr="00464F97">
        <w:rPr>
          <w:noProof/>
        </w:rPr>
        <w:t xml:space="preserve"> a particular period of time, or it could be a piece of hardware which is </w:t>
      </w:r>
      <w:r w:rsidR="003F69D8" w:rsidRPr="00464F97">
        <w:rPr>
          <w:noProof/>
        </w:rPr>
        <w:t>designed</w:t>
      </w:r>
      <w:r w:rsidR="00BB7FD7" w:rsidRPr="00464F97">
        <w:rPr>
          <w:noProof/>
        </w:rPr>
        <w:t xml:space="preserve"> to fail after a particular period of time.</w:t>
      </w:r>
      <w:r w:rsidR="003C1C98" w:rsidRPr="00464F97">
        <w:rPr>
          <w:noProof/>
        </w:rPr>
        <w:t xml:space="preserve"> </w:t>
      </w:r>
      <w:r w:rsidR="003F69D8" w:rsidRPr="00564F4F">
        <w:rPr>
          <w:noProof/>
        </w:rPr>
        <w:t xml:space="preserve">The prohibition of omitting to inform consumers of such features </w:t>
      </w:r>
      <w:r w:rsidR="000C333F" w:rsidRPr="00564F4F">
        <w:rPr>
          <w:noProof/>
        </w:rPr>
        <w:t xml:space="preserve">of the goods </w:t>
      </w:r>
      <w:r w:rsidR="003F69D8" w:rsidRPr="00464F97">
        <w:rPr>
          <w:noProof/>
        </w:rPr>
        <w:t>complements</w:t>
      </w:r>
      <w:r w:rsidR="003F69D8" w:rsidRPr="00AA5DB8">
        <w:rPr>
          <w:noProof/>
        </w:rPr>
        <w:t xml:space="preserve"> and </w:t>
      </w:r>
      <w:r w:rsidR="005766EF" w:rsidRPr="00DB5BFB">
        <w:rPr>
          <w:noProof/>
        </w:rPr>
        <w:t>does not affect</w:t>
      </w:r>
      <w:r w:rsidR="003F69D8" w:rsidRPr="00AA5DB8">
        <w:rPr>
          <w:noProof/>
        </w:rPr>
        <w:t xml:space="preserve"> the </w:t>
      </w:r>
      <w:r w:rsidR="00CC1F82">
        <w:rPr>
          <w:noProof/>
        </w:rPr>
        <w:t xml:space="preserve">remedies available to </w:t>
      </w:r>
      <w:r w:rsidR="003F69D8" w:rsidRPr="00AA5DB8">
        <w:rPr>
          <w:noProof/>
        </w:rPr>
        <w:t>consumer</w:t>
      </w:r>
      <w:r w:rsidR="00CC1F82">
        <w:rPr>
          <w:noProof/>
        </w:rPr>
        <w:t>s</w:t>
      </w:r>
      <w:r w:rsidR="003F69D8" w:rsidRPr="00AA5DB8">
        <w:rPr>
          <w:noProof/>
        </w:rPr>
        <w:t xml:space="preserve"> </w:t>
      </w:r>
      <w:r w:rsidR="000C333F" w:rsidRPr="00AA5DB8">
        <w:rPr>
          <w:noProof/>
        </w:rPr>
        <w:t>when they constitute a lack of conformity under</w:t>
      </w:r>
      <w:r w:rsidR="003F69D8" w:rsidRPr="00AA5DB8">
        <w:rPr>
          <w:noProof/>
        </w:rPr>
        <w:t xml:space="preserve"> Directive (EU) 2019/771 of the European Parliament and of the Council</w:t>
      </w:r>
      <w:r w:rsidR="003F69D8" w:rsidRPr="00AA5DB8">
        <w:rPr>
          <w:rStyle w:val="FootnoteReference0"/>
          <w:noProof/>
        </w:rPr>
        <w:footnoteReference w:id="27"/>
      </w:r>
      <w:r w:rsidR="003F69D8" w:rsidRPr="00AA5DB8">
        <w:rPr>
          <w:noProof/>
        </w:rPr>
        <w:t xml:space="preserve">. For </w:t>
      </w:r>
      <w:r w:rsidR="00BE5D98">
        <w:rPr>
          <w:noProof/>
        </w:rPr>
        <w:t xml:space="preserve">such </w:t>
      </w:r>
      <w:r w:rsidR="00897503" w:rsidRPr="00897503">
        <w:rPr>
          <w:noProof/>
        </w:rPr>
        <w:t>a commercial practice to be considered unfair</w:t>
      </w:r>
      <w:r w:rsidR="003F69D8" w:rsidRPr="00AA5DB8">
        <w:rPr>
          <w:noProof/>
        </w:rPr>
        <w:t>, i</w:t>
      </w:r>
      <w:r w:rsidR="00262B8C" w:rsidRPr="00AA5DB8">
        <w:rPr>
          <w:noProof/>
        </w:rPr>
        <w:t>t should not be necessary to demonstrate that the purpose of the feature is to stimulate the replacement of the respective good.</w:t>
      </w:r>
      <w:r w:rsidR="003C1C98" w:rsidRPr="00AA5DB8">
        <w:rPr>
          <w:noProof/>
        </w:rPr>
        <w:t xml:space="preserve"> </w:t>
      </w:r>
      <w:r w:rsidR="00262B8C" w:rsidRPr="00AA5DB8">
        <w:rPr>
          <w:noProof/>
        </w:rPr>
        <w:t xml:space="preserve">The </w:t>
      </w:r>
      <w:r w:rsidR="000C333F" w:rsidRPr="00AA5DB8">
        <w:rPr>
          <w:noProof/>
        </w:rPr>
        <w:t>use of features limiting the durability of the goods should be distinguished from</w:t>
      </w:r>
      <w:r w:rsidR="00262B8C" w:rsidRPr="00AA5DB8">
        <w:rPr>
          <w:noProof/>
        </w:rPr>
        <w:t xml:space="preserve"> manufacturing practices using materials or processes of </w:t>
      </w:r>
      <w:r w:rsidR="003F69D8" w:rsidRPr="00AA5DB8">
        <w:rPr>
          <w:noProof/>
        </w:rPr>
        <w:t xml:space="preserve">general </w:t>
      </w:r>
      <w:r w:rsidR="00262B8C" w:rsidRPr="00AA5DB8">
        <w:rPr>
          <w:noProof/>
        </w:rPr>
        <w:t>low quality resulting in limited durability</w:t>
      </w:r>
      <w:r w:rsidR="003F69D8" w:rsidRPr="00AA5DB8">
        <w:rPr>
          <w:noProof/>
        </w:rPr>
        <w:t xml:space="preserve"> of the goods</w:t>
      </w:r>
      <w:r w:rsidR="00262B8C" w:rsidRPr="00AA5DB8">
        <w:rPr>
          <w:noProof/>
        </w:rPr>
        <w:t xml:space="preserve">. </w:t>
      </w:r>
      <w:r w:rsidR="003F69D8" w:rsidRPr="00AA5DB8">
        <w:rPr>
          <w:noProof/>
        </w:rPr>
        <w:t>L</w:t>
      </w:r>
      <w:r w:rsidR="00262B8C" w:rsidRPr="00AA5DB8">
        <w:rPr>
          <w:noProof/>
        </w:rPr>
        <w:t>ack of conformity of a good result</w:t>
      </w:r>
      <w:r w:rsidR="003F69D8" w:rsidRPr="00AA5DB8">
        <w:rPr>
          <w:noProof/>
        </w:rPr>
        <w:t>ing</w:t>
      </w:r>
      <w:r w:rsidR="00262B8C" w:rsidRPr="00AA5DB8">
        <w:rPr>
          <w:noProof/>
        </w:rPr>
        <w:t xml:space="preserve"> from the use of low quality materials or processes </w:t>
      </w:r>
      <w:r w:rsidR="00554822">
        <w:rPr>
          <w:noProof/>
        </w:rPr>
        <w:t xml:space="preserve">should </w:t>
      </w:r>
      <w:r w:rsidR="00262B8C" w:rsidRPr="00AA5DB8">
        <w:rPr>
          <w:noProof/>
        </w:rPr>
        <w:t>continue to be governed by the rules on the conformity of goods set out in Directive (EU) 2019/771.</w:t>
      </w:r>
    </w:p>
    <w:p w:rsidR="008633AC" w:rsidRPr="00AA5DB8" w:rsidRDefault="00C327B1" w:rsidP="00C327B1">
      <w:pPr>
        <w:pStyle w:val="ManualConsidrant"/>
        <w:rPr>
          <w:noProof/>
        </w:rPr>
      </w:pPr>
      <w:r w:rsidRPr="00C327B1">
        <w:t>(17)</w:t>
      </w:r>
      <w:r w:rsidRPr="00C327B1">
        <w:tab/>
      </w:r>
      <w:r w:rsidR="008633AC" w:rsidRPr="00AA5DB8">
        <w:rPr>
          <w:noProof/>
        </w:rPr>
        <w:t>Another practice which should be prohibited under Annex I to Directive 2005/29/EC is the practice of c</w:t>
      </w:r>
      <w:r w:rsidR="00A15F56" w:rsidRPr="00AA5DB8">
        <w:rPr>
          <w:noProof/>
        </w:rPr>
        <w:t>laiming that a good has a certain durability when it does not.</w:t>
      </w:r>
      <w:r w:rsidR="008633AC" w:rsidRPr="00AA5DB8">
        <w:rPr>
          <w:noProof/>
        </w:rPr>
        <w:t xml:space="preserve"> </w:t>
      </w:r>
      <w:r w:rsidR="00756C1C">
        <w:rPr>
          <w:noProof/>
        </w:rPr>
        <w:t>That would be the case, for instance,</w:t>
      </w:r>
      <w:r w:rsidR="00007C55" w:rsidRPr="00AA5DB8">
        <w:rPr>
          <w:noProof/>
        </w:rPr>
        <w:t xml:space="preserve"> when a trader informs</w:t>
      </w:r>
      <w:r w:rsidR="004F525A" w:rsidRPr="00AA5DB8">
        <w:rPr>
          <w:noProof/>
        </w:rPr>
        <w:t xml:space="preserve"> consumer</w:t>
      </w:r>
      <w:r w:rsidR="00A86195" w:rsidRPr="00AA5DB8">
        <w:rPr>
          <w:noProof/>
        </w:rPr>
        <w:t>s</w:t>
      </w:r>
      <w:r w:rsidR="00007C55" w:rsidRPr="00AA5DB8">
        <w:rPr>
          <w:noProof/>
        </w:rPr>
        <w:t xml:space="preserve"> that a washing machine </w:t>
      </w:r>
      <w:r w:rsidR="00A86195" w:rsidRPr="00AA5DB8">
        <w:rPr>
          <w:noProof/>
        </w:rPr>
        <w:t xml:space="preserve">is </w:t>
      </w:r>
      <w:r w:rsidR="004F525A" w:rsidRPr="00AA5DB8">
        <w:rPr>
          <w:noProof/>
        </w:rPr>
        <w:t xml:space="preserve">expected to last a </w:t>
      </w:r>
      <w:r w:rsidR="00816C1E" w:rsidRPr="00AA5DB8">
        <w:rPr>
          <w:noProof/>
        </w:rPr>
        <w:t xml:space="preserve">certain </w:t>
      </w:r>
      <w:r w:rsidR="004F525A" w:rsidRPr="00AA5DB8">
        <w:rPr>
          <w:noProof/>
        </w:rPr>
        <w:t>number of washing cycles</w:t>
      </w:r>
      <w:r w:rsidR="00816C1E" w:rsidRPr="00AA5DB8">
        <w:rPr>
          <w:noProof/>
        </w:rPr>
        <w:t xml:space="preserve">, while the actual use of washing machine </w:t>
      </w:r>
      <w:r w:rsidR="00236A4D" w:rsidRPr="00AA5DB8">
        <w:rPr>
          <w:noProof/>
        </w:rPr>
        <w:t xml:space="preserve">shows this is not </w:t>
      </w:r>
      <w:r w:rsidR="00816C1E" w:rsidRPr="00AA5DB8">
        <w:rPr>
          <w:noProof/>
        </w:rPr>
        <w:t>the case</w:t>
      </w:r>
      <w:r w:rsidR="004F525A" w:rsidRPr="00AA5DB8">
        <w:rPr>
          <w:noProof/>
        </w:rPr>
        <w:t xml:space="preserve">. </w:t>
      </w:r>
    </w:p>
    <w:p w:rsidR="00BB3825" w:rsidRDefault="00C327B1" w:rsidP="00C327B1">
      <w:pPr>
        <w:pStyle w:val="ManualConsidrant"/>
        <w:rPr>
          <w:noProof/>
        </w:rPr>
      </w:pPr>
      <w:r w:rsidRPr="00C327B1">
        <w:t>(18)</w:t>
      </w:r>
      <w:r w:rsidRPr="00C327B1">
        <w:tab/>
      </w:r>
      <w:r w:rsidR="004F525A" w:rsidRPr="00AA5DB8">
        <w:rPr>
          <w:noProof/>
        </w:rPr>
        <w:t xml:space="preserve">Similarly, </w:t>
      </w:r>
      <w:r w:rsidR="00AD6D79" w:rsidRPr="00AA5DB8">
        <w:rPr>
          <w:noProof/>
        </w:rPr>
        <w:t>Annex I</w:t>
      </w:r>
      <w:r w:rsidR="00AD6D79" w:rsidRPr="00AA5DB8" w:rsidDel="00A21295">
        <w:rPr>
          <w:noProof/>
        </w:rPr>
        <w:t xml:space="preserve"> </w:t>
      </w:r>
      <w:r w:rsidR="00A21295" w:rsidRPr="00AA5DB8">
        <w:rPr>
          <w:noProof/>
        </w:rPr>
        <w:t>to</w:t>
      </w:r>
      <w:r w:rsidR="00AD6D79" w:rsidRPr="00AA5DB8">
        <w:rPr>
          <w:noProof/>
        </w:rPr>
        <w:t xml:space="preserve"> Directive 2005/29/EC should also be amended to prohibit</w:t>
      </w:r>
      <w:r w:rsidR="00BB7703" w:rsidRPr="00AA5DB8">
        <w:rPr>
          <w:noProof/>
        </w:rPr>
        <w:t xml:space="preserve"> p</w:t>
      </w:r>
      <w:r w:rsidR="006665AB" w:rsidRPr="00AA5DB8">
        <w:rPr>
          <w:noProof/>
        </w:rPr>
        <w:t xml:space="preserve">resenting products as allowing repair when </w:t>
      </w:r>
      <w:r w:rsidR="00B447D4">
        <w:rPr>
          <w:noProof/>
        </w:rPr>
        <w:t>such repair is not possible</w:t>
      </w:r>
      <w:r w:rsidR="00756C1C">
        <w:rPr>
          <w:noProof/>
        </w:rPr>
        <w:t>,</w:t>
      </w:r>
      <w:r w:rsidR="006877CA" w:rsidRPr="00AA5DB8">
        <w:rPr>
          <w:noProof/>
        </w:rPr>
        <w:t xml:space="preserve"> as well as omitting to inform consumers that </w:t>
      </w:r>
      <w:r w:rsidR="000C0D45">
        <w:rPr>
          <w:noProof/>
        </w:rPr>
        <w:t xml:space="preserve">it is not possible to repair </w:t>
      </w:r>
      <w:r w:rsidR="006877CA" w:rsidRPr="00AA5DB8">
        <w:rPr>
          <w:noProof/>
        </w:rPr>
        <w:t>goods</w:t>
      </w:r>
      <w:r w:rsidR="008633AC" w:rsidRPr="00AA5DB8">
        <w:rPr>
          <w:noProof/>
        </w:rPr>
        <w:t xml:space="preserve"> in accordance with legal requirements. </w:t>
      </w:r>
    </w:p>
    <w:p w:rsidR="00BB3825" w:rsidRDefault="00C327B1" w:rsidP="00C327B1">
      <w:pPr>
        <w:pStyle w:val="ManualConsidrant"/>
        <w:rPr>
          <w:noProof/>
        </w:rPr>
      </w:pPr>
      <w:r w:rsidRPr="00C327B1">
        <w:t>(19)</w:t>
      </w:r>
      <w:r w:rsidRPr="00C327B1">
        <w:tab/>
      </w:r>
      <w:r w:rsidR="00BB3825" w:rsidRPr="00733B78">
        <w:rPr>
          <w:noProof/>
        </w:rPr>
        <w:t xml:space="preserve">The prohibition of </w:t>
      </w:r>
      <w:r w:rsidR="00F07C82">
        <w:rPr>
          <w:noProof/>
        </w:rPr>
        <w:t>th</w:t>
      </w:r>
      <w:r w:rsidR="00BE5D98">
        <w:rPr>
          <w:noProof/>
        </w:rPr>
        <w:t>o</w:t>
      </w:r>
      <w:r w:rsidR="00F07C82">
        <w:rPr>
          <w:noProof/>
        </w:rPr>
        <w:t>se</w:t>
      </w:r>
      <w:r w:rsidR="00BB3825" w:rsidRPr="00733B78">
        <w:rPr>
          <w:noProof/>
        </w:rPr>
        <w:t xml:space="preserve"> practices in relation to durability and reparability in Directive 2005/29/EC </w:t>
      </w:r>
      <w:r w:rsidR="00215D82" w:rsidRPr="00733B78">
        <w:rPr>
          <w:noProof/>
        </w:rPr>
        <w:t>w</w:t>
      </w:r>
      <w:r w:rsidR="00215D82">
        <w:rPr>
          <w:noProof/>
        </w:rPr>
        <w:t>ould</w:t>
      </w:r>
      <w:r w:rsidR="00215D82" w:rsidRPr="00733B78">
        <w:rPr>
          <w:noProof/>
        </w:rPr>
        <w:t xml:space="preserve"> </w:t>
      </w:r>
      <w:r w:rsidR="00BB3825" w:rsidRPr="00733B78">
        <w:rPr>
          <w:noProof/>
        </w:rPr>
        <w:t xml:space="preserve">provide the consumer protection authorities </w:t>
      </w:r>
      <w:r w:rsidR="00215D82">
        <w:rPr>
          <w:noProof/>
        </w:rPr>
        <w:t xml:space="preserve">of Member States </w:t>
      </w:r>
      <w:r w:rsidR="00BB3825" w:rsidRPr="00733B78">
        <w:rPr>
          <w:noProof/>
        </w:rPr>
        <w:t xml:space="preserve">with an additional enforcement </w:t>
      </w:r>
      <w:r w:rsidR="00756C1C">
        <w:rPr>
          <w:noProof/>
        </w:rPr>
        <w:t>tool</w:t>
      </w:r>
      <w:r w:rsidR="00BB3825" w:rsidRPr="00733B78">
        <w:rPr>
          <w:noProof/>
        </w:rPr>
        <w:t xml:space="preserve"> for better protection of consumers’ interests in the cases where traders fail to comply with requirements on the durability and reparability of goods under U</w:t>
      </w:r>
      <w:r w:rsidR="005A5D2E">
        <w:rPr>
          <w:noProof/>
        </w:rPr>
        <w:t>nion</w:t>
      </w:r>
      <w:r w:rsidR="00BB3825" w:rsidRPr="00733B78">
        <w:rPr>
          <w:noProof/>
        </w:rPr>
        <w:t xml:space="preserve"> product legislation.</w:t>
      </w:r>
    </w:p>
    <w:p w:rsidR="006F68BD" w:rsidRPr="00AA5DB8" w:rsidRDefault="00C327B1" w:rsidP="00C327B1">
      <w:pPr>
        <w:pStyle w:val="ManualConsidrant"/>
        <w:rPr>
          <w:noProof/>
        </w:rPr>
      </w:pPr>
      <w:r w:rsidRPr="00C327B1">
        <w:t>(20)</w:t>
      </w:r>
      <w:r w:rsidRPr="00C327B1">
        <w:tab/>
      </w:r>
      <w:r w:rsidR="005249FD" w:rsidRPr="00AA5DB8">
        <w:rPr>
          <w:noProof/>
        </w:rPr>
        <w:t xml:space="preserve">Another practice associated with early obsolescence which should be prohibited </w:t>
      </w:r>
      <w:r w:rsidR="00554822">
        <w:rPr>
          <w:noProof/>
        </w:rPr>
        <w:t xml:space="preserve">and </w:t>
      </w:r>
      <w:r w:rsidR="00554822" w:rsidRPr="007674B3">
        <w:rPr>
          <w:noProof/>
        </w:rPr>
        <w:t xml:space="preserve">added </w:t>
      </w:r>
      <w:r w:rsidR="007670DE">
        <w:rPr>
          <w:noProof/>
        </w:rPr>
        <w:t xml:space="preserve">to </w:t>
      </w:r>
      <w:r w:rsidR="007670DE" w:rsidRPr="00A827A4">
        <w:rPr>
          <w:noProof/>
        </w:rPr>
        <w:t xml:space="preserve">the list </w:t>
      </w:r>
      <w:r w:rsidR="00554822" w:rsidRPr="007674B3">
        <w:rPr>
          <w:noProof/>
        </w:rPr>
        <w:t>in</w:t>
      </w:r>
      <w:r w:rsidR="005249FD" w:rsidRPr="00AA5DB8">
        <w:rPr>
          <w:noProof/>
        </w:rPr>
        <w:t xml:space="preserve"> Annex I </w:t>
      </w:r>
      <w:r w:rsidR="00A21295" w:rsidRPr="00AA5DB8">
        <w:rPr>
          <w:noProof/>
        </w:rPr>
        <w:t xml:space="preserve">to </w:t>
      </w:r>
      <w:r w:rsidR="005249FD" w:rsidRPr="00AA5DB8">
        <w:rPr>
          <w:noProof/>
        </w:rPr>
        <w:t>Directive 2005/29/EC is</w:t>
      </w:r>
      <w:r w:rsidR="00CB4396" w:rsidRPr="00AA5DB8">
        <w:rPr>
          <w:noProof/>
        </w:rPr>
        <w:t xml:space="preserve"> </w:t>
      </w:r>
      <w:r w:rsidR="00BB7703" w:rsidRPr="00AA5DB8">
        <w:rPr>
          <w:noProof/>
        </w:rPr>
        <w:t>i</w:t>
      </w:r>
      <w:r w:rsidR="006665AB" w:rsidRPr="00AA5DB8">
        <w:rPr>
          <w:noProof/>
        </w:rPr>
        <w:t xml:space="preserve">nducing the consumer into replacing the consumables of a product earlier than </w:t>
      </w:r>
      <w:r w:rsidR="0044248D">
        <w:rPr>
          <w:noProof/>
        </w:rPr>
        <w:t xml:space="preserve">would otherwise be </w:t>
      </w:r>
      <w:r w:rsidR="05FA3A5D" w:rsidRPr="00AA5DB8">
        <w:rPr>
          <w:noProof/>
        </w:rPr>
        <w:t xml:space="preserve">necessary </w:t>
      </w:r>
      <w:r w:rsidR="006665AB" w:rsidRPr="00AA5DB8">
        <w:rPr>
          <w:noProof/>
        </w:rPr>
        <w:t xml:space="preserve">for technical </w:t>
      </w:r>
      <w:r w:rsidR="566792F1">
        <w:rPr>
          <w:noProof/>
        </w:rPr>
        <w:t>reasons</w:t>
      </w:r>
      <w:r w:rsidR="006665AB" w:rsidRPr="00AA5DB8">
        <w:rPr>
          <w:noProof/>
        </w:rPr>
        <w:t>.</w:t>
      </w:r>
      <w:r w:rsidR="0096667A" w:rsidRPr="00AA5DB8">
        <w:rPr>
          <w:noProof/>
        </w:rPr>
        <w:t xml:space="preserve"> </w:t>
      </w:r>
      <w:r w:rsidR="00B8794C" w:rsidRPr="00AA5DB8">
        <w:rPr>
          <w:noProof/>
        </w:rPr>
        <w:t xml:space="preserve">Such </w:t>
      </w:r>
      <w:r w:rsidR="00BC4C28" w:rsidRPr="00AA5DB8">
        <w:rPr>
          <w:noProof/>
        </w:rPr>
        <w:t>practice</w:t>
      </w:r>
      <w:r w:rsidR="00B8794C" w:rsidRPr="00AA5DB8">
        <w:rPr>
          <w:noProof/>
        </w:rPr>
        <w:t>s</w:t>
      </w:r>
      <w:r w:rsidR="005516D2" w:rsidRPr="00AA5DB8">
        <w:rPr>
          <w:noProof/>
        </w:rPr>
        <w:t xml:space="preserve"> </w:t>
      </w:r>
      <w:r w:rsidR="005D61AA" w:rsidRPr="00AA5DB8">
        <w:rPr>
          <w:noProof/>
        </w:rPr>
        <w:t xml:space="preserve">mislead the consumer into believing that </w:t>
      </w:r>
      <w:r w:rsidR="000B58C8" w:rsidRPr="00AA5DB8">
        <w:rPr>
          <w:noProof/>
        </w:rPr>
        <w:t xml:space="preserve">the </w:t>
      </w:r>
      <w:r w:rsidR="005D61AA" w:rsidRPr="00AA5DB8">
        <w:rPr>
          <w:noProof/>
        </w:rPr>
        <w:t>good</w:t>
      </w:r>
      <w:r w:rsidR="00B8794C" w:rsidRPr="00AA5DB8">
        <w:rPr>
          <w:noProof/>
        </w:rPr>
        <w:t>s</w:t>
      </w:r>
      <w:r w:rsidR="005D61AA" w:rsidRPr="00AA5DB8">
        <w:rPr>
          <w:noProof/>
        </w:rPr>
        <w:t xml:space="preserve"> will no longer function unless the</w:t>
      </w:r>
      <w:r w:rsidR="00B8794C" w:rsidRPr="00AA5DB8">
        <w:rPr>
          <w:noProof/>
        </w:rPr>
        <w:t>ir</w:t>
      </w:r>
      <w:r w:rsidR="005D61AA" w:rsidRPr="00AA5DB8">
        <w:rPr>
          <w:noProof/>
        </w:rPr>
        <w:t xml:space="preserve"> consumables are replaced</w:t>
      </w:r>
      <w:r w:rsidR="001F6E2A">
        <w:rPr>
          <w:noProof/>
        </w:rPr>
        <w:t>, thus leading them to purchase more consumables than necessary</w:t>
      </w:r>
      <w:r w:rsidR="00D26B96" w:rsidRPr="00AA5DB8">
        <w:rPr>
          <w:noProof/>
        </w:rPr>
        <w:t>.</w:t>
      </w:r>
      <w:r w:rsidR="0036215B" w:rsidRPr="00AA5DB8">
        <w:rPr>
          <w:noProof/>
        </w:rPr>
        <w:t xml:space="preserve"> </w:t>
      </w:r>
      <w:r w:rsidR="005516D2" w:rsidRPr="00AA5DB8">
        <w:rPr>
          <w:noProof/>
        </w:rPr>
        <w:t xml:space="preserve">For example, </w:t>
      </w:r>
      <w:r w:rsidR="00BC05F9" w:rsidRPr="00AA5DB8">
        <w:rPr>
          <w:noProof/>
        </w:rPr>
        <w:t xml:space="preserve">the practice of </w:t>
      </w:r>
      <w:r w:rsidR="00B8794C" w:rsidRPr="00AA5DB8">
        <w:rPr>
          <w:noProof/>
        </w:rPr>
        <w:t>urg</w:t>
      </w:r>
      <w:r w:rsidR="00BC05F9" w:rsidRPr="00AA5DB8">
        <w:rPr>
          <w:noProof/>
        </w:rPr>
        <w:t>ing</w:t>
      </w:r>
      <w:r w:rsidR="00B8794C" w:rsidRPr="00AA5DB8">
        <w:rPr>
          <w:noProof/>
        </w:rPr>
        <w:t xml:space="preserve"> the consumer</w:t>
      </w:r>
      <w:r w:rsidR="00BC05F9" w:rsidRPr="00AA5DB8">
        <w:rPr>
          <w:noProof/>
        </w:rPr>
        <w:t>, via the settings of the printer,</w:t>
      </w:r>
      <w:r w:rsidR="00B8794C" w:rsidRPr="00AA5DB8">
        <w:rPr>
          <w:noProof/>
        </w:rPr>
        <w:t xml:space="preserve"> to replace the</w:t>
      </w:r>
      <w:r w:rsidR="00BC05F9" w:rsidRPr="00AA5DB8">
        <w:rPr>
          <w:noProof/>
        </w:rPr>
        <w:t xml:space="preserve"> printer</w:t>
      </w:r>
      <w:r w:rsidR="005516D2" w:rsidRPr="00AA5DB8">
        <w:rPr>
          <w:noProof/>
        </w:rPr>
        <w:t xml:space="preserve"> ink cartridge</w:t>
      </w:r>
      <w:r w:rsidR="00B8794C" w:rsidRPr="00AA5DB8">
        <w:rPr>
          <w:noProof/>
        </w:rPr>
        <w:t>s</w:t>
      </w:r>
      <w:r w:rsidR="005516D2" w:rsidRPr="00AA5DB8">
        <w:rPr>
          <w:noProof/>
        </w:rPr>
        <w:t xml:space="preserve"> </w:t>
      </w:r>
      <w:r w:rsidR="00B8794C" w:rsidRPr="00AA5DB8">
        <w:rPr>
          <w:noProof/>
        </w:rPr>
        <w:t>before they are actually</w:t>
      </w:r>
      <w:r w:rsidR="005516D2" w:rsidRPr="00AA5DB8">
        <w:rPr>
          <w:noProof/>
        </w:rPr>
        <w:t xml:space="preserve"> empty</w:t>
      </w:r>
      <w:r w:rsidR="00AB34C7" w:rsidRPr="00AA5DB8">
        <w:rPr>
          <w:noProof/>
        </w:rPr>
        <w:t xml:space="preserve"> </w:t>
      </w:r>
      <w:r w:rsidR="00B8794C" w:rsidRPr="00AA5DB8">
        <w:rPr>
          <w:noProof/>
        </w:rPr>
        <w:t xml:space="preserve">in order </w:t>
      </w:r>
      <w:r w:rsidR="007C5112" w:rsidRPr="00AA5DB8">
        <w:rPr>
          <w:noProof/>
        </w:rPr>
        <w:t>to</w:t>
      </w:r>
      <w:r w:rsidR="00AB34C7" w:rsidRPr="00AA5DB8">
        <w:rPr>
          <w:noProof/>
        </w:rPr>
        <w:t xml:space="preserve"> stimulate the purchase of additional ink cartridges</w:t>
      </w:r>
      <w:r w:rsidR="00BB7703" w:rsidRPr="00AA5DB8">
        <w:rPr>
          <w:noProof/>
        </w:rPr>
        <w:t xml:space="preserve"> would be prohibited.</w:t>
      </w:r>
      <w:r w:rsidR="00C60876" w:rsidRPr="00AA5DB8">
        <w:rPr>
          <w:noProof/>
        </w:rPr>
        <w:t xml:space="preserve"> </w:t>
      </w:r>
    </w:p>
    <w:p w:rsidR="009D4A9E" w:rsidRPr="00AA5DB8" w:rsidRDefault="00C327B1" w:rsidP="00C327B1">
      <w:pPr>
        <w:pStyle w:val="ManualConsidrant"/>
        <w:rPr>
          <w:noProof/>
        </w:rPr>
      </w:pPr>
      <w:r w:rsidRPr="00C327B1">
        <w:t>(21)</w:t>
      </w:r>
      <w:r w:rsidRPr="00C327B1">
        <w:tab/>
      </w:r>
      <w:r w:rsidR="00BB7703" w:rsidRPr="00AA5DB8">
        <w:rPr>
          <w:noProof/>
        </w:rPr>
        <w:t>Annex I</w:t>
      </w:r>
      <w:r w:rsidR="00BB7703" w:rsidRPr="00AA5DB8" w:rsidDel="00A21295">
        <w:rPr>
          <w:noProof/>
        </w:rPr>
        <w:t xml:space="preserve"> </w:t>
      </w:r>
      <w:r w:rsidR="00BB7703" w:rsidRPr="00AA5DB8">
        <w:rPr>
          <w:noProof/>
        </w:rPr>
        <w:t>to Directive 2005/29/EC should also be amended to prohibit o</w:t>
      </w:r>
      <w:r w:rsidR="006665AB" w:rsidRPr="00AA5DB8">
        <w:rPr>
          <w:noProof/>
        </w:rPr>
        <w:t xml:space="preserve">mitting to inform </w:t>
      </w:r>
      <w:r w:rsidR="003945A1" w:rsidRPr="00AA5DB8">
        <w:rPr>
          <w:noProof/>
        </w:rPr>
        <w:t xml:space="preserve">the consumer </w:t>
      </w:r>
      <w:r w:rsidR="006665AB" w:rsidRPr="00AA5DB8">
        <w:rPr>
          <w:noProof/>
        </w:rPr>
        <w:t xml:space="preserve">that </w:t>
      </w:r>
      <w:r w:rsidR="00C43EE4" w:rsidRPr="00AA5DB8">
        <w:rPr>
          <w:noProof/>
        </w:rPr>
        <w:t>the good is designed to limit its functionality when using consumables</w:t>
      </w:r>
      <w:r w:rsidR="00FF1558" w:rsidRPr="00AA5DB8">
        <w:rPr>
          <w:noProof/>
        </w:rPr>
        <w:t>, spare parts</w:t>
      </w:r>
      <w:r w:rsidR="00C43EE4" w:rsidRPr="00AA5DB8">
        <w:rPr>
          <w:noProof/>
        </w:rPr>
        <w:t xml:space="preserve"> or </w:t>
      </w:r>
      <w:r w:rsidR="00FF1558" w:rsidRPr="00AA5DB8">
        <w:rPr>
          <w:noProof/>
        </w:rPr>
        <w:t>accessories</w:t>
      </w:r>
      <w:r w:rsidR="00C43EE4" w:rsidRPr="00AA5DB8">
        <w:rPr>
          <w:noProof/>
        </w:rPr>
        <w:t> that are not provided by the original producer.</w:t>
      </w:r>
      <w:r w:rsidR="00BB7703" w:rsidRPr="00AA5DB8" w:rsidDel="00C43EE4">
        <w:rPr>
          <w:noProof/>
        </w:rPr>
        <w:t xml:space="preserve"> </w:t>
      </w:r>
      <w:r w:rsidR="00BB7703" w:rsidRPr="00AA5DB8">
        <w:rPr>
          <w:noProof/>
        </w:rPr>
        <w:t xml:space="preserve">For example, </w:t>
      </w:r>
      <w:r w:rsidR="003945A1" w:rsidRPr="00AA5DB8">
        <w:rPr>
          <w:noProof/>
        </w:rPr>
        <w:t xml:space="preserve">the marketing of </w:t>
      </w:r>
      <w:r w:rsidR="00BB7703" w:rsidRPr="00AA5DB8">
        <w:rPr>
          <w:noProof/>
        </w:rPr>
        <w:t>printer</w:t>
      </w:r>
      <w:r w:rsidR="003945A1" w:rsidRPr="00AA5DB8">
        <w:rPr>
          <w:noProof/>
        </w:rPr>
        <w:t>s</w:t>
      </w:r>
      <w:r w:rsidR="00BB7703" w:rsidRPr="00AA5DB8">
        <w:rPr>
          <w:noProof/>
        </w:rPr>
        <w:t xml:space="preserve"> </w:t>
      </w:r>
      <w:r w:rsidR="00C43EE4" w:rsidRPr="00AA5DB8">
        <w:rPr>
          <w:noProof/>
        </w:rPr>
        <w:t xml:space="preserve">that are designed to limit </w:t>
      </w:r>
      <w:r w:rsidR="003C08D4" w:rsidRPr="00AA5DB8">
        <w:rPr>
          <w:noProof/>
        </w:rPr>
        <w:t>their</w:t>
      </w:r>
      <w:r w:rsidR="00FF1558" w:rsidRPr="00AA5DB8" w:rsidDel="003C08D4">
        <w:rPr>
          <w:noProof/>
        </w:rPr>
        <w:t xml:space="preserve"> </w:t>
      </w:r>
      <w:r w:rsidR="00FF1558" w:rsidRPr="00AA5DB8">
        <w:rPr>
          <w:noProof/>
        </w:rPr>
        <w:t>functionality</w:t>
      </w:r>
      <w:r w:rsidR="00C43EE4" w:rsidRPr="00AA5DB8">
        <w:rPr>
          <w:noProof/>
        </w:rPr>
        <w:t xml:space="preserve"> when using </w:t>
      </w:r>
      <w:r w:rsidR="00BB7703" w:rsidRPr="00AA5DB8">
        <w:rPr>
          <w:noProof/>
        </w:rPr>
        <w:t xml:space="preserve">ink cartridges </w:t>
      </w:r>
      <w:r w:rsidR="003C08D4" w:rsidRPr="00AA5DB8">
        <w:rPr>
          <w:noProof/>
        </w:rPr>
        <w:t xml:space="preserve">not </w:t>
      </w:r>
      <w:r w:rsidR="00BB7703" w:rsidRPr="00AA5DB8">
        <w:rPr>
          <w:noProof/>
        </w:rPr>
        <w:t xml:space="preserve">provided by </w:t>
      </w:r>
      <w:r w:rsidR="003C08D4" w:rsidRPr="00AA5DB8">
        <w:rPr>
          <w:noProof/>
        </w:rPr>
        <w:t>the</w:t>
      </w:r>
      <w:r w:rsidR="00BB7703" w:rsidRPr="00AA5DB8">
        <w:rPr>
          <w:noProof/>
        </w:rPr>
        <w:t xml:space="preserve"> original producer</w:t>
      </w:r>
      <w:r w:rsidR="003C08D4" w:rsidRPr="00AA5DB8">
        <w:rPr>
          <w:noProof/>
        </w:rPr>
        <w:t xml:space="preserve"> of the printer</w:t>
      </w:r>
      <w:r w:rsidR="00C43EE4" w:rsidRPr="00AA5DB8">
        <w:rPr>
          <w:noProof/>
        </w:rPr>
        <w:t xml:space="preserve"> </w:t>
      </w:r>
      <w:r w:rsidR="00BB7703" w:rsidRPr="00AA5DB8">
        <w:rPr>
          <w:noProof/>
        </w:rPr>
        <w:t>without disclosing this information to the consumer would be prohibited. Th</w:t>
      </w:r>
      <w:r w:rsidR="00C037B2">
        <w:rPr>
          <w:noProof/>
        </w:rPr>
        <w:t>is</w:t>
      </w:r>
      <w:r w:rsidR="00BB7703" w:rsidRPr="00AA5DB8">
        <w:rPr>
          <w:noProof/>
        </w:rPr>
        <w:t xml:space="preserve"> practice could mislead consumers into purchasing an alternative ink cartridge</w:t>
      </w:r>
      <w:r w:rsidR="00544240" w:rsidRPr="00AA5DB8">
        <w:rPr>
          <w:noProof/>
        </w:rPr>
        <w:t xml:space="preserve"> </w:t>
      </w:r>
      <w:r w:rsidR="00BB7703" w:rsidRPr="00AA5DB8">
        <w:rPr>
          <w:noProof/>
        </w:rPr>
        <w:t xml:space="preserve">which cannot be used for that printer, thus leading to unnecessary </w:t>
      </w:r>
      <w:r w:rsidR="00D10EDE">
        <w:rPr>
          <w:noProof/>
        </w:rPr>
        <w:t>repair costs</w:t>
      </w:r>
      <w:r w:rsidR="00691F1C">
        <w:rPr>
          <w:noProof/>
        </w:rPr>
        <w:t xml:space="preserve">, </w:t>
      </w:r>
      <w:r w:rsidR="00BB7703" w:rsidRPr="00AA5DB8">
        <w:rPr>
          <w:noProof/>
        </w:rPr>
        <w:t xml:space="preserve">waste streams </w:t>
      </w:r>
      <w:r w:rsidR="00691F1C">
        <w:rPr>
          <w:noProof/>
        </w:rPr>
        <w:t xml:space="preserve">or </w:t>
      </w:r>
      <w:r w:rsidR="00BB7703" w:rsidRPr="00AA5DB8">
        <w:rPr>
          <w:noProof/>
        </w:rPr>
        <w:t xml:space="preserve">additional costs </w:t>
      </w:r>
      <w:r w:rsidR="003945A1" w:rsidRPr="00AA5DB8">
        <w:rPr>
          <w:noProof/>
        </w:rPr>
        <w:t>due to the obligation to use the original producer’s consumables</w:t>
      </w:r>
      <w:r w:rsidR="003945A1" w:rsidRPr="00AA5DB8" w:rsidDel="00C43EE4">
        <w:rPr>
          <w:noProof/>
        </w:rPr>
        <w:t xml:space="preserve"> </w:t>
      </w:r>
      <w:r w:rsidR="00BB7703" w:rsidRPr="00AA5DB8">
        <w:rPr>
          <w:noProof/>
        </w:rPr>
        <w:t>which the consumer could not foresee at the time of purchase.</w:t>
      </w:r>
      <w:r w:rsidR="003C08D4" w:rsidRPr="00AA5DB8">
        <w:rPr>
          <w:noProof/>
        </w:rPr>
        <w:t xml:space="preserve"> </w:t>
      </w:r>
      <w:r w:rsidR="00667431" w:rsidRPr="00AA5DB8">
        <w:rPr>
          <w:noProof/>
        </w:rPr>
        <w:t>Similarly,</w:t>
      </w:r>
      <w:r w:rsidR="003C08D4" w:rsidRPr="00AA5DB8">
        <w:rPr>
          <w:noProof/>
        </w:rPr>
        <w:t xml:space="preserve"> marketing</w:t>
      </w:r>
      <w:r w:rsidR="00667431" w:rsidRPr="00AA5DB8">
        <w:rPr>
          <w:noProof/>
        </w:rPr>
        <w:t xml:space="preserve"> </w:t>
      </w:r>
      <w:r w:rsidR="00BC05F9" w:rsidRPr="00AA5DB8">
        <w:rPr>
          <w:noProof/>
        </w:rPr>
        <w:t>smart devices</w:t>
      </w:r>
      <w:r w:rsidR="00C43EE4" w:rsidRPr="00AA5DB8">
        <w:rPr>
          <w:noProof/>
        </w:rPr>
        <w:t xml:space="preserve"> </w:t>
      </w:r>
      <w:r w:rsidR="001206B1" w:rsidRPr="00AA5DB8">
        <w:rPr>
          <w:noProof/>
        </w:rPr>
        <w:t xml:space="preserve">designed to limit </w:t>
      </w:r>
      <w:r w:rsidR="00BC05F9" w:rsidRPr="00AA5DB8">
        <w:rPr>
          <w:noProof/>
        </w:rPr>
        <w:t>their</w:t>
      </w:r>
      <w:r w:rsidR="001206B1" w:rsidRPr="00AA5DB8">
        <w:rPr>
          <w:noProof/>
        </w:rPr>
        <w:t xml:space="preserve"> </w:t>
      </w:r>
      <w:r w:rsidR="00931A2B" w:rsidRPr="00AA5DB8">
        <w:rPr>
          <w:noProof/>
        </w:rPr>
        <w:t xml:space="preserve">functionality when using chargers </w:t>
      </w:r>
      <w:r w:rsidR="00330F27">
        <w:rPr>
          <w:noProof/>
        </w:rPr>
        <w:t xml:space="preserve">or spare parts </w:t>
      </w:r>
      <w:r w:rsidR="00931A2B" w:rsidRPr="00AA5DB8">
        <w:rPr>
          <w:noProof/>
        </w:rPr>
        <w:t xml:space="preserve">that are not provided by the original producer </w:t>
      </w:r>
      <w:r w:rsidR="00667431" w:rsidRPr="00AA5DB8">
        <w:rPr>
          <w:noProof/>
        </w:rPr>
        <w:t xml:space="preserve">without disclosing this information to the consumer would be prohibited </w:t>
      </w:r>
      <w:r w:rsidR="00640B65" w:rsidRPr="00AA5DB8">
        <w:rPr>
          <w:noProof/>
        </w:rPr>
        <w:t>as well</w:t>
      </w:r>
      <w:r w:rsidR="00667431" w:rsidRPr="00AA5DB8" w:rsidDel="00BE0513">
        <w:rPr>
          <w:noProof/>
        </w:rPr>
        <w:t>.</w:t>
      </w:r>
      <w:r w:rsidR="005756C1" w:rsidRPr="00AA5DB8">
        <w:rPr>
          <w:noProof/>
        </w:rPr>
        <w:t xml:space="preserve"> </w:t>
      </w:r>
    </w:p>
    <w:p w:rsidR="00927957" w:rsidRDefault="00C327B1" w:rsidP="00C327B1">
      <w:pPr>
        <w:pStyle w:val="ManualConsidrant"/>
        <w:rPr>
          <w:rFonts w:eastAsia="Times New Roman"/>
          <w:noProof/>
          <w:lang w:val="en-IE"/>
        </w:rPr>
      </w:pPr>
      <w:r w:rsidRPr="00C327B1">
        <w:t>(22)</w:t>
      </w:r>
      <w:r w:rsidRPr="00C327B1">
        <w:tab/>
      </w:r>
      <w:r w:rsidR="00B96F48" w:rsidRPr="00AA5DB8">
        <w:rPr>
          <w:noProof/>
        </w:rPr>
        <w:t xml:space="preserve">In order for consumers to take </w:t>
      </w:r>
      <w:r w:rsidR="00BC05F9" w:rsidRPr="00AA5DB8">
        <w:rPr>
          <w:noProof/>
        </w:rPr>
        <w:t xml:space="preserve">better </w:t>
      </w:r>
      <w:r w:rsidR="00B96F48" w:rsidRPr="00AA5DB8">
        <w:rPr>
          <w:noProof/>
        </w:rPr>
        <w:t xml:space="preserve">informed decisions and stimulate the demand for, and the supply of, more durable goods, </w:t>
      </w:r>
      <w:r w:rsidR="003945A1" w:rsidRPr="00AA5DB8">
        <w:rPr>
          <w:noProof/>
        </w:rPr>
        <w:t>specific</w:t>
      </w:r>
      <w:r w:rsidR="00B96F48" w:rsidRPr="00AA5DB8">
        <w:rPr>
          <w:noProof/>
        </w:rPr>
        <w:t xml:space="preserve"> information about a product’s durability and reparability should be provided</w:t>
      </w:r>
      <w:r w:rsidR="003945A1" w:rsidRPr="00AA5DB8">
        <w:rPr>
          <w:noProof/>
        </w:rPr>
        <w:t xml:space="preserve"> </w:t>
      </w:r>
      <w:r w:rsidR="008370CC" w:rsidRPr="00A827A4">
        <w:rPr>
          <w:noProof/>
        </w:rPr>
        <w:t>for all type</w:t>
      </w:r>
      <w:r w:rsidR="00680DB8" w:rsidRPr="00A827A4">
        <w:rPr>
          <w:noProof/>
        </w:rPr>
        <w:t>s</w:t>
      </w:r>
      <w:r w:rsidR="008370CC" w:rsidRPr="00A827A4">
        <w:rPr>
          <w:noProof/>
        </w:rPr>
        <w:t xml:space="preserve"> of goods</w:t>
      </w:r>
      <w:r w:rsidR="008370CC">
        <w:rPr>
          <w:noProof/>
        </w:rPr>
        <w:t xml:space="preserve"> </w:t>
      </w:r>
      <w:r w:rsidR="003945A1" w:rsidRPr="00AA5DB8">
        <w:rPr>
          <w:noProof/>
        </w:rPr>
        <w:t>before concluding the contract</w:t>
      </w:r>
      <w:r w:rsidR="00B96F48" w:rsidRPr="00AA5DB8">
        <w:rPr>
          <w:noProof/>
        </w:rPr>
        <w:t>.</w:t>
      </w:r>
      <w:r w:rsidR="003945A1" w:rsidRPr="00AA5DB8">
        <w:rPr>
          <w:noProof/>
        </w:rPr>
        <w:t xml:space="preserve"> Moreover, as regards</w:t>
      </w:r>
      <w:r w:rsidR="00B96F48" w:rsidRPr="00AA5DB8">
        <w:rPr>
          <w:noProof/>
        </w:rPr>
        <w:t xml:space="preserve"> goods with digital elements, digital content and digital services, consumers should </w:t>
      </w:r>
      <w:r w:rsidR="00FC59E7" w:rsidRPr="00AA5DB8">
        <w:rPr>
          <w:noProof/>
        </w:rPr>
        <w:t>be</w:t>
      </w:r>
      <w:r w:rsidR="00B96F48" w:rsidRPr="00AA5DB8">
        <w:rPr>
          <w:noProof/>
        </w:rPr>
        <w:t xml:space="preserve"> inform</w:t>
      </w:r>
      <w:r w:rsidR="00FC59E7" w:rsidRPr="00AA5DB8">
        <w:rPr>
          <w:noProof/>
        </w:rPr>
        <w:t>ed about the</w:t>
      </w:r>
      <w:r w:rsidR="00B96F48" w:rsidRPr="00AA5DB8">
        <w:rPr>
          <w:noProof/>
        </w:rPr>
        <w:t xml:space="preserve"> </w:t>
      </w:r>
      <w:r w:rsidR="00187829">
        <w:rPr>
          <w:noProof/>
        </w:rPr>
        <w:t xml:space="preserve">period of time during which </w:t>
      </w:r>
      <w:r w:rsidR="00D3208E">
        <w:rPr>
          <w:noProof/>
        </w:rPr>
        <w:t xml:space="preserve">free </w:t>
      </w:r>
      <w:r w:rsidR="00187829">
        <w:rPr>
          <w:noProof/>
        </w:rPr>
        <w:t>software updates are available</w:t>
      </w:r>
      <w:r w:rsidR="00B96F48" w:rsidRPr="00AA5DB8">
        <w:rPr>
          <w:noProof/>
        </w:rPr>
        <w:t>. Therefore, Directive 2011/83/EU</w:t>
      </w:r>
      <w:r w:rsidR="00CA6930" w:rsidRPr="00AA5DB8">
        <w:rPr>
          <w:noProof/>
        </w:rPr>
        <w:t xml:space="preserve"> of the European Parliament and of the Council</w:t>
      </w:r>
      <w:r w:rsidR="00CA6930" w:rsidRPr="00AA5DB8">
        <w:rPr>
          <w:rStyle w:val="FootnoteReference0"/>
          <w:noProof/>
        </w:rPr>
        <w:footnoteReference w:id="28"/>
      </w:r>
      <w:r w:rsidR="00B96F48" w:rsidRPr="00AA5DB8">
        <w:rPr>
          <w:noProof/>
        </w:rPr>
        <w:t xml:space="preserve"> should be amended to provide consumers with pre-contractual information about durability, reparability</w:t>
      </w:r>
      <w:r w:rsidR="00FC59E7" w:rsidRPr="00AA5DB8">
        <w:rPr>
          <w:noProof/>
        </w:rPr>
        <w:t xml:space="preserve"> and</w:t>
      </w:r>
      <w:r w:rsidR="00B96F48" w:rsidRPr="00AA5DB8">
        <w:rPr>
          <w:noProof/>
        </w:rPr>
        <w:t xml:space="preserve"> the availability of updates</w:t>
      </w:r>
      <w:r w:rsidR="0066428A" w:rsidRPr="00AA5DB8">
        <w:rPr>
          <w:noProof/>
        </w:rPr>
        <w:t>.</w:t>
      </w:r>
      <w:r w:rsidR="0071200F">
        <w:rPr>
          <w:noProof/>
        </w:rPr>
        <w:t xml:space="preserve"> </w:t>
      </w:r>
      <w:r w:rsidR="00D55824" w:rsidRPr="001C097A">
        <w:rPr>
          <w:noProof/>
        </w:rPr>
        <w:t xml:space="preserve">Information should be provided to consumers in a clear and comprehensible manner and in line with the accessibility requirements </w:t>
      </w:r>
      <w:r w:rsidR="0071200F" w:rsidRPr="001C097A">
        <w:rPr>
          <w:noProof/>
        </w:rPr>
        <w:t>of Directive 2019/882</w:t>
      </w:r>
      <w:r w:rsidR="005671C5" w:rsidRPr="001C097A">
        <w:rPr>
          <w:rStyle w:val="FootnoteReference0"/>
          <w:noProof/>
        </w:rPr>
        <w:footnoteReference w:id="29"/>
      </w:r>
      <w:r w:rsidR="0071200F" w:rsidRPr="001C097A">
        <w:rPr>
          <w:noProof/>
        </w:rPr>
        <w:t xml:space="preserve">. </w:t>
      </w:r>
      <w:r w:rsidR="00350BCF" w:rsidRPr="001C097A">
        <w:rPr>
          <w:noProof/>
        </w:rPr>
        <w:t xml:space="preserve"> The</w:t>
      </w:r>
      <w:r w:rsidR="00350BCF" w:rsidRPr="00820CC8">
        <w:rPr>
          <w:noProof/>
        </w:rPr>
        <w:t xml:space="preserve"> obligation to </w:t>
      </w:r>
      <w:r w:rsidR="00413A7F">
        <w:rPr>
          <w:noProof/>
        </w:rPr>
        <w:t xml:space="preserve">provide this </w:t>
      </w:r>
      <w:r w:rsidR="00350BCF" w:rsidRPr="00820CC8">
        <w:rPr>
          <w:noProof/>
        </w:rPr>
        <w:t>inform</w:t>
      </w:r>
      <w:r w:rsidR="00413A7F">
        <w:rPr>
          <w:noProof/>
        </w:rPr>
        <w:t>ation to</w:t>
      </w:r>
      <w:r w:rsidR="00350BCF" w:rsidRPr="00820CC8">
        <w:rPr>
          <w:noProof/>
        </w:rPr>
        <w:t xml:space="preserve"> consumers complements and </w:t>
      </w:r>
      <w:r w:rsidR="00E20A8D" w:rsidRPr="00A827A4">
        <w:rPr>
          <w:noProof/>
        </w:rPr>
        <w:t>does not affect</w:t>
      </w:r>
      <w:r w:rsidR="00E20A8D">
        <w:rPr>
          <w:noProof/>
        </w:rPr>
        <w:t xml:space="preserve"> </w:t>
      </w:r>
      <w:r w:rsidR="00350BCF" w:rsidRPr="00820CC8">
        <w:rPr>
          <w:noProof/>
        </w:rPr>
        <w:t>the rights</w:t>
      </w:r>
      <w:r w:rsidR="00350BCF" w:rsidRPr="00F83D34">
        <w:rPr>
          <w:noProof/>
        </w:rPr>
        <w:t xml:space="preserve"> </w:t>
      </w:r>
      <w:r w:rsidR="00536886" w:rsidRPr="00F83D34">
        <w:rPr>
          <w:noProof/>
        </w:rPr>
        <w:t>of consumers</w:t>
      </w:r>
      <w:r w:rsidR="00350BCF" w:rsidRPr="00820CC8">
        <w:rPr>
          <w:noProof/>
        </w:rPr>
        <w:t xml:space="preserve"> </w:t>
      </w:r>
      <w:r w:rsidR="00413A7F">
        <w:rPr>
          <w:noProof/>
        </w:rPr>
        <w:t>provided in</w:t>
      </w:r>
      <w:r w:rsidR="00350BCF" w:rsidRPr="00F83D34">
        <w:rPr>
          <w:noProof/>
        </w:rPr>
        <w:t xml:space="preserve"> </w:t>
      </w:r>
      <w:r w:rsidR="00350BCF" w:rsidRPr="00756969">
        <w:rPr>
          <w:noProof/>
        </w:rPr>
        <w:t>Directive</w:t>
      </w:r>
      <w:r w:rsidR="007C44E4" w:rsidRPr="00A827A4">
        <w:rPr>
          <w:noProof/>
        </w:rPr>
        <w:t>s</w:t>
      </w:r>
      <w:r w:rsidR="00350BCF" w:rsidRPr="00F83D34">
        <w:rPr>
          <w:noProof/>
        </w:rPr>
        <w:t xml:space="preserve"> (EU) 2019/</w:t>
      </w:r>
      <w:r w:rsidR="00222169" w:rsidRPr="00F83D34">
        <w:rPr>
          <w:noProof/>
        </w:rPr>
        <w:t>770</w:t>
      </w:r>
      <w:r w:rsidR="00E20A8D" w:rsidRPr="007674B3">
        <w:rPr>
          <w:rStyle w:val="FootnoteReference0"/>
          <w:noProof/>
        </w:rPr>
        <w:footnoteReference w:id="30"/>
      </w:r>
      <w:r w:rsidR="00222169" w:rsidRPr="007674B3">
        <w:rPr>
          <w:noProof/>
        </w:rPr>
        <w:t xml:space="preserve"> </w:t>
      </w:r>
      <w:r w:rsidR="00222169" w:rsidRPr="00F83D34">
        <w:rPr>
          <w:noProof/>
        </w:rPr>
        <w:t xml:space="preserve">and </w:t>
      </w:r>
      <w:r w:rsidR="00350BCF" w:rsidRPr="00820CC8">
        <w:rPr>
          <w:noProof/>
        </w:rPr>
        <w:t>(EU) 2019/771</w:t>
      </w:r>
      <w:r w:rsidR="007C44E4" w:rsidRPr="00A827A4">
        <w:rPr>
          <w:rStyle w:val="FootnoteReference0"/>
          <w:noProof/>
        </w:rPr>
        <w:footnoteReference w:id="31"/>
      </w:r>
      <w:r w:rsidR="00E20A8D" w:rsidRPr="007674B3">
        <w:rPr>
          <w:noProof/>
        </w:rPr>
        <w:t xml:space="preserve"> of the European Parliament and of the Council</w:t>
      </w:r>
      <w:r w:rsidR="0042230F" w:rsidRPr="00F83D34">
        <w:rPr>
          <w:noProof/>
        </w:rPr>
        <w:t>.</w:t>
      </w:r>
      <w:r w:rsidR="0071200F">
        <w:rPr>
          <w:noProof/>
        </w:rPr>
        <w:t xml:space="preserve"> </w:t>
      </w:r>
    </w:p>
    <w:p w:rsidR="00B96F48" w:rsidRPr="00927957" w:rsidRDefault="00C327B1" w:rsidP="00C327B1">
      <w:pPr>
        <w:pStyle w:val="ManualConsidrant"/>
        <w:rPr>
          <w:rFonts w:eastAsia="Times New Roman"/>
          <w:noProof/>
          <w:lang w:val="en-IE"/>
        </w:rPr>
      </w:pPr>
      <w:r w:rsidRPr="00C327B1">
        <w:t>(23)</w:t>
      </w:r>
      <w:r w:rsidRPr="00C327B1">
        <w:tab/>
      </w:r>
      <w:r w:rsidR="00DE24CB" w:rsidRPr="00CC1D5C">
        <w:rPr>
          <w:noProof/>
        </w:rPr>
        <w:t>A</w:t>
      </w:r>
      <w:r w:rsidR="00033BC6">
        <w:rPr>
          <w:noProof/>
        </w:rPr>
        <w:t xml:space="preserve"> </w:t>
      </w:r>
      <w:r w:rsidR="00C053B6">
        <w:rPr>
          <w:noProof/>
        </w:rPr>
        <w:t>good</w:t>
      </w:r>
      <w:r w:rsidR="00F31E5E">
        <w:rPr>
          <w:noProof/>
        </w:rPr>
        <w:t xml:space="preserve"> </w:t>
      </w:r>
      <w:r w:rsidR="00B96F48" w:rsidRPr="00CC1D5C">
        <w:rPr>
          <w:noProof/>
        </w:rPr>
        <w:t>indicator</w:t>
      </w:r>
      <w:r w:rsidR="00033BC6">
        <w:rPr>
          <w:noProof/>
        </w:rPr>
        <w:t xml:space="preserve"> of a good’s durability</w:t>
      </w:r>
      <w:r w:rsidR="00B96F48" w:rsidRPr="00CC1D5C">
        <w:rPr>
          <w:noProof/>
        </w:rPr>
        <w:t xml:space="preserve"> </w:t>
      </w:r>
      <w:r w:rsidR="00DE24CB" w:rsidRPr="00CC1D5C">
        <w:rPr>
          <w:noProof/>
        </w:rPr>
        <w:t>is</w:t>
      </w:r>
      <w:r w:rsidR="00B96F48" w:rsidRPr="00CC1D5C">
        <w:rPr>
          <w:noProof/>
        </w:rPr>
        <w:t xml:space="preserve"> the</w:t>
      </w:r>
      <w:r w:rsidR="007231F3">
        <w:rPr>
          <w:noProof/>
        </w:rPr>
        <w:t xml:space="preserve"> </w:t>
      </w:r>
      <w:r w:rsidR="007231F3" w:rsidRPr="00A827A4">
        <w:rPr>
          <w:noProof/>
        </w:rPr>
        <w:t>producer’s</w:t>
      </w:r>
      <w:r w:rsidR="00B96F48" w:rsidRPr="00A827A4">
        <w:rPr>
          <w:noProof/>
        </w:rPr>
        <w:t xml:space="preserve"> commercial guarantee of durability within the meaning of </w:t>
      </w:r>
      <w:r w:rsidR="00CA6930" w:rsidRPr="00A827A4">
        <w:rPr>
          <w:noProof/>
        </w:rPr>
        <w:t xml:space="preserve">Article 17 of </w:t>
      </w:r>
      <w:r w:rsidR="00B96F48" w:rsidRPr="00A827A4">
        <w:rPr>
          <w:noProof/>
        </w:rPr>
        <w:t xml:space="preserve">Directive (EU) 2019/771. Therefore, </w:t>
      </w:r>
      <w:r w:rsidR="00896432" w:rsidRPr="00A827A4">
        <w:rPr>
          <w:noProof/>
        </w:rPr>
        <w:t xml:space="preserve">Directive 2011/83/EU should be amended to specifically require </w:t>
      </w:r>
      <w:r w:rsidR="00B96F48" w:rsidRPr="00A827A4">
        <w:rPr>
          <w:noProof/>
        </w:rPr>
        <w:t xml:space="preserve">traders selling goods </w:t>
      </w:r>
      <w:r w:rsidR="00896432" w:rsidRPr="00A827A4">
        <w:rPr>
          <w:noProof/>
        </w:rPr>
        <w:t xml:space="preserve">to </w:t>
      </w:r>
      <w:r w:rsidR="00B96F48" w:rsidRPr="00A827A4">
        <w:rPr>
          <w:noProof/>
        </w:rPr>
        <w:t>inform consumers about the existence of the</w:t>
      </w:r>
      <w:r w:rsidR="00F11492" w:rsidRPr="00A827A4">
        <w:rPr>
          <w:noProof/>
        </w:rPr>
        <w:t xml:space="preserve"> producer’s</w:t>
      </w:r>
      <w:r w:rsidR="00B96F48" w:rsidRPr="00A827A4">
        <w:rPr>
          <w:noProof/>
        </w:rPr>
        <w:t xml:space="preserve"> commercial guarantee</w:t>
      </w:r>
      <w:r w:rsidR="00BE0513" w:rsidRPr="00A827A4">
        <w:rPr>
          <w:noProof/>
        </w:rPr>
        <w:t xml:space="preserve"> of durability</w:t>
      </w:r>
      <w:r w:rsidR="00916596" w:rsidRPr="00A827A4">
        <w:rPr>
          <w:noProof/>
        </w:rPr>
        <w:t xml:space="preserve"> for all type</w:t>
      </w:r>
      <w:r w:rsidR="00680DB8" w:rsidRPr="00A827A4">
        <w:rPr>
          <w:noProof/>
        </w:rPr>
        <w:t>s</w:t>
      </w:r>
      <w:r w:rsidR="00916596" w:rsidRPr="00A827A4">
        <w:rPr>
          <w:noProof/>
        </w:rPr>
        <w:t xml:space="preserve"> of goods</w:t>
      </w:r>
      <w:r w:rsidR="0097713D" w:rsidRPr="00A827A4">
        <w:rPr>
          <w:noProof/>
        </w:rPr>
        <w:t>, where the producer makes this information available</w:t>
      </w:r>
      <w:r w:rsidR="00B96F48" w:rsidRPr="00A827A4">
        <w:rPr>
          <w:noProof/>
        </w:rPr>
        <w:t>.</w:t>
      </w:r>
    </w:p>
    <w:p w:rsidR="00B96F48" w:rsidRPr="00CC1D5C" w:rsidRDefault="00C327B1" w:rsidP="00C327B1">
      <w:pPr>
        <w:pStyle w:val="ManualConsidrant"/>
        <w:rPr>
          <w:noProof/>
        </w:rPr>
      </w:pPr>
      <w:r w:rsidRPr="00C327B1">
        <w:t>(24)</w:t>
      </w:r>
      <w:r w:rsidRPr="00C327B1">
        <w:tab/>
      </w:r>
      <w:r w:rsidR="00B96F48" w:rsidRPr="00CC1D5C">
        <w:rPr>
          <w:noProof/>
        </w:rPr>
        <w:t>The problem of limited durability contrary to consumer expectations is most relevant for energy-using goods</w:t>
      </w:r>
      <w:r w:rsidR="0021049B">
        <w:rPr>
          <w:noProof/>
        </w:rPr>
        <w:t>, which</w:t>
      </w:r>
      <w:r w:rsidR="0052039C">
        <w:rPr>
          <w:noProof/>
        </w:rPr>
        <w:t xml:space="preserve"> </w:t>
      </w:r>
      <w:r w:rsidR="003B57FE">
        <w:rPr>
          <w:noProof/>
        </w:rPr>
        <w:t>are</w:t>
      </w:r>
      <w:r w:rsidR="00B96F48" w:rsidRPr="00CC1D5C" w:rsidDel="003B57FE">
        <w:rPr>
          <w:noProof/>
        </w:rPr>
        <w:t xml:space="preserve"> </w:t>
      </w:r>
      <w:r w:rsidR="00B96F48" w:rsidRPr="00CC1D5C">
        <w:rPr>
          <w:noProof/>
        </w:rPr>
        <w:t xml:space="preserve">goods that function from an external energy source. Consumers are also most interested in receiving information about the </w:t>
      </w:r>
      <w:r w:rsidR="00B96F48" w:rsidRPr="00CC1D5C">
        <w:rPr>
          <w:rFonts w:eastAsia="Times New Roman"/>
          <w:noProof/>
          <w:lang w:eastAsia="en-GB"/>
        </w:rPr>
        <w:t xml:space="preserve">expected </w:t>
      </w:r>
      <w:r w:rsidR="00B96F48" w:rsidRPr="00CC1D5C">
        <w:rPr>
          <w:noProof/>
        </w:rPr>
        <w:t xml:space="preserve">durability of </w:t>
      </w:r>
      <w:r w:rsidR="005A0B91">
        <w:rPr>
          <w:rFonts w:eastAsia="Times New Roman"/>
          <w:noProof/>
          <w:lang w:eastAsia="en-GB"/>
        </w:rPr>
        <w:t>this</w:t>
      </w:r>
      <w:r w:rsidR="005A0B91" w:rsidRPr="00CC1D5C">
        <w:rPr>
          <w:noProof/>
        </w:rPr>
        <w:t xml:space="preserve"> </w:t>
      </w:r>
      <w:r w:rsidR="00B96F48" w:rsidRPr="00CC1D5C">
        <w:rPr>
          <w:noProof/>
        </w:rPr>
        <w:t xml:space="preserve">category of goods. For </w:t>
      </w:r>
      <w:r w:rsidR="00D9607D" w:rsidRPr="00291A60">
        <w:rPr>
          <w:noProof/>
        </w:rPr>
        <w:t>th</w:t>
      </w:r>
      <w:r w:rsidR="00D9607D" w:rsidRPr="00A827A4">
        <w:rPr>
          <w:noProof/>
        </w:rPr>
        <w:t>ese</w:t>
      </w:r>
      <w:r w:rsidR="00D9607D" w:rsidRPr="00291A60">
        <w:rPr>
          <w:noProof/>
        </w:rPr>
        <w:t xml:space="preserve"> </w:t>
      </w:r>
      <w:r w:rsidR="00B96F48" w:rsidRPr="00291A60">
        <w:rPr>
          <w:noProof/>
        </w:rPr>
        <w:t>reason</w:t>
      </w:r>
      <w:r w:rsidR="00D9607D" w:rsidRPr="00291A60">
        <w:rPr>
          <w:noProof/>
        </w:rPr>
        <w:t>s</w:t>
      </w:r>
      <w:r w:rsidR="00B96F48" w:rsidRPr="00CC1D5C">
        <w:rPr>
          <w:noProof/>
        </w:rPr>
        <w:t xml:space="preserve">, </w:t>
      </w:r>
      <w:r w:rsidR="00886875">
        <w:rPr>
          <w:noProof/>
        </w:rPr>
        <w:t xml:space="preserve">only for this category of goods, consumers should be made aware that the information about the existence of </w:t>
      </w:r>
      <w:r w:rsidR="00B96F48" w:rsidRPr="00CC1D5C">
        <w:rPr>
          <w:noProof/>
        </w:rPr>
        <w:t xml:space="preserve"> a </w:t>
      </w:r>
      <w:r w:rsidR="00033469" w:rsidRPr="00A827A4">
        <w:rPr>
          <w:noProof/>
        </w:rPr>
        <w:t>producer’s</w:t>
      </w:r>
      <w:r w:rsidR="00B96F48" w:rsidRPr="00A827A4">
        <w:rPr>
          <w:noProof/>
        </w:rPr>
        <w:t xml:space="preserve"> commercial</w:t>
      </w:r>
      <w:r w:rsidR="00B96F48" w:rsidRPr="00CC1D5C">
        <w:rPr>
          <w:noProof/>
        </w:rPr>
        <w:t xml:space="preserve"> guarantee of durability</w:t>
      </w:r>
      <w:r w:rsidR="0072141B">
        <w:rPr>
          <w:noProof/>
        </w:rPr>
        <w:t xml:space="preserve"> of more than two years</w:t>
      </w:r>
      <w:r w:rsidR="00886875">
        <w:rPr>
          <w:noProof/>
        </w:rPr>
        <w:t xml:space="preserve"> has not been provided by the producer</w:t>
      </w:r>
      <w:r w:rsidR="00B96F48" w:rsidRPr="00CC1D5C">
        <w:rPr>
          <w:noProof/>
        </w:rPr>
        <w:t>.</w:t>
      </w:r>
    </w:p>
    <w:p w:rsidR="00B96F48" w:rsidRPr="00CC1D5C" w:rsidRDefault="00C327B1" w:rsidP="00C327B1">
      <w:pPr>
        <w:pStyle w:val="ManualConsidrant"/>
        <w:rPr>
          <w:noProof/>
        </w:rPr>
      </w:pPr>
      <w:r w:rsidRPr="00C327B1">
        <w:t>(25)</w:t>
      </w:r>
      <w:r w:rsidRPr="00C327B1">
        <w:tab/>
      </w:r>
      <w:r w:rsidR="00B96F48" w:rsidRPr="00CC1D5C">
        <w:rPr>
          <w:noProof/>
        </w:rPr>
        <w:t>Goods containing energy-using components, where those components are mere accessories and do not contribute to the main function of th</w:t>
      </w:r>
      <w:r w:rsidR="00333A46">
        <w:rPr>
          <w:noProof/>
        </w:rPr>
        <w:t>ose</w:t>
      </w:r>
      <w:r w:rsidR="00B96F48" w:rsidRPr="00CC1D5C">
        <w:rPr>
          <w:noProof/>
        </w:rPr>
        <w:t xml:space="preserve"> goods, such as decorative lighting for clothing or footwear or electric light for a bicycle, </w:t>
      </w:r>
      <w:r w:rsidR="0002125E">
        <w:rPr>
          <w:noProof/>
        </w:rPr>
        <w:t>should</w:t>
      </w:r>
      <w:r w:rsidR="0002125E" w:rsidRPr="00CC1D5C">
        <w:rPr>
          <w:noProof/>
        </w:rPr>
        <w:t xml:space="preserve"> </w:t>
      </w:r>
      <w:r w:rsidR="00B96F48" w:rsidRPr="00CC1D5C">
        <w:rPr>
          <w:noProof/>
        </w:rPr>
        <w:t>not be classified as energy-using goods.</w:t>
      </w:r>
    </w:p>
    <w:p w:rsidR="00B52D27" w:rsidRDefault="00C327B1" w:rsidP="00C327B1">
      <w:pPr>
        <w:pStyle w:val="ManualConsidrant"/>
        <w:rPr>
          <w:noProof/>
        </w:rPr>
      </w:pPr>
      <w:r w:rsidRPr="00C327B1">
        <w:t>(26)</w:t>
      </w:r>
      <w:r w:rsidRPr="00C327B1">
        <w:tab/>
      </w:r>
      <w:r w:rsidR="00063C6A">
        <w:rPr>
          <w:noProof/>
        </w:rPr>
        <w:t>I</w:t>
      </w:r>
      <w:r w:rsidR="00B96F48" w:rsidRPr="00CC1D5C">
        <w:rPr>
          <w:noProof/>
        </w:rPr>
        <w:t xml:space="preserve">n view of the established minimum duration of two years of the seller’s liability for lack of conformity in accordance with Directive (EU) 2019/771 and the fact that many product </w:t>
      </w:r>
      <w:r w:rsidR="00333A46">
        <w:rPr>
          <w:noProof/>
        </w:rPr>
        <w:t>failures</w:t>
      </w:r>
      <w:r w:rsidR="00333A46" w:rsidRPr="00CC1D5C">
        <w:rPr>
          <w:noProof/>
        </w:rPr>
        <w:t xml:space="preserve"> </w:t>
      </w:r>
      <w:r w:rsidR="00B96F48" w:rsidRPr="00CC1D5C">
        <w:rPr>
          <w:noProof/>
        </w:rPr>
        <w:t xml:space="preserve">occur after two years, the trader’s obligation to inform consumers about the existence and </w:t>
      </w:r>
      <w:r w:rsidR="00D84D92">
        <w:rPr>
          <w:noProof/>
        </w:rPr>
        <w:t>duratio</w:t>
      </w:r>
      <w:r w:rsidR="00D84D92" w:rsidRPr="00AD0CD6">
        <w:rPr>
          <w:noProof/>
        </w:rPr>
        <w:t>n</w:t>
      </w:r>
      <w:r w:rsidR="004144DB" w:rsidRPr="00AD0CD6">
        <w:rPr>
          <w:noProof/>
        </w:rPr>
        <w:t xml:space="preserve"> </w:t>
      </w:r>
      <w:r w:rsidR="00B96F48" w:rsidRPr="00AD0CD6">
        <w:rPr>
          <w:noProof/>
        </w:rPr>
        <w:t>of</w:t>
      </w:r>
      <w:r w:rsidR="00B96F48" w:rsidRPr="00CC1D5C">
        <w:rPr>
          <w:noProof/>
        </w:rPr>
        <w:t xml:space="preserve"> the</w:t>
      </w:r>
      <w:r w:rsidR="004144DB">
        <w:rPr>
          <w:noProof/>
        </w:rPr>
        <w:t xml:space="preserve"> producer’s</w:t>
      </w:r>
      <w:r w:rsidR="00B96F48" w:rsidRPr="00CC1D5C">
        <w:rPr>
          <w:noProof/>
        </w:rPr>
        <w:t xml:space="preserve"> commercial guarantee of durability should apply to guarantees that are of more than two years</w:t>
      </w:r>
      <w:r w:rsidR="00587BDE">
        <w:rPr>
          <w:noProof/>
        </w:rPr>
        <w:t>.</w:t>
      </w:r>
    </w:p>
    <w:p w:rsidR="00B96F48" w:rsidRPr="00DA0CB9" w:rsidRDefault="00C327B1" w:rsidP="00C327B1">
      <w:pPr>
        <w:pStyle w:val="ManualConsidrant"/>
        <w:rPr>
          <w:noProof/>
        </w:rPr>
      </w:pPr>
      <w:r w:rsidRPr="00C327B1">
        <w:t>(27)</w:t>
      </w:r>
      <w:r w:rsidRPr="00C327B1">
        <w:tab/>
      </w:r>
      <w:r w:rsidR="00B96F48" w:rsidRPr="00CC1D5C">
        <w:rPr>
          <w:noProof/>
        </w:rPr>
        <w:t xml:space="preserve">In order to make it easier for consumers to take an informed </w:t>
      </w:r>
      <w:r w:rsidR="00333A46">
        <w:rPr>
          <w:noProof/>
        </w:rPr>
        <w:t xml:space="preserve">transactional </w:t>
      </w:r>
      <w:r w:rsidR="00B96F48" w:rsidRPr="00CC1D5C">
        <w:rPr>
          <w:noProof/>
        </w:rPr>
        <w:t>decision when comparing goods before concluding a contract, traders should inform consumers about</w:t>
      </w:r>
      <w:r w:rsidR="00B96F48" w:rsidRPr="00CC1D5C">
        <w:rPr>
          <w:i/>
          <w:noProof/>
        </w:rPr>
        <w:t xml:space="preserve"> </w:t>
      </w:r>
      <w:r w:rsidR="00B96F48" w:rsidRPr="00CC1D5C">
        <w:rPr>
          <w:noProof/>
        </w:rPr>
        <w:t xml:space="preserve">the existence and </w:t>
      </w:r>
      <w:r w:rsidR="00D84D92">
        <w:rPr>
          <w:noProof/>
        </w:rPr>
        <w:t>duration</w:t>
      </w:r>
      <w:r w:rsidR="00B96F48" w:rsidRPr="00CC1D5C">
        <w:rPr>
          <w:noProof/>
        </w:rPr>
        <w:t>, of the</w:t>
      </w:r>
      <w:r w:rsidR="004144DB">
        <w:rPr>
          <w:noProof/>
        </w:rPr>
        <w:t xml:space="preserve"> producer’s</w:t>
      </w:r>
      <w:r w:rsidR="00B96F48" w:rsidRPr="00CC1D5C">
        <w:rPr>
          <w:noProof/>
        </w:rPr>
        <w:t xml:space="preserve"> </w:t>
      </w:r>
      <w:r w:rsidR="00B96F48" w:rsidRPr="00DA0CB9">
        <w:rPr>
          <w:noProof/>
        </w:rPr>
        <w:t>commercial guarantee of durability for the entire good and not for specific components of the good.</w:t>
      </w:r>
    </w:p>
    <w:p w:rsidR="00B96F48" w:rsidRPr="00DA0CB9" w:rsidRDefault="00C327B1" w:rsidP="00C327B1">
      <w:pPr>
        <w:pStyle w:val="ManualConsidrant"/>
        <w:rPr>
          <w:noProof/>
        </w:rPr>
      </w:pPr>
      <w:r w:rsidRPr="00C327B1">
        <w:t>(28)</w:t>
      </w:r>
      <w:r w:rsidRPr="00C327B1">
        <w:tab/>
      </w:r>
      <w:r w:rsidR="00D0172C">
        <w:rPr>
          <w:noProof/>
        </w:rPr>
        <w:t>T</w:t>
      </w:r>
      <w:r w:rsidR="00B96F48" w:rsidRPr="00316278">
        <w:rPr>
          <w:noProof/>
        </w:rPr>
        <w:t xml:space="preserve">he producer and the seller </w:t>
      </w:r>
      <w:r w:rsidR="00D0172C">
        <w:rPr>
          <w:noProof/>
        </w:rPr>
        <w:t xml:space="preserve">should </w:t>
      </w:r>
      <w:r w:rsidR="00B96F48" w:rsidRPr="00316278">
        <w:rPr>
          <w:noProof/>
        </w:rPr>
        <w:t xml:space="preserve">remain free to offer </w:t>
      </w:r>
      <w:r w:rsidR="00683214">
        <w:rPr>
          <w:noProof/>
        </w:rPr>
        <w:t xml:space="preserve">other types of </w:t>
      </w:r>
      <w:r w:rsidR="00B96F48" w:rsidRPr="00316278">
        <w:rPr>
          <w:noProof/>
        </w:rPr>
        <w:t>commercial guarantees</w:t>
      </w:r>
      <w:r w:rsidR="00B96F48" w:rsidRPr="004C6A21">
        <w:rPr>
          <w:noProof/>
        </w:rPr>
        <w:t xml:space="preserve"> </w:t>
      </w:r>
      <w:r w:rsidR="00683214">
        <w:rPr>
          <w:noProof/>
        </w:rPr>
        <w:t xml:space="preserve">and after-sales services </w:t>
      </w:r>
      <w:r w:rsidR="00B96F48" w:rsidRPr="004C6A21">
        <w:rPr>
          <w:noProof/>
        </w:rPr>
        <w:t xml:space="preserve">of any </w:t>
      </w:r>
      <w:r w:rsidR="00683214">
        <w:rPr>
          <w:noProof/>
        </w:rPr>
        <w:t>duration</w:t>
      </w:r>
      <w:r w:rsidR="00B96F48" w:rsidRPr="004C6A21">
        <w:rPr>
          <w:noProof/>
        </w:rPr>
        <w:t xml:space="preserve">. However, the information provided to the consumer about such </w:t>
      </w:r>
      <w:r w:rsidR="00683214" w:rsidRPr="007D7B63">
        <w:rPr>
          <w:noProof/>
        </w:rPr>
        <w:t>other</w:t>
      </w:r>
      <w:r w:rsidR="00683214">
        <w:rPr>
          <w:noProof/>
        </w:rPr>
        <w:t xml:space="preserve"> commercial guarantees or services </w:t>
      </w:r>
      <w:r w:rsidR="00B96F48" w:rsidRPr="00CC1D5C">
        <w:rPr>
          <w:noProof/>
        </w:rPr>
        <w:t xml:space="preserve">should not confuse the consumer with regard to the existence and </w:t>
      </w:r>
      <w:r w:rsidR="00D84D92" w:rsidRPr="007D7B63">
        <w:rPr>
          <w:noProof/>
        </w:rPr>
        <w:t>duration</w:t>
      </w:r>
      <w:r w:rsidR="00B96F48" w:rsidRPr="00AD0CD6">
        <w:rPr>
          <w:noProof/>
        </w:rPr>
        <w:t xml:space="preserve"> </w:t>
      </w:r>
      <w:r w:rsidR="00B96F48" w:rsidRPr="00CC1D5C">
        <w:rPr>
          <w:noProof/>
        </w:rPr>
        <w:t xml:space="preserve"> of the </w:t>
      </w:r>
      <w:r w:rsidR="00291A60">
        <w:rPr>
          <w:noProof/>
        </w:rPr>
        <w:t xml:space="preserve">producer’s </w:t>
      </w:r>
      <w:r w:rsidR="00B96F48" w:rsidRPr="00CC1D5C">
        <w:rPr>
          <w:noProof/>
        </w:rPr>
        <w:t xml:space="preserve">commercial guarantee </w:t>
      </w:r>
      <w:r w:rsidR="00B96F48" w:rsidRPr="00DA0CB9">
        <w:rPr>
          <w:noProof/>
        </w:rPr>
        <w:t>of durabilit</w:t>
      </w:r>
      <w:r w:rsidR="00B96F48" w:rsidRPr="00AD0CD6">
        <w:rPr>
          <w:noProof/>
        </w:rPr>
        <w:t>y</w:t>
      </w:r>
      <w:r w:rsidR="00AE702F" w:rsidRPr="00AD0CD6">
        <w:rPr>
          <w:noProof/>
        </w:rPr>
        <w:t xml:space="preserve"> that covers the entire good and has a duration of more than two years</w:t>
      </w:r>
      <w:r w:rsidR="00B96F48" w:rsidRPr="00AD0CD6">
        <w:rPr>
          <w:noProof/>
        </w:rPr>
        <w:t>.</w:t>
      </w:r>
      <w:r w:rsidR="00B96F48" w:rsidRPr="00DA0CB9">
        <w:rPr>
          <w:noProof/>
        </w:rPr>
        <w:t xml:space="preserve"> </w:t>
      </w:r>
    </w:p>
    <w:p w:rsidR="00B96F48" w:rsidRPr="00504543" w:rsidRDefault="00C327B1" w:rsidP="00C327B1">
      <w:pPr>
        <w:pStyle w:val="ManualConsidrant"/>
        <w:rPr>
          <w:noProof/>
        </w:rPr>
      </w:pPr>
      <w:r w:rsidRPr="00C327B1">
        <w:t>(29)</w:t>
      </w:r>
      <w:r w:rsidRPr="00C327B1">
        <w:tab/>
      </w:r>
      <w:r w:rsidR="00273082">
        <w:rPr>
          <w:noProof/>
        </w:rPr>
        <w:t xml:space="preserve">To promote competition between producers as regards the durability of </w:t>
      </w:r>
      <w:r w:rsidR="00B96F48" w:rsidRPr="00AA5DB8">
        <w:rPr>
          <w:noProof/>
        </w:rPr>
        <w:t xml:space="preserve">goods with digital elements </w:t>
      </w:r>
      <w:r w:rsidR="00273082">
        <w:rPr>
          <w:noProof/>
        </w:rPr>
        <w:t xml:space="preserve">the traders selling those goods </w:t>
      </w:r>
      <w:r w:rsidR="00B96F48" w:rsidRPr="00AA5DB8">
        <w:rPr>
          <w:noProof/>
        </w:rPr>
        <w:t xml:space="preserve">should inform consumers about </w:t>
      </w:r>
      <w:r w:rsidR="00B96F48" w:rsidRPr="00855003">
        <w:rPr>
          <w:noProof/>
        </w:rPr>
        <w:t xml:space="preserve">the </w:t>
      </w:r>
      <w:r w:rsidR="005B0A8F" w:rsidRPr="00C1554C">
        <w:rPr>
          <w:noProof/>
        </w:rPr>
        <w:t>minimum</w:t>
      </w:r>
      <w:r w:rsidR="00896432">
        <w:rPr>
          <w:noProof/>
        </w:rPr>
        <w:t xml:space="preserve"> </w:t>
      </w:r>
      <w:r w:rsidR="00B96F48" w:rsidRPr="00AA5DB8">
        <w:rPr>
          <w:noProof/>
        </w:rPr>
        <w:t xml:space="preserve">period of </w:t>
      </w:r>
      <w:r w:rsidR="00587BDE" w:rsidRPr="00AA5DB8">
        <w:rPr>
          <w:noProof/>
        </w:rPr>
        <w:t>time</w:t>
      </w:r>
      <w:r w:rsidR="00B96F48" w:rsidRPr="00AA5DB8">
        <w:rPr>
          <w:noProof/>
        </w:rPr>
        <w:t xml:space="preserve"> during which the producer</w:t>
      </w:r>
      <w:r w:rsidR="0084613C" w:rsidRPr="00AA5DB8">
        <w:rPr>
          <w:noProof/>
        </w:rPr>
        <w:t xml:space="preserve"> </w:t>
      </w:r>
      <w:r w:rsidR="00683214" w:rsidRPr="00AA5DB8">
        <w:rPr>
          <w:noProof/>
        </w:rPr>
        <w:t xml:space="preserve">commits to </w:t>
      </w:r>
      <w:r w:rsidR="0039473B" w:rsidRPr="00AA5DB8">
        <w:rPr>
          <w:noProof/>
        </w:rPr>
        <w:t>provide</w:t>
      </w:r>
      <w:r w:rsidR="00D90CD8" w:rsidRPr="00AA5DB8">
        <w:rPr>
          <w:noProof/>
        </w:rPr>
        <w:t xml:space="preserve"> software</w:t>
      </w:r>
      <w:r w:rsidR="00B96F48" w:rsidRPr="00AA5DB8">
        <w:rPr>
          <w:noProof/>
        </w:rPr>
        <w:t xml:space="preserve"> updates for such goods. However, to avoid overloading consumers with information, such information </w:t>
      </w:r>
      <w:r w:rsidR="00305098" w:rsidRPr="00AA5DB8">
        <w:rPr>
          <w:noProof/>
        </w:rPr>
        <w:t>should only</w:t>
      </w:r>
      <w:r w:rsidR="00D60816" w:rsidRPr="00AA5DB8">
        <w:rPr>
          <w:noProof/>
        </w:rPr>
        <w:t xml:space="preserve"> </w:t>
      </w:r>
      <w:r w:rsidR="00587BDE" w:rsidRPr="00AA5DB8">
        <w:rPr>
          <w:noProof/>
        </w:rPr>
        <w:t>be</w:t>
      </w:r>
      <w:r w:rsidR="00D60816" w:rsidRPr="00AA5DB8">
        <w:rPr>
          <w:noProof/>
        </w:rPr>
        <w:t xml:space="preserve"> provided when this </w:t>
      </w:r>
      <w:r w:rsidR="00587BDE" w:rsidRPr="00AA5DB8">
        <w:rPr>
          <w:noProof/>
        </w:rPr>
        <w:t>period</w:t>
      </w:r>
      <w:r w:rsidR="00D60816" w:rsidRPr="00AA5DB8">
        <w:rPr>
          <w:noProof/>
        </w:rPr>
        <w:t xml:space="preserve"> is longer than </w:t>
      </w:r>
      <w:r w:rsidR="00B96F48" w:rsidRPr="00AA5DB8">
        <w:rPr>
          <w:noProof/>
        </w:rPr>
        <w:t xml:space="preserve">the </w:t>
      </w:r>
      <w:r w:rsidR="00587BDE" w:rsidRPr="00AA5DB8">
        <w:rPr>
          <w:noProof/>
        </w:rPr>
        <w:t xml:space="preserve">period of </w:t>
      </w:r>
      <w:r w:rsidR="000D5AC8">
        <w:rPr>
          <w:noProof/>
        </w:rPr>
        <w:t>the</w:t>
      </w:r>
      <w:r w:rsidR="00587BDE" w:rsidRPr="00AA5DB8">
        <w:rPr>
          <w:noProof/>
        </w:rPr>
        <w:t xml:space="preserve"> </w:t>
      </w:r>
      <w:r w:rsidR="008370CC" w:rsidRPr="00AD0CD6">
        <w:rPr>
          <w:noProof/>
        </w:rPr>
        <w:t>producer’s</w:t>
      </w:r>
      <w:r w:rsidR="008370CC">
        <w:rPr>
          <w:noProof/>
        </w:rPr>
        <w:t xml:space="preserve"> </w:t>
      </w:r>
      <w:r w:rsidR="00B96F48" w:rsidRPr="00AA5DB8">
        <w:rPr>
          <w:noProof/>
        </w:rPr>
        <w:t>commercial guarantee of durability</w:t>
      </w:r>
      <w:r w:rsidR="00B96F48" w:rsidRPr="00504543">
        <w:rPr>
          <w:noProof/>
        </w:rPr>
        <w:t>, as th</w:t>
      </w:r>
      <w:r w:rsidR="00602F48" w:rsidRPr="00504543">
        <w:rPr>
          <w:noProof/>
        </w:rPr>
        <w:t>at</w:t>
      </w:r>
      <w:r w:rsidR="00B96F48" w:rsidRPr="00504543">
        <w:rPr>
          <w:noProof/>
        </w:rPr>
        <w:t xml:space="preserve"> guarantee entails the provision of updates, including security </w:t>
      </w:r>
      <w:r w:rsidR="00305098" w:rsidRPr="00504543">
        <w:rPr>
          <w:noProof/>
        </w:rPr>
        <w:t>updates</w:t>
      </w:r>
      <w:r w:rsidR="00BE0873">
        <w:rPr>
          <w:noProof/>
        </w:rPr>
        <w:t>,</w:t>
      </w:r>
      <w:r w:rsidR="00AD0CD6">
        <w:rPr>
          <w:noProof/>
        </w:rPr>
        <w:t xml:space="preserve"> </w:t>
      </w:r>
      <w:r w:rsidR="00305098" w:rsidRPr="00504543">
        <w:rPr>
          <w:noProof/>
        </w:rPr>
        <w:t>that</w:t>
      </w:r>
      <w:r w:rsidR="00B96F48" w:rsidRPr="00504543">
        <w:rPr>
          <w:noProof/>
        </w:rPr>
        <w:t xml:space="preserve"> are necessary to maintain the required functions and performance of goods with digital elements. </w:t>
      </w:r>
      <w:r w:rsidR="00AE22F3">
        <w:rPr>
          <w:noProof/>
        </w:rPr>
        <w:t xml:space="preserve">Furthermore, information </w:t>
      </w:r>
      <w:r w:rsidR="00273082">
        <w:rPr>
          <w:noProof/>
        </w:rPr>
        <w:t xml:space="preserve">about the producer’s commitment to provide software updates </w:t>
      </w:r>
      <w:r w:rsidR="00AE22F3">
        <w:rPr>
          <w:noProof/>
        </w:rPr>
        <w:t>is relevant only where the sales contract regarding goods with digital elements provides for a single act of supply of the digital content or digital service in respect of which Article 7(3</w:t>
      </w:r>
      <w:r w:rsidR="00AE22F3" w:rsidRPr="00DF2ACD">
        <w:rPr>
          <w:noProof/>
        </w:rPr>
        <w:t>)</w:t>
      </w:r>
      <w:r w:rsidR="0002125E" w:rsidRPr="004525C9">
        <w:rPr>
          <w:noProof/>
        </w:rPr>
        <w:t xml:space="preserve">, point </w:t>
      </w:r>
      <w:r w:rsidR="00AE22F3" w:rsidRPr="004525C9">
        <w:rPr>
          <w:noProof/>
        </w:rPr>
        <w:t>(</w:t>
      </w:r>
      <w:r w:rsidR="00AE22F3">
        <w:rPr>
          <w:noProof/>
        </w:rPr>
        <w:t>a</w:t>
      </w:r>
      <w:r w:rsidR="00AE22F3" w:rsidRPr="004525C9">
        <w:rPr>
          <w:noProof/>
        </w:rPr>
        <w:t>)</w:t>
      </w:r>
      <w:r w:rsidR="0002125E" w:rsidRPr="004525C9">
        <w:rPr>
          <w:noProof/>
        </w:rPr>
        <w:t>,</w:t>
      </w:r>
      <w:r w:rsidR="00C1554C">
        <w:rPr>
          <w:noProof/>
        </w:rPr>
        <w:t xml:space="preserve"> </w:t>
      </w:r>
      <w:r w:rsidR="00AE22F3">
        <w:rPr>
          <w:noProof/>
        </w:rPr>
        <w:t xml:space="preserve">of </w:t>
      </w:r>
      <w:r w:rsidR="00C1554C">
        <w:rPr>
          <w:noProof/>
        </w:rPr>
        <w:t xml:space="preserve">Directive (EU) 2019/771 </w:t>
      </w:r>
      <w:r w:rsidR="006F4812" w:rsidRPr="00AD0CD6">
        <w:rPr>
          <w:noProof/>
        </w:rPr>
        <w:t>applies</w:t>
      </w:r>
      <w:r w:rsidR="00C1554C">
        <w:rPr>
          <w:noProof/>
        </w:rPr>
        <w:t xml:space="preserve">. </w:t>
      </w:r>
      <w:r w:rsidR="00AE22F3">
        <w:rPr>
          <w:noProof/>
        </w:rPr>
        <w:t xml:space="preserve">In contrast, </w:t>
      </w:r>
      <w:r w:rsidR="00AE22F3" w:rsidRPr="004525C9">
        <w:rPr>
          <w:noProof/>
        </w:rPr>
        <w:t>th</w:t>
      </w:r>
      <w:r w:rsidR="00624492">
        <w:rPr>
          <w:noProof/>
        </w:rPr>
        <w:t xml:space="preserve">ere should be no </w:t>
      </w:r>
      <w:r w:rsidR="000E719B">
        <w:rPr>
          <w:noProof/>
        </w:rPr>
        <w:t>new</w:t>
      </w:r>
      <w:r w:rsidR="00624492">
        <w:rPr>
          <w:noProof/>
        </w:rPr>
        <w:t xml:space="preserve"> obligation to provide that</w:t>
      </w:r>
      <w:r w:rsidR="00AE22F3">
        <w:rPr>
          <w:noProof/>
        </w:rPr>
        <w:t xml:space="preserve"> information </w:t>
      </w:r>
      <w:r w:rsidR="00273082">
        <w:rPr>
          <w:noProof/>
        </w:rPr>
        <w:t>w</w:t>
      </w:r>
      <w:r w:rsidR="00C1554C">
        <w:rPr>
          <w:noProof/>
        </w:rPr>
        <w:t>here the sales contract provides for a continuous supply of the digital content or digital service over a period of time</w:t>
      </w:r>
      <w:r w:rsidR="000D5AC8">
        <w:rPr>
          <w:noProof/>
        </w:rPr>
        <w:t>,</w:t>
      </w:r>
      <w:r w:rsidR="00273082">
        <w:rPr>
          <w:noProof/>
        </w:rPr>
        <w:t xml:space="preserve"> </w:t>
      </w:r>
      <w:r w:rsidR="00D249F0">
        <w:rPr>
          <w:noProof/>
        </w:rPr>
        <w:t>since</w:t>
      </w:r>
      <w:r w:rsidR="00273082">
        <w:rPr>
          <w:noProof/>
        </w:rPr>
        <w:t xml:space="preserve"> for </w:t>
      </w:r>
      <w:r w:rsidR="00273082" w:rsidRPr="00624492">
        <w:rPr>
          <w:noProof/>
        </w:rPr>
        <w:t>th</w:t>
      </w:r>
      <w:r w:rsidR="00B53007">
        <w:rPr>
          <w:noProof/>
        </w:rPr>
        <w:t>o</w:t>
      </w:r>
      <w:r w:rsidR="00273082" w:rsidRPr="00624492">
        <w:rPr>
          <w:noProof/>
        </w:rPr>
        <w:t>se</w:t>
      </w:r>
      <w:r w:rsidR="00273082">
        <w:rPr>
          <w:noProof/>
        </w:rPr>
        <w:t xml:space="preserve"> contracts </w:t>
      </w:r>
      <w:r w:rsidR="006F4812" w:rsidRPr="00624492">
        <w:rPr>
          <w:noProof/>
        </w:rPr>
        <w:t xml:space="preserve">Article 7(3), point (b), </w:t>
      </w:r>
      <w:r w:rsidR="00273082">
        <w:rPr>
          <w:noProof/>
        </w:rPr>
        <w:t xml:space="preserve">of Directive (EU) 2019/771 </w:t>
      </w:r>
      <w:r w:rsidR="00273082" w:rsidRPr="00624492">
        <w:rPr>
          <w:noProof/>
        </w:rPr>
        <w:t>specif</w:t>
      </w:r>
      <w:r w:rsidR="00624492">
        <w:rPr>
          <w:noProof/>
        </w:rPr>
        <w:t>ies</w:t>
      </w:r>
      <w:r w:rsidR="00B53007">
        <w:rPr>
          <w:noProof/>
        </w:rPr>
        <w:t xml:space="preserve">, by reference to Article </w:t>
      </w:r>
      <w:r w:rsidR="00504531">
        <w:rPr>
          <w:noProof/>
        </w:rPr>
        <w:t xml:space="preserve">10 </w:t>
      </w:r>
      <w:r w:rsidR="00B53007">
        <w:rPr>
          <w:noProof/>
        </w:rPr>
        <w:t>(2) or (5),</w:t>
      </w:r>
      <w:r w:rsidR="00273082">
        <w:rPr>
          <w:noProof/>
        </w:rPr>
        <w:t xml:space="preserve"> the period of time during which </w:t>
      </w:r>
      <w:r w:rsidR="00C1554C">
        <w:rPr>
          <w:noProof/>
        </w:rPr>
        <w:t xml:space="preserve">the seller </w:t>
      </w:r>
      <w:r w:rsidR="00273082">
        <w:rPr>
          <w:noProof/>
        </w:rPr>
        <w:t>is to</w:t>
      </w:r>
      <w:r w:rsidR="00C1554C">
        <w:rPr>
          <w:noProof/>
        </w:rPr>
        <w:t xml:space="preserve"> ensure that the consumer is informed of and supplied with updates</w:t>
      </w:r>
      <w:r w:rsidR="007C23C8">
        <w:rPr>
          <w:noProof/>
        </w:rPr>
        <w:t>.</w:t>
      </w:r>
      <w:r w:rsidR="006F4812" w:rsidRPr="00AD4E9F">
        <w:rPr>
          <w:noProof/>
        </w:rPr>
        <w:t> </w:t>
      </w:r>
    </w:p>
    <w:p w:rsidR="007C23C8" w:rsidRPr="00AA5DB8" w:rsidRDefault="00C327B1" w:rsidP="00C327B1">
      <w:pPr>
        <w:pStyle w:val="ManualConsidrant"/>
        <w:rPr>
          <w:noProof/>
        </w:rPr>
      </w:pPr>
      <w:r w:rsidRPr="00C327B1">
        <w:t>(30)</w:t>
      </w:r>
      <w:r w:rsidRPr="00C327B1">
        <w:tab/>
      </w:r>
      <w:r w:rsidR="00A42FF1">
        <w:rPr>
          <w:noProof/>
        </w:rPr>
        <w:t>Likewise, t</w:t>
      </w:r>
      <w:r w:rsidR="00B96F48" w:rsidRPr="00504543">
        <w:rPr>
          <w:noProof/>
        </w:rPr>
        <w:t>raders offering digital content and digital services</w:t>
      </w:r>
      <w:r w:rsidR="00A953CF" w:rsidRPr="00504543" w:rsidDel="009603A6">
        <w:rPr>
          <w:noProof/>
        </w:rPr>
        <w:t xml:space="preserve"> </w:t>
      </w:r>
      <w:r w:rsidR="00B96F48" w:rsidRPr="00504543">
        <w:rPr>
          <w:noProof/>
        </w:rPr>
        <w:t xml:space="preserve">should </w:t>
      </w:r>
      <w:r w:rsidR="00A42FF1">
        <w:rPr>
          <w:noProof/>
        </w:rPr>
        <w:t>also</w:t>
      </w:r>
      <w:r w:rsidR="0084613C" w:rsidRPr="00504543">
        <w:rPr>
          <w:noProof/>
        </w:rPr>
        <w:t xml:space="preserve"> </w:t>
      </w:r>
      <w:r w:rsidR="00B96F48" w:rsidRPr="00504543">
        <w:rPr>
          <w:noProof/>
        </w:rPr>
        <w:t xml:space="preserve">inform consumers about </w:t>
      </w:r>
      <w:r w:rsidR="003F3862" w:rsidRPr="00504543">
        <w:rPr>
          <w:noProof/>
        </w:rPr>
        <w:t xml:space="preserve">the </w:t>
      </w:r>
      <w:r w:rsidR="005B0A8F" w:rsidRPr="00C1554C">
        <w:rPr>
          <w:noProof/>
        </w:rPr>
        <w:t>minimum</w:t>
      </w:r>
      <w:r w:rsidR="005B0A8F" w:rsidRPr="00504543">
        <w:rPr>
          <w:noProof/>
        </w:rPr>
        <w:t xml:space="preserve"> </w:t>
      </w:r>
      <w:r w:rsidR="003F3862" w:rsidRPr="00504543">
        <w:rPr>
          <w:noProof/>
        </w:rPr>
        <w:t>period</w:t>
      </w:r>
      <w:r w:rsidR="00B96F48" w:rsidRPr="00504543">
        <w:rPr>
          <w:noProof/>
        </w:rPr>
        <w:t xml:space="preserve"> during which the provider</w:t>
      </w:r>
      <w:r w:rsidR="00B96F48" w:rsidRPr="00AA5DB8">
        <w:rPr>
          <w:noProof/>
        </w:rPr>
        <w:t xml:space="preserve"> of the digital content or digital service</w:t>
      </w:r>
      <w:r w:rsidR="0084613C" w:rsidRPr="00AA5DB8">
        <w:rPr>
          <w:noProof/>
        </w:rPr>
        <w:t>,</w:t>
      </w:r>
      <w:r w:rsidR="00B96F48" w:rsidRPr="00AA5DB8">
        <w:rPr>
          <w:noProof/>
        </w:rPr>
        <w:t xml:space="preserve"> </w:t>
      </w:r>
      <w:r w:rsidR="0084613C" w:rsidRPr="00AA5DB8">
        <w:rPr>
          <w:noProof/>
        </w:rPr>
        <w:t xml:space="preserve">where </w:t>
      </w:r>
      <w:r w:rsidR="005966E3">
        <w:rPr>
          <w:noProof/>
        </w:rPr>
        <w:t xml:space="preserve">the provider </w:t>
      </w:r>
      <w:r w:rsidR="0084613C" w:rsidRPr="00AA5DB8">
        <w:rPr>
          <w:noProof/>
        </w:rPr>
        <w:t xml:space="preserve">is different from the trader, commits to </w:t>
      </w:r>
      <w:r w:rsidR="00B96F48" w:rsidRPr="00AA5DB8">
        <w:rPr>
          <w:noProof/>
        </w:rPr>
        <w:t xml:space="preserve">provide </w:t>
      </w:r>
      <w:r w:rsidR="00D90CD8" w:rsidRPr="00AA5DB8">
        <w:rPr>
          <w:noProof/>
        </w:rPr>
        <w:t xml:space="preserve">software </w:t>
      </w:r>
      <w:r w:rsidR="00B96F48" w:rsidRPr="00AA5DB8">
        <w:rPr>
          <w:noProof/>
        </w:rPr>
        <w:t>updat</w:t>
      </w:r>
      <w:r w:rsidR="00B66279">
        <w:rPr>
          <w:noProof/>
        </w:rPr>
        <w:t xml:space="preserve">es, including security updates, </w:t>
      </w:r>
      <w:r w:rsidR="00B96F48" w:rsidRPr="00AA5DB8">
        <w:rPr>
          <w:noProof/>
        </w:rPr>
        <w:t>necessary to keep the digital content and digital services in conformity.</w:t>
      </w:r>
      <w:r w:rsidR="007C23C8">
        <w:rPr>
          <w:noProof/>
        </w:rPr>
        <w:t xml:space="preserve"> </w:t>
      </w:r>
      <w:r w:rsidR="000E1BF3">
        <w:rPr>
          <w:noProof/>
        </w:rPr>
        <w:t xml:space="preserve">Information about the provider’s commitment to provide software updates is relevant only where the contract provides for a single act of supply or a series of individual acts of </w:t>
      </w:r>
      <w:r w:rsidR="000E1BF3" w:rsidRPr="00AD0CD6">
        <w:rPr>
          <w:noProof/>
        </w:rPr>
        <w:t>supply in respect of which Article 8(2)</w:t>
      </w:r>
      <w:r w:rsidR="00EB5684" w:rsidRPr="00AD0CD6">
        <w:rPr>
          <w:noProof/>
        </w:rPr>
        <w:t xml:space="preserve">, point </w:t>
      </w:r>
      <w:r w:rsidR="000E1BF3" w:rsidRPr="00AD0CD6">
        <w:rPr>
          <w:noProof/>
        </w:rPr>
        <w:t>(b)</w:t>
      </w:r>
      <w:r w:rsidR="00EB5684" w:rsidRPr="00AD0CD6">
        <w:rPr>
          <w:noProof/>
        </w:rPr>
        <w:t>,</w:t>
      </w:r>
      <w:r w:rsidR="000E1BF3" w:rsidRPr="00AD0CD6">
        <w:rPr>
          <w:noProof/>
        </w:rPr>
        <w:t xml:space="preserve"> of</w:t>
      </w:r>
      <w:r w:rsidR="007C23C8" w:rsidRPr="00AD0CD6">
        <w:rPr>
          <w:noProof/>
        </w:rPr>
        <w:t xml:space="preserve"> Directive 2019/770</w:t>
      </w:r>
      <w:r w:rsidR="000E1BF3" w:rsidRPr="00AD0CD6">
        <w:rPr>
          <w:noProof/>
        </w:rPr>
        <w:t xml:space="preserve"> </w:t>
      </w:r>
      <w:r w:rsidR="007674B3" w:rsidRPr="00AD0CD6">
        <w:rPr>
          <w:noProof/>
        </w:rPr>
        <w:t>applies</w:t>
      </w:r>
      <w:r w:rsidR="007C23C8" w:rsidRPr="00AD0CD6">
        <w:rPr>
          <w:noProof/>
        </w:rPr>
        <w:t>.</w:t>
      </w:r>
      <w:r w:rsidR="000E1BF3" w:rsidRPr="00AD0CD6">
        <w:rPr>
          <w:noProof/>
        </w:rPr>
        <w:t xml:space="preserve"> In contrast</w:t>
      </w:r>
      <w:r w:rsidR="000E1BF3">
        <w:rPr>
          <w:noProof/>
        </w:rPr>
        <w:t>, t</w:t>
      </w:r>
      <w:r w:rsidR="00D249F0">
        <w:rPr>
          <w:noProof/>
        </w:rPr>
        <w:t xml:space="preserve">here should be no </w:t>
      </w:r>
      <w:r w:rsidR="000E719B">
        <w:rPr>
          <w:noProof/>
        </w:rPr>
        <w:t>new</w:t>
      </w:r>
      <w:r w:rsidR="00D249F0">
        <w:rPr>
          <w:noProof/>
        </w:rPr>
        <w:t xml:space="preserve"> obligation to provide that </w:t>
      </w:r>
      <w:r w:rsidR="000E1BF3">
        <w:rPr>
          <w:noProof/>
        </w:rPr>
        <w:t>information w</w:t>
      </w:r>
      <w:r w:rsidR="007C23C8">
        <w:rPr>
          <w:noProof/>
        </w:rPr>
        <w:t>here the contract provides for a continuous supply over a period of time</w:t>
      </w:r>
      <w:r w:rsidR="00FD761E">
        <w:rPr>
          <w:noProof/>
        </w:rPr>
        <w:t>,</w:t>
      </w:r>
      <w:r w:rsidR="007C23C8">
        <w:rPr>
          <w:noProof/>
        </w:rPr>
        <w:t xml:space="preserve"> </w:t>
      </w:r>
      <w:r w:rsidR="007674B3">
        <w:rPr>
          <w:noProof/>
        </w:rPr>
        <w:t xml:space="preserve">since </w:t>
      </w:r>
      <w:r w:rsidR="000E1BF3">
        <w:rPr>
          <w:noProof/>
        </w:rPr>
        <w:t xml:space="preserve">for these contracts </w:t>
      </w:r>
      <w:r w:rsidR="00D249F0">
        <w:rPr>
          <w:noProof/>
        </w:rPr>
        <w:t>Article 8(2), point (a) of Directive (EU) 2019/770 specifies the period of time</w:t>
      </w:r>
      <w:r w:rsidR="00DF2ACD">
        <w:rPr>
          <w:noProof/>
        </w:rPr>
        <w:t xml:space="preserve"> during which the</w:t>
      </w:r>
      <w:r w:rsidR="000E1BF3">
        <w:rPr>
          <w:noProof/>
        </w:rPr>
        <w:t xml:space="preserve"> </w:t>
      </w:r>
      <w:r w:rsidR="007C23C8">
        <w:rPr>
          <w:noProof/>
        </w:rPr>
        <w:t>trader</w:t>
      </w:r>
      <w:r w:rsidR="00DF2ACD">
        <w:rPr>
          <w:noProof/>
        </w:rPr>
        <w:t xml:space="preserve"> is</w:t>
      </w:r>
      <w:r w:rsidR="000E1BF3">
        <w:rPr>
          <w:noProof/>
        </w:rPr>
        <w:t xml:space="preserve"> to</w:t>
      </w:r>
      <w:r w:rsidR="007C23C8">
        <w:rPr>
          <w:noProof/>
        </w:rPr>
        <w:t xml:space="preserve"> ensure that the consumer is informed of and supplied with updates.</w:t>
      </w:r>
    </w:p>
    <w:p w:rsidR="00B96F48" w:rsidRPr="00CC1D5C" w:rsidRDefault="00C327B1" w:rsidP="00C327B1">
      <w:pPr>
        <w:pStyle w:val="ManualConsidrant"/>
        <w:rPr>
          <w:noProof/>
        </w:rPr>
      </w:pPr>
      <w:r w:rsidRPr="00C327B1">
        <w:t>(31)</w:t>
      </w:r>
      <w:r w:rsidRPr="00C327B1">
        <w:tab/>
      </w:r>
      <w:r w:rsidR="00B96F48" w:rsidRPr="00CC1D5C">
        <w:rPr>
          <w:noProof/>
        </w:rPr>
        <w:t xml:space="preserve">To allow consumers to make an informed </w:t>
      </w:r>
      <w:r w:rsidR="00FC107B" w:rsidRPr="002B65CE">
        <w:rPr>
          <w:noProof/>
        </w:rPr>
        <w:t>transactional</w:t>
      </w:r>
      <w:r w:rsidR="00FC107B">
        <w:rPr>
          <w:noProof/>
        </w:rPr>
        <w:t xml:space="preserve"> </w:t>
      </w:r>
      <w:r w:rsidR="00B96F48" w:rsidRPr="00CC1D5C">
        <w:rPr>
          <w:noProof/>
        </w:rPr>
        <w:t>decision and choose goods that are easier to repair, traders should provide</w:t>
      </w:r>
      <w:r w:rsidR="00FC107B">
        <w:rPr>
          <w:noProof/>
        </w:rPr>
        <w:t>,</w:t>
      </w:r>
      <w:r w:rsidR="00B96F48" w:rsidRPr="00CC1D5C">
        <w:rPr>
          <w:noProof/>
        </w:rPr>
        <w:t xml:space="preserve"> before the conclusion of the contract, </w:t>
      </w:r>
      <w:r w:rsidR="00B96F48">
        <w:rPr>
          <w:noProof/>
        </w:rPr>
        <w:t xml:space="preserve">for all </w:t>
      </w:r>
      <w:r w:rsidR="003F0174">
        <w:rPr>
          <w:noProof/>
        </w:rPr>
        <w:t>types of goods</w:t>
      </w:r>
      <w:r w:rsidR="00B96F48" w:rsidRPr="00AD0CD6">
        <w:rPr>
          <w:noProof/>
        </w:rPr>
        <w:t>, where applicable,</w:t>
      </w:r>
      <w:r w:rsidR="00B96F48" w:rsidRPr="00CC1D5C">
        <w:rPr>
          <w:noProof/>
        </w:rPr>
        <w:t xml:space="preserve"> the reparability score of the good as provided by the produce</w:t>
      </w:r>
      <w:r w:rsidR="001554D0">
        <w:rPr>
          <w:noProof/>
        </w:rPr>
        <w:t>r in accordance with Union law.</w:t>
      </w:r>
    </w:p>
    <w:p w:rsidR="00B96F48" w:rsidRPr="00AA5DB8" w:rsidRDefault="00C327B1" w:rsidP="00C327B1">
      <w:pPr>
        <w:pStyle w:val="ManualConsidrant"/>
        <w:rPr>
          <w:noProof/>
        </w:rPr>
      </w:pPr>
      <w:r w:rsidRPr="00C327B1">
        <w:t>(32)</w:t>
      </w:r>
      <w:r w:rsidRPr="00C327B1">
        <w:tab/>
      </w:r>
      <w:r w:rsidR="00EB5684">
        <w:rPr>
          <w:noProof/>
        </w:rPr>
        <w:t>Pursuant</w:t>
      </w:r>
      <w:r w:rsidR="00EB5684" w:rsidRPr="00AA5DB8">
        <w:rPr>
          <w:noProof/>
        </w:rPr>
        <w:t xml:space="preserve"> </w:t>
      </w:r>
      <w:r w:rsidR="00AC6360" w:rsidRPr="00AA5DB8">
        <w:rPr>
          <w:noProof/>
        </w:rPr>
        <w:t>to Article 5</w:t>
      </w:r>
      <w:r w:rsidR="006E1343">
        <w:rPr>
          <w:noProof/>
        </w:rPr>
        <w:t>(1)</w:t>
      </w:r>
      <w:r w:rsidR="00EB5684">
        <w:rPr>
          <w:noProof/>
        </w:rPr>
        <w:t xml:space="preserve">, point </w:t>
      </w:r>
      <w:r w:rsidR="00AC6360" w:rsidRPr="00AA5DB8">
        <w:rPr>
          <w:noProof/>
        </w:rPr>
        <w:t>(e)</w:t>
      </w:r>
      <w:r w:rsidR="00EB5684">
        <w:rPr>
          <w:noProof/>
        </w:rPr>
        <w:t>,</w:t>
      </w:r>
      <w:r w:rsidR="00AC6360" w:rsidRPr="00AA5DB8">
        <w:rPr>
          <w:noProof/>
        </w:rPr>
        <w:t xml:space="preserve"> and Article 6</w:t>
      </w:r>
      <w:r w:rsidR="006E1343">
        <w:rPr>
          <w:noProof/>
        </w:rPr>
        <w:t>(1)</w:t>
      </w:r>
      <w:r w:rsidR="00EB5684">
        <w:rPr>
          <w:noProof/>
        </w:rPr>
        <w:t xml:space="preserve">, point </w:t>
      </w:r>
      <w:r w:rsidR="00AC6360" w:rsidRPr="00AA5DB8">
        <w:rPr>
          <w:noProof/>
        </w:rPr>
        <w:t>(m)</w:t>
      </w:r>
      <w:r w:rsidR="00EB5684">
        <w:rPr>
          <w:noProof/>
        </w:rPr>
        <w:t>,</w:t>
      </w:r>
      <w:r w:rsidR="00AC6360" w:rsidRPr="00AA5DB8">
        <w:rPr>
          <w:noProof/>
        </w:rPr>
        <w:t xml:space="preserve"> of Directive 2011/83/EU traders are obliged to provide the consumer before the consumer is bound by the contract with information on the existence and the conditions of after-sales services, including repair services</w:t>
      </w:r>
      <w:r w:rsidR="0084613C" w:rsidRPr="00AA5DB8">
        <w:rPr>
          <w:noProof/>
        </w:rPr>
        <w:t>,</w:t>
      </w:r>
      <w:r w:rsidR="00AC6360" w:rsidRPr="00AA5DB8">
        <w:rPr>
          <w:noProof/>
        </w:rPr>
        <w:t xml:space="preserve"> where </w:t>
      </w:r>
      <w:r w:rsidR="0084613C" w:rsidRPr="00AA5DB8">
        <w:rPr>
          <w:noProof/>
        </w:rPr>
        <w:t xml:space="preserve">such services are provided. In </w:t>
      </w:r>
      <w:r w:rsidR="00AC6360" w:rsidRPr="00AA5DB8">
        <w:rPr>
          <w:noProof/>
        </w:rPr>
        <w:t>addition, i</w:t>
      </w:r>
      <w:r w:rsidR="00B96F48" w:rsidRPr="00AA5DB8">
        <w:rPr>
          <w:noProof/>
        </w:rPr>
        <w:t>n order to ensure that consumers are well informed about the reparability of the goods they purchase, where a reparability score is not established</w:t>
      </w:r>
      <w:r w:rsidR="00DA0CB9" w:rsidRPr="00AA5DB8">
        <w:rPr>
          <w:noProof/>
        </w:rPr>
        <w:t xml:space="preserve"> in accordance with Union law</w:t>
      </w:r>
      <w:r w:rsidR="00B96F48" w:rsidRPr="00AA5DB8">
        <w:rPr>
          <w:noProof/>
        </w:rPr>
        <w:t xml:space="preserve">, traders should provide, </w:t>
      </w:r>
      <w:r w:rsidR="001F08C1">
        <w:rPr>
          <w:noProof/>
        </w:rPr>
        <w:t xml:space="preserve">for all </w:t>
      </w:r>
      <w:r w:rsidR="00680DB8" w:rsidRPr="00AD0CD6">
        <w:rPr>
          <w:noProof/>
        </w:rPr>
        <w:t>types of</w:t>
      </w:r>
      <w:r w:rsidR="00680DB8">
        <w:rPr>
          <w:noProof/>
        </w:rPr>
        <w:t xml:space="preserve"> </w:t>
      </w:r>
      <w:r w:rsidR="001F08C1">
        <w:rPr>
          <w:noProof/>
        </w:rPr>
        <w:t>goods</w:t>
      </w:r>
      <w:r w:rsidR="00F233B0">
        <w:rPr>
          <w:noProof/>
        </w:rPr>
        <w:t>,</w:t>
      </w:r>
      <w:r w:rsidR="001F08C1">
        <w:rPr>
          <w:noProof/>
        </w:rPr>
        <w:t xml:space="preserve"> </w:t>
      </w:r>
      <w:r w:rsidR="00B96F48" w:rsidRPr="00AA5DB8">
        <w:rPr>
          <w:noProof/>
        </w:rPr>
        <w:t xml:space="preserve">other relevant repair information </w:t>
      </w:r>
      <w:r w:rsidR="00FC107B" w:rsidRPr="00AA5DB8">
        <w:rPr>
          <w:noProof/>
        </w:rPr>
        <w:t xml:space="preserve">that is </w:t>
      </w:r>
      <w:r w:rsidR="00B96F48" w:rsidRPr="00AA5DB8">
        <w:rPr>
          <w:noProof/>
        </w:rPr>
        <w:t xml:space="preserve">made available by the producer, such as information </w:t>
      </w:r>
      <w:r w:rsidR="00B96F48" w:rsidRPr="00AA5DB8">
        <w:rPr>
          <w:iCs/>
          <w:noProof/>
        </w:rPr>
        <w:t>about</w:t>
      </w:r>
      <w:r w:rsidR="00B96F48" w:rsidRPr="00AA5DB8">
        <w:rPr>
          <w:noProof/>
        </w:rPr>
        <w:t xml:space="preserve"> the availability of spare parts, and a user and repair manual.  </w:t>
      </w:r>
    </w:p>
    <w:p w:rsidR="00B96F48" w:rsidRPr="00CC1D5C" w:rsidRDefault="00C327B1" w:rsidP="00C327B1">
      <w:pPr>
        <w:pStyle w:val="ManualConsidrant"/>
        <w:rPr>
          <w:noProof/>
        </w:rPr>
      </w:pPr>
      <w:r w:rsidRPr="00C327B1">
        <w:t>(33)</w:t>
      </w:r>
      <w:r w:rsidRPr="00C327B1">
        <w:tab/>
      </w:r>
      <w:r w:rsidR="00FC107B" w:rsidRPr="007D7B63">
        <w:rPr>
          <w:noProof/>
        </w:rPr>
        <w:t>T</w:t>
      </w:r>
      <w:r w:rsidR="00B96F48" w:rsidRPr="007D7B63">
        <w:rPr>
          <w:noProof/>
        </w:rPr>
        <w:t xml:space="preserve">raders </w:t>
      </w:r>
      <w:r w:rsidR="00FC107B" w:rsidRPr="007D7B63">
        <w:rPr>
          <w:noProof/>
        </w:rPr>
        <w:t>should</w:t>
      </w:r>
      <w:r w:rsidR="00B96F48" w:rsidRPr="00CC1D5C">
        <w:rPr>
          <w:noProof/>
        </w:rPr>
        <w:t xml:space="preserve"> provide consumers with information about the existence and duration of the</w:t>
      </w:r>
      <w:r w:rsidR="005C73EA">
        <w:rPr>
          <w:noProof/>
        </w:rPr>
        <w:t xml:space="preserve"> </w:t>
      </w:r>
      <w:r w:rsidR="005C73EA" w:rsidRPr="00AD0CD6">
        <w:rPr>
          <w:noProof/>
        </w:rPr>
        <w:t>producer’s</w:t>
      </w:r>
      <w:r w:rsidR="00B96F48" w:rsidRPr="00AD0CD6">
        <w:rPr>
          <w:noProof/>
        </w:rPr>
        <w:t xml:space="preserve"> </w:t>
      </w:r>
      <w:r w:rsidR="00B96F48" w:rsidRPr="00CC1D5C">
        <w:rPr>
          <w:noProof/>
        </w:rPr>
        <w:t xml:space="preserve">commercial guarantee of durability, the </w:t>
      </w:r>
      <w:r w:rsidR="00B96F48" w:rsidRPr="00504543">
        <w:rPr>
          <w:noProof/>
        </w:rPr>
        <w:t xml:space="preserve">minimum period for updates and the repair information other than the reparability score, where the producer </w:t>
      </w:r>
      <w:r w:rsidR="00FC107B" w:rsidRPr="00504543">
        <w:rPr>
          <w:noProof/>
        </w:rPr>
        <w:t>or provider of the digital content or digital service</w:t>
      </w:r>
      <w:r w:rsidR="006D49C1">
        <w:rPr>
          <w:noProof/>
        </w:rPr>
        <w:t xml:space="preserve">, </w:t>
      </w:r>
      <w:r w:rsidR="006D49C1" w:rsidRPr="007D7B63">
        <w:rPr>
          <w:noProof/>
        </w:rPr>
        <w:t>when different from the trader,</w:t>
      </w:r>
      <w:r w:rsidR="00B96F48" w:rsidRPr="00CC1D5C">
        <w:rPr>
          <w:noProof/>
        </w:rPr>
        <w:t xml:space="preserve"> makes the relevant information available. </w:t>
      </w:r>
      <w:r w:rsidR="00FC107B">
        <w:rPr>
          <w:noProof/>
        </w:rPr>
        <w:t xml:space="preserve">In particular, as regards goods, </w:t>
      </w:r>
      <w:r w:rsidR="00FC107B" w:rsidRPr="007D7B63">
        <w:rPr>
          <w:noProof/>
        </w:rPr>
        <w:t>t</w:t>
      </w:r>
      <w:r w:rsidR="00B96F48" w:rsidRPr="007D7B63">
        <w:rPr>
          <w:noProof/>
        </w:rPr>
        <w:t>he</w:t>
      </w:r>
      <w:r w:rsidR="00B96F48" w:rsidRPr="00CC1D5C">
        <w:rPr>
          <w:noProof/>
        </w:rPr>
        <w:t xml:space="preserve"> trader should convey to consumers the information that the producer has provided to the trader or has otherwise intended to make readily available to the consumer before the conclusion of the contract, by indicating it on the product itself, its packaging or tags and labels that the consumer would </w:t>
      </w:r>
      <w:r w:rsidR="00896263">
        <w:rPr>
          <w:noProof/>
        </w:rPr>
        <w:t xml:space="preserve">normally </w:t>
      </w:r>
      <w:r w:rsidR="00B96F48" w:rsidRPr="00CC1D5C">
        <w:rPr>
          <w:noProof/>
        </w:rPr>
        <w:t>consult</w:t>
      </w:r>
      <w:r w:rsidR="00FC107B">
        <w:rPr>
          <w:noProof/>
        </w:rPr>
        <w:t xml:space="preserve"> before concluding the contract</w:t>
      </w:r>
      <w:r w:rsidR="00B96F48" w:rsidRPr="00CC1D5C">
        <w:rPr>
          <w:noProof/>
        </w:rPr>
        <w:t xml:space="preserve">. The trader should not be required to actively search for such information from the producer, for example, on the product-specific websites. </w:t>
      </w:r>
      <w:r w:rsidR="00B96F48" w:rsidRPr="00CC1D5C" w:rsidDel="00104A42">
        <w:rPr>
          <w:noProof/>
        </w:rPr>
        <w:t xml:space="preserve"> </w:t>
      </w:r>
    </w:p>
    <w:p w:rsidR="00517FD6" w:rsidRPr="00AA5DB8" w:rsidRDefault="00C327B1" w:rsidP="00C327B1">
      <w:pPr>
        <w:pStyle w:val="ManualConsidrant"/>
        <w:rPr>
          <w:noProof/>
        </w:rPr>
      </w:pPr>
      <w:r w:rsidRPr="00C327B1">
        <w:t>(34)</w:t>
      </w:r>
      <w:r w:rsidRPr="00C327B1">
        <w:tab/>
      </w:r>
      <w:r w:rsidR="00517FD6" w:rsidRPr="00AA5DB8">
        <w:rPr>
          <w:noProof/>
        </w:rPr>
        <w:t>D</w:t>
      </w:r>
      <w:r w:rsidR="00517FD6" w:rsidRPr="00AA5DB8">
        <w:rPr>
          <w:noProof/>
          <w:bdr w:val="none" w:sz="0" w:space="0" w:color="auto" w:frame="1"/>
          <w:shd w:val="clear" w:color="auto" w:fill="FFFFFF"/>
        </w:rPr>
        <w:t>irectives 2005/29/EC and 2011/83/EU</w:t>
      </w:r>
      <w:r w:rsidR="004D5159">
        <w:rPr>
          <w:noProof/>
          <w:bdr w:val="none" w:sz="0" w:space="0" w:color="auto" w:frame="1"/>
          <w:shd w:val="clear" w:color="auto" w:fill="FFFFFF"/>
        </w:rPr>
        <w:t xml:space="preserve"> should</w:t>
      </w:r>
      <w:r w:rsidR="00517FD6" w:rsidRPr="00AA5DB8">
        <w:rPr>
          <w:noProof/>
          <w:bdr w:val="none" w:sz="0" w:space="0" w:color="auto" w:frame="1"/>
          <w:shd w:val="clear" w:color="auto" w:fill="FFFFFF"/>
        </w:rPr>
        <w:t xml:space="preserve"> </w:t>
      </w:r>
      <w:r w:rsidR="00AE418A" w:rsidRPr="00AA5DB8">
        <w:rPr>
          <w:noProof/>
          <w:bdr w:val="none" w:sz="0" w:space="0" w:color="auto" w:frame="1"/>
          <w:shd w:val="clear" w:color="auto" w:fill="FFFFFF"/>
        </w:rPr>
        <w:t xml:space="preserve">continue to </w:t>
      </w:r>
      <w:r w:rsidR="00517FD6" w:rsidRPr="00AA5DB8">
        <w:rPr>
          <w:noProof/>
          <w:bdr w:val="none" w:sz="0" w:space="0" w:color="auto" w:frame="1"/>
          <w:shd w:val="clear" w:color="auto" w:fill="FFFFFF"/>
        </w:rPr>
        <w:t xml:space="preserve">work as a ‘safety net’ ensuring that a high level of consumer </w:t>
      </w:r>
      <w:r w:rsidR="00517FD6" w:rsidRPr="00AD0CD6">
        <w:rPr>
          <w:noProof/>
        </w:rPr>
        <w:t>protection</w:t>
      </w:r>
      <w:r w:rsidR="00517FD6" w:rsidRPr="00AA5DB8">
        <w:rPr>
          <w:noProof/>
          <w:bdr w:val="none" w:sz="0" w:space="0" w:color="auto" w:frame="1"/>
          <w:shd w:val="clear" w:color="auto" w:fill="FFFFFF"/>
        </w:rPr>
        <w:t xml:space="preserve"> can be maintained in all sectors, by complementing sector</w:t>
      </w:r>
      <w:r w:rsidR="00740D92" w:rsidRPr="00AA5DB8">
        <w:rPr>
          <w:noProof/>
          <w:bdr w:val="none" w:sz="0" w:space="0" w:color="auto" w:frame="1"/>
          <w:shd w:val="clear" w:color="auto" w:fill="FFFFFF"/>
        </w:rPr>
        <w:t xml:space="preserve"> and product</w:t>
      </w:r>
      <w:r w:rsidR="00517FD6" w:rsidRPr="00AA5DB8">
        <w:rPr>
          <w:noProof/>
          <w:bdr w:val="none" w:sz="0" w:space="0" w:color="auto" w:frame="1"/>
          <w:shd w:val="clear" w:color="auto" w:fill="FFFFFF"/>
        </w:rPr>
        <w:t xml:space="preserve">-specific Union law that </w:t>
      </w:r>
      <w:r w:rsidR="00740D92" w:rsidRPr="00AA5DB8">
        <w:rPr>
          <w:noProof/>
          <w:bdr w:val="none" w:sz="0" w:space="0" w:color="auto" w:frame="1"/>
          <w:shd w:val="clear" w:color="auto" w:fill="FFFFFF"/>
        </w:rPr>
        <w:t>prevail in case of conflict</w:t>
      </w:r>
      <w:r w:rsidR="00517FD6" w:rsidRPr="00AA5DB8">
        <w:rPr>
          <w:noProof/>
          <w:bdr w:val="none" w:sz="0" w:space="0" w:color="auto" w:frame="1"/>
          <w:shd w:val="clear" w:color="auto" w:fill="FFFFFF"/>
        </w:rPr>
        <w:t>.</w:t>
      </w:r>
    </w:p>
    <w:p w:rsidR="00CB4396" w:rsidRPr="00CC1D5C" w:rsidRDefault="00C327B1" w:rsidP="00C327B1">
      <w:pPr>
        <w:pStyle w:val="ManualConsidrant"/>
        <w:rPr>
          <w:noProof/>
        </w:rPr>
      </w:pPr>
      <w:r w:rsidRPr="00C327B1">
        <w:t>(35)</w:t>
      </w:r>
      <w:r w:rsidRPr="00C327B1">
        <w:tab/>
      </w:r>
      <w:r w:rsidR="00CB4396" w:rsidRPr="00CC1D5C">
        <w:rPr>
          <w:noProof/>
          <w:color w:val="000000"/>
          <w:shd w:val="clear" w:color="auto" w:fill="FFFFFF"/>
        </w:rPr>
        <w:t xml:space="preserve">Since the objectives of this </w:t>
      </w:r>
      <w:r w:rsidR="00CB4396" w:rsidRPr="00AD0CD6">
        <w:rPr>
          <w:noProof/>
        </w:rPr>
        <w:t>Directive</w:t>
      </w:r>
      <w:r w:rsidR="00A74DB9" w:rsidRPr="00CC1D5C">
        <w:rPr>
          <w:noProof/>
          <w:color w:val="000000"/>
          <w:shd w:val="clear" w:color="auto" w:fill="FFFFFF"/>
        </w:rPr>
        <w:t>, namely</w:t>
      </w:r>
      <w:r w:rsidR="004D5A7B" w:rsidRPr="00CC1D5C">
        <w:rPr>
          <w:noProof/>
          <w:color w:val="000000"/>
          <w:shd w:val="clear" w:color="auto" w:fill="FFFFFF"/>
        </w:rPr>
        <w:t>,</w:t>
      </w:r>
      <w:r w:rsidR="00CB4396" w:rsidRPr="00CC1D5C">
        <w:rPr>
          <w:noProof/>
          <w:color w:val="000000"/>
          <w:shd w:val="clear" w:color="auto" w:fill="FFFFFF"/>
        </w:rPr>
        <w:t xml:space="preserve"> </w:t>
      </w:r>
      <w:r w:rsidR="00CB4396" w:rsidRPr="00CC1D5C">
        <w:rPr>
          <w:noProof/>
        </w:rPr>
        <w:t xml:space="preserve">enabling </w:t>
      </w:r>
      <w:r w:rsidR="00FC107B">
        <w:rPr>
          <w:noProof/>
        </w:rPr>
        <w:t xml:space="preserve">better </w:t>
      </w:r>
      <w:r w:rsidR="00CB4396" w:rsidRPr="00CC1D5C">
        <w:rPr>
          <w:noProof/>
        </w:rPr>
        <w:t xml:space="preserve">informed </w:t>
      </w:r>
      <w:r w:rsidR="00FC107B" w:rsidRPr="007D7B63">
        <w:rPr>
          <w:noProof/>
        </w:rPr>
        <w:t>transactional</w:t>
      </w:r>
      <w:r w:rsidR="00CB4396" w:rsidRPr="00CC1D5C">
        <w:rPr>
          <w:noProof/>
        </w:rPr>
        <w:t xml:space="preserve"> decisions by consumers to </w:t>
      </w:r>
      <w:r w:rsidR="007C5112" w:rsidRPr="00CC1D5C">
        <w:rPr>
          <w:noProof/>
        </w:rPr>
        <w:t>promote</w:t>
      </w:r>
      <w:r w:rsidR="00CB4396" w:rsidRPr="00CC1D5C">
        <w:rPr>
          <w:noProof/>
        </w:rPr>
        <w:t xml:space="preserve"> sustainable consumption, eliminating practices that cause damage to the sustainable economy and mislead consumers away from sustainable consumption choices, and ensuring a better and </w:t>
      </w:r>
      <w:r w:rsidR="00A32905" w:rsidRPr="00CC1D5C">
        <w:rPr>
          <w:noProof/>
        </w:rPr>
        <w:t>consistent</w:t>
      </w:r>
      <w:r w:rsidR="00CB4396" w:rsidRPr="00CC1D5C">
        <w:rPr>
          <w:noProof/>
        </w:rPr>
        <w:t xml:space="preserve"> application of the </w:t>
      </w:r>
      <w:r w:rsidR="008E402E" w:rsidRPr="00CC1D5C">
        <w:rPr>
          <w:noProof/>
        </w:rPr>
        <w:t>Union</w:t>
      </w:r>
      <w:r w:rsidR="00CB4396" w:rsidRPr="00CC1D5C">
        <w:rPr>
          <w:noProof/>
        </w:rPr>
        <w:t xml:space="preserve"> consumer legal framework, </w:t>
      </w:r>
      <w:r w:rsidR="00CB4396" w:rsidRPr="00CC1D5C">
        <w:rPr>
          <w:noProof/>
          <w:color w:val="000000"/>
          <w:shd w:val="clear" w:color="auto" w:fill="FFFFFF"/>
        </w:rPr>
        <w:t xml:space="preserve">cannot be sufficiently achieved by the Member States individually but can rather, by reason of the Union-wide character of the problem, be better achieved at </w:t>
      </w:r>
      <w:r w:rsidR="00B4199F" w:rsidRPr="007D7B63">
        <w:rPr>
          <w:noProof/>
          <w:color w:val="000000"/>
          <w:shd w:val="clear" w:color="auto" w:fill="FFFFFF"/>
        </w:rPr>
        <w:t>U</w:t>
      </w:r>
      <w:r w:rsidR="00486293" w:rsidRPr="007D7B63">
        <w:rPr>
          <w:noProof/>
          <w:color w:val="000000"/>
          <w:shd w:val="clear" w:color="auto" w:fill="FFFFFF"/>
        </w:rPr>
        <w:t>nion</w:t>
      </w:r>
      <w:r w:rsidR="00CB4396" w:rsidRPr="00CC1D5C">
        <w:rPr>
          <w:noProof/>
          <w:color w:val="000000"/>
          <w:shd w:val="clear" w:color="auto" w:fill="FFFFFF"/>
        </w:rPr>
        <w:t xml:space="preserve"> level, the </w:t>
      </w:r>
      <w:r w:rsidR="00B4199F" w:rsidRPr="007D7B63">
        <w:rPr>
          <w:noProof/>
          <w:color w:val="000000"/>
          <w:shd w:val="clear" w:color="auto" w:fill="FFFFFF"/>
        </w:rPr>
        <w:t>U</w:t>
      </w:r>
      <w:r w:rsidR="00486293" w:rsidRPr="007D7B63">
        <w:rPr>
          <w:noProof/>
          <w:color w:val="000000"/>
          <w:shd w:val="clear" w:color="auto" w:fill="FFFFFF"/>
        </w:rPr>
        <w:t>nion</w:t>
      </w:r>
      <w:r w:rsidR="00CB4396" w:rsidRPr="00CC1D5C">
        <w:rPr>
          <w:noProof/>
          <w:color w:val="000000"/>
          <w:shd w:val="clear" w:color="auto" w:fill="FFFFFF"/>
        </w:rPr>
        <w:t xml:space="preserve"> may adopt measures, in accordance with the principle of subsidiarity as set out in Article 5 of the Treaty on European Union. In accordance with the principle of proportionality, as set out in that Article, this Directive does not go beyond what is necessary </w:t>
      </w:r>
      <w:r w:rsidR="007C5112" w:rsidRPr="00CC1D5C">
        <w:rPr>
          <w:noProof/>
          <w:color w:val="000000"/>
          <w:shd w:val="clear" w:color="auto" w:fill="FFFFFF"/>
        </w:rPr>
        <w:t>to</w:t>
      </w:r>
      <w:r w:rsidR="00CB4396" w:rsidRPr="00CC1D5C">
        <w:rPr>
          <w:noProof/>
          <w:color w:val="000000"/>
          <w:shd w:val="clear" w:color="auto" w:fill="FFFFFF"/>
        </w:rPr>
        <w:t xml:space="preserve"> achieve those objectives.</w:t>
      </w:r>
    </w:p>
    <w:p w:rsidR="00537F20" w:rsidRPr="00CC1D5C" w:rsidRDefault="00C327B1" w:rsidP="00C327B1">
      <w:pPr>
        <w:pStyle w:val="ManualConsidrant"/>
        <w:rPr>
          <w:noProof/>
        </w:rPr>
      </w:pPr>
      <w:r w:rsidRPr="00C327B1">
        <w:t>(36)</w:t>
      </w:r>
      <w:r w:rsidRPr="00C327B1">
        <w:tab/>
      </w:r>
      <w:r w:rsidR="003A4A5F" w:rsidRPr="00AA5DB8">
        <w:rPr>
          <w:noProof/>
        </w:rPr>
        <w:t>In accordance with the Joint Political Declaration of 28 September 2011 of Member States and the Commission on explanatory documents</w:t>
      </w:r>
      <w:r w:rsidR="003A4A5F" w:rsidRPr="00586113">
        <w:rPr>
          <w:rStyle w:val="FootnoteReference0"/>
          <w:noProof/>
        </w:rPr>
        <w:footnoteReference w:id="32"/>
      </w:r>
      <w:r w:rsidR="003A4A5F" w:rsidRPr="00AA5DB8">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r w:rsidR="00986CAA">
        <w:rPr>
          <w:noProof/>
        </w:rPr>
        <w:t>,</w:t>
      </w:r>
    </w:p>
    <w:p w:rsidR="00537F20" w:rsidRPr="00CC1D5C" w:rsidRDefault="00537F20" w:rsidP="00537F20">
      <w:pPr>
        <w:pStyle w:val="Formuledadoption"/>
        <w:spacing w:before="480"/>
        <w:rPr>
          <w:noProof/>
        </w:rPr>
      </w:pPr>
      <w:r w:rsidRPr="00CC1D5C">
        <w:rPr>
          <w:noProof/>
        </w:rPr>
        <w:t>HAVE ADOPTED THIS DIRECTIVE:</w:t>
      </w:r>
    </w:p>
    <w:p w:rsidR="00537F20" w:rsidRPr="00CC1D5C" w:rsidRDefault="00537F20" w:rsidP="00537F20">
      <w:pPr>
        <w:pStyle w:val="Titrearticle"/>
        <w:spacing w:before="0" w:after="240"/>
        <w:rPr>
          <w:noProof/>
        </w:rPr>
      </w:pPr>
      <w:r w:rsidRPr="00CC1D5C">
        <w:rPr>
          <w:noProof/>
        </w:rPr>
        <w:t>Article 1</w:t>
      </w:r>
    </w:p>
    <w:p w:rsidR="00537F20" w:rsidRPr="00CC1D5C" w:rsidRDefault="00537F20" w:rsidP="00537F20">
      <w:pPr>
        <w:pStyle w:val="NormalCentered"/>
        <w:spacing w:before="0" w:after="240"/>
        <w:rPr>
          <w:b/>
          <w:noProof/>
        </w:rPr>
      </w:pPr>
      <w:r w:rsidRPr="00CC1D5C">
        <w:rPr>
          <w:b/>
          <w:noProof/>
        </w:rPr>
        <w:t>Amendments to Directive 2005/29/EC</w:t>
      </w:r>
    </w:p>
    <w:p w:rsidR="00537F20" w:rsidRPr="00CC1D5C" w:rsidRDefault="00537F20" w:rsidP="00537F20">
      <w:pPr>
        <w:spacing w:before="0" w:after="240"/>
        <w:rPr>
          <w:noProof/>
        </w:rPr>
      </w:pPr>
      <w:r w:rsidRPr="00CC1D5C">
        <w:rPr>
          <w:noProof/>
        </w:rPr>
        <w:t>Directive 2005/29/EC is amended as follows:</w:t>
      </w:r>
    </w:p>
    <w:p w:rsidR="00537F20" w:rsidRPr="00CC1D5C" w:rsidRDefault="00C327B1" w:rsidP="00C327B1">
      <w:pPr>
        <w:pStyle w:val="Point1"/>
        <w:rPr>
          <w:noProof/>
        </w:rPr>
      </w:pPr>
      <w:r w:rsidRPr="00C327B1">
        <w:t>(1)</w:t>
      </w:r>
      <w:r w:rsidRPr="00C327B1">
        <w:tab/>
      </w:r>
      <w:r w:rsidR="00537F20" w:rsidRPr="00CC1D5C">
        <w:rPr>
          <w:noProof/>
        </w:rPr>
        <w:t>in Article 2, the following points (o) to (</w:t>
      </w:r>
      <w:r w:rsidR="00F512B1">
        <w:rPr>
          <w:noProof/>
        </w:rPr>
        <w:t>y</w:t>
      </w:r>
      <w:r w:rsidR="00537F20" w:rsidRPr="00CC1D5C">
        <w:rPr>
          <w:noProof/>
        </w:rPr>
        <w:t>) are added:</w:t>
      </w:r>
    </w:p>
    <w:p w:rsidR="00CF3F49" w:rsidRPr="00813A4A" w:rsidRDefault="00537F20" w:rsidP="00813A4A">
      <w:pPr>
        <w:pStyle w:val="Text2"/>
        <w:spacing w:before="0" w:after="240"/>
        <w:rPr>
          <w:noProof/>
          <w:color w:val="000000"/>
          <w:szCs w:val="24"/>
        </w:rPr>
      </w:pPr>
      <w:r w:rsidRPr="00A649BF">
        <w:rPr>
          <w:noProof/>
        </w:rPr>
        <w:t>‘(o) ‘</w:t>
      </w:r>
      <w:r w:rsidRPr="00A649BF">
        <w:rPr>
          <w:noProof/>
          <w:color w:val="000000"/>
          <w:szCs w:val="24"/>
        </w:rPr>
        <w:t xml:space="preserve">environmental claim’ means any message or representation, which is not mandatory under Union law or national law, including text, pictorial, graphic or symbolic representation, in any form, including labels, brand names, company names or product names, in the context of a commercial communication, which </w:t>
      </w:r>
      <w:r w:rsidRPr="00990041">
        <w:rPr>
          <w:noProof/>
          <w:color w:val="000000"/>
          <w:szCs w:val="24"/>
        </w:rPr>
        <w:t>states</w:t>
      </w:r>
      <w:r w:rsidRPr="008A7630">
        <w:rPr>
          <w:noProof/>
          <w:color w:val="000000"/>
          <w:szCs w:val="24"/>
        </w:rPr>
        <w:t xml:space="preserve"> or </w:t>
      </w:r>
      <w:r w:rsidRPr="00990041">
        <w:rPr>
          <w:noProof/>
          <w:color w:val="000000"/>
          <w:szCs w:val="24"/>
        </w:rPr>
        <w:t>implies</w:t>
      </w:r>
      <w:r w:rsidRPr="008A7630">
        <w:rPr>
          <w:noProof/>
          <w:color w:val="000000"/>
          <w:szCs w:val="24"/>
        </w:rPr>
        <w:t xml:space="preserve"> that a product or trader </w:t>
      </w:r>
      <w:r w:rsidRPr="00990041">
        <w:rPr>
          <w:noProof/>
          <w:color w:val="000000"/>
          <w:szCs w:val="24"/>
        </w:rPr>
        <w:t>has</w:t>
      </w:r>
      <w:r w:rsidRPr="00A649BF">
        <w:rPr>
          <w:noProof/>
          <w:color w:val="000000"/>
          <w:szCs w:val="24"/>
        </w:rPr>
        <w:t xml:space="preserve"> a positive or no impact on the environment or is less damaging to the environment than other products or traders</w:t>
      </w:r>
      <w:r w:rsidR="0021327B" w:rsidRPr="00D12A1E">
        <w:rPr>
          <w:noProof/>
          <w:color w:val="000000"/>
          <w:szCs w:val="24"/>
        </w:rPr>
        <w:t>, respectively,</w:t>
      </w:r>
      <w:r w:rsidRPr="00D12A1E">
        <w:rPr>
          <w:noProof/>
          <w:color w:val="000000"/>
          <w:szCs w:val="24"/>
        </w:rPr>
        <w:t xml:space="preserve"> or ha</w:t>
      </w:r>
      <w:r w:rsidR="00726735">
        <w:rPr>
          <w:noProof/>
          <w:color w:val="000000"/>
          <w:szCs w:val="24"/>
        </w:rPr>
        <w:t>s</w:t>
      </w:r>
      <w:r w:rsidRPr="00D12A1E">
        <w:rPr>
          <w:noProof/>
          <w:color w:val="000000"/>
          <w:szCs w:val="24"/>
        </w:rPr>
        <w:t xml:space="preserve"> improved their impact over time;</w:t>
      </w:r>
    </w:p>
    <w:p w:rsidR="00537F20" w:rsidRPr="00CC1D5C" w:rsidRDefault="00537F20" w:rsidP="00537F20">
      <w:pPr>
        <w:pStyle w:val="Text2"/>
        <w:spacing w:before="0" w:after="240"/>
        <w:rPr>
          <w:noProof/>
          <w:color w:val="000000"/>
        </w:rPr>
      </w:pPr>
      <w:r w:rsidRPr="00CC1D5C">
        <w:rPr>
          <w:noProof/>
          <w:color w:val="000000"/>
        </w:rPr>
        <w:t xml:space="preserve">(p) ‘explicit environmental claim’ means an environmental claim that is in </w:t>
      </w:r>
      <w:r w:rsidRPr="00CC1D5C">
        <w:rPr>
          <w:noProof/>
          <w:color w:val="000000"/>
          <w:szCs w:val="24"/>
        </w:rPr>
        <w:t xml:space="preserve">textual form or contained in a </w:t>
      </w:r>
      <w:r w:rsidR="003D0585">
        <w:rPr>
          <w:noProof/>
          <w:color w:val="000000"/>
          <w:szCs w:val="24"/>
        </w:rPr>
        <w:t xml:space="preserve">sustainability </w:t>
      </w:r>
      <w:r w:rsidRPr="00CC1D5C">
        <w:rPr>
          <w:noProof/>
          <w:color w:val="000000"/>
          <w:szCs w:val="24"/>
        </w:rPr>
        <w:t>label</w:t>
      </w:r>
      <w:r w:rsidRPr="00CC1D5C">
        <w:rPr>
          <w:noProof/>
          <w:color w:val="000000"/>
        </w:rPr>
        <w:t>;</w:t>
      </w:r>
    </w:p>
    <w:p w:rsidR="00537F20" w:rsidRPr="00CC1D5C" w:rsidRDefault="00537F20" w:rsidP="00537F20">
      <w:pPr>
        <w:pStyle w:val="Text2"/>
        <w:spacing w:before="0" w:after="240"/>
        <w:rPr>
          <w:noProof/>
          <w:szCs w:val="24"/>
        </w:rPr>
      </w:pPr>
      <w:r w:rsidRPr="00CC1D5C">
        <w:rPr>
          <w:noProof/>
        </w:rPr>
        <w:t>(q) ‘</w:t>
      </w:r>
      <w:r w:rsidRPr="00CC1D5C">
        <w:rPr>
          <w:noProof/>
          <w:szCs w:val="24"/>
        </w:rPr>
        <w:t>generic environmental claim’ means any explicit environmental claim</w:t>
      </w:r>
      <w:r w:rsidR="00E10B79">
        <w:rPr>
          <w:noProof/>
          <w:szCs w:val="24"/>
        </w:rPr>
        <w:t>, not contained in a sustainability label,</w:t>
      </w:r>
      <w:r w:rsidRPr="00CC1D5C">
        <w:rPr>
          <w:noProof/>
          <w:szCs w:val="24"/>
        </w:rPr>
        <w:t xml:space="preserve"> where the </w:t>
      </w:r>
      <w:r w:rsidR="00387DE3">
        <w:rPr>
          <w:noProof/>
          <w:szCs w:val="24"/>
        </w:rPr>
        <w:t>specification of</w:t>
      </w:r>
      <w:r w:rsidR="00387DE3" w:rsidRPr="00CC1D5C">
        <w:rPr>
          <w:noProof/>
          <w:szCs w:val="24"/>
        </w:rPr>
        <w:t xml:space="preserve"> </w:t>
      </w:r>
      <w:r w:rsidRPr="00CC1D5C">
        <w:rPr>
          <w:noProof/>
          <w:szCs w:val="24"/>
        </w:rPr>
        <w:t>the claim is not provided in clear and prominent terms on the same medium;</w:t>
      </w:r>
    </w:p>
    <w:p w:rsidR="00537F20" w:rsidRPr="00CC1D5C" w:rsidRDefault="00537F20" w:rsidP="00537F20">
      <w:pPr>
        <w:spacing w:before="0" w:after="240"/>
        <w:ind w:left="1417" w:firstLine="83"/>
        <w:rPr>
          <w:noProof/>
        </w:rPr>
      </w:pPr>
      <w:r w:rsidRPr="00CC1D5C">
        <w:rPr>
          <w:noProof/>
        </w:rPr>
        <w:t xml:space="preserve">(r) ‘sustainability label’ means any voluntary trust mark, quality mark or equivalent, either public or private, that aims to set apart and promote a product, a process or a business with reference to </w:t>
      </w:r>
      <w:r w:rsidR="008A7630">
        <w:rPr>
          <w:noProof/>
        </w:rPr>
        <w:t xml:space="preserve">its </w:t>
      </w:r>
      <w:r w:rsidRPr="00CC1D5C">
        <w:rPr>
          <w:noProof/>
        </w:rPr>
        <w:t>environmental or social</w:t>
      </w:r>
      <w:r w:rsidR="003A1D71">
        <w:rPr>
          <w:noProof/>
        </w:rPr>
        <w:t xml:space="preserve"> </w:t>
      </w:r>
      <w:r w:rsidRPr="00CC1D5C">
        <w:rPr>
          <w:noProof/>
        </w:rPr>
        <w:t xml:space="preserve"> aspects or both. This does not cover any mandatory label required in accordance with Union or national law;</w:t>
      </w:r>
    </w:p>
    <w:p w:rsidR="00207E7E" w:rsidRDefault="00537F20" w:rsidP="00F851C5">
      <w:pPr>
        <w:pStyle w:val="Normal3"/>
        <w:spacing w:before="0" w:beforeAutospacing="0" w:after="240" w:afterAutospacing="0"/>
        <w:ind w:left="1417"/>
        <w:jc w:val="both"/>
        <w:rPr>
          <w:noProof/>
        </w:rPr>
      </w:pPr>
      <w:r w:rsidRPr="00CC1D5C">
        <w:rPr>
          <w:noProof/>
        </w:rPr>
        <w:t>(s) ‘certification scheme’ means a third-party verification scheme that is open under transparent</w:t>
      </w:r>
      <w:r w:rsidR="00C04C61">
        <w:rPr>
          <w:noProof/>
        </w:rPr>
        <w:t>,</w:t>
      </w:r>
      <w:r w:rsidRPr="00CC1D5C">
        <w:rPr>
          <w:noProof/>
        </w:rPr>
        <w:t xml:space="preserve"> fair and non-discriminatory terms to all traders willing and able to comply with the scheme’s requirements, </w:t>
      </w:r>
      <w:r w:rsidR="00E25ECE">
        <w:rPr>
          <w:noProof/>
        </w:rPr>
        <w:t>which</w:t>
      </w:r>
      <w:r w:rsidR="00E25ECE" w:rsidRPr="00CC1D5C" w:rsidDel="00E25ECE">
        <w:rPr>
          <w:noProof/>
        </w:rPr>
        <w:t xml:space="preserve"> </w:t>
      </w:r>
      <w:r w:rsidR="00E25ECE">
        <w:rPr>
          <w:noProof/>
        </w:rPr>
        <w:t>certifies</w:t>
      </w:r>
      <w:r w:rsidRPr="00CC1D5C">
        <w:rPr>
          <w:noProof/>
        </w:rPr>
        <w:t xml:space="preserve"> that</w:t>
      </w:r>
      <w:r w:rsidR="00B66279">
        <w:rPr>
          <w:noProof/>
        </w:rPr>
        <w:t xml:space="preserve"> a</w:t>
      </w:r>
      <w:r w:rsidRPr="00CC1D5C">
        <w:rPr>
          <w:noProof/>
        </w:rPr>
        <w:t xml:space="preserve"> </w:t>
      </w:r>
      <w:r w:rsidR="009939CE">
        <w:rPr>
          <w:noProof/>
        </w:rPr>
        <w:t>product complies with certain requirements</w:t>
      </w:r>
      <w:r w:rsidRPr="00CC1D5C">
        <w:rPr>
          <w:noProof/>
        </w:rPr>
        <w:t xml:space="preserve">, and for which the monitoring of compliance is </w:t>
      </w:r>
      <w:r w:rsidR="00CD38F4">
        <w:rPr>
          <w:noProof/>
        </w:rPr>
        <w:t>objective</w:t>
      </w:r>
      <w:r w:rsidR="00E25ECE">
        <w:rPr>
          <w:noProof/>
        </w:rPr>
        <w:t>,</w:t>
      </w:r>
      <w:r w:rsidR="00CD38F4" w:rsidRPr="00CC1D5C">
        <w:rPr>
          <w:noProof/>
        </w:rPr>
        <w:t xml:space="preserve"> </w:t>
      </w:r>
      <w:r w:rsidR="00E25ECE" w:rsidRPr="00CC1D5C">
        <w:rPr>
          <w:noProof/>
        </w:rPr>
        <w:t xml:space="preserve">based on </w:t>
      </w:r>
      <w:r w:rsidR="00E25ECE" w:rsidRPr="00791F8B">
        <w:rPr>
          <w:noProof/>
        </w:rPr>
        <w:t xml:space="preserve">international, </w:t>
      </w:r>
      <w:r w:rsidR="00F066F4">
        <w:rPr>
          <w:noProof/>
        </w:rPr>
        <w:t>Union</w:t>
      </w:r>
      <w:r w:rsidR="00F066F4" w:rsidRPr="00791F8B">
        <w:rPr>
          <w:noProof/>
        </w:rPr>
        <w:t xml:space="preserve"> </w:t>
      </w:r>
      <w:r w:rsidR="00E25ECE" w:rsidRPr="00791F8B">
        <w:rPr>
          <w:noProof/>
        </w:rPr>
        <w:t>or national standards and procedu</w:t>
      </w:r>
      <w:r w:rsidR="00E25ECE" w:rsidRPr="001C65FC">
        <w:rPr>
          <w:noProof/>
        </w:rPr>
        <w:t>res</w:t>
      </w:r>
      <w:r w:rsidR="00E25ECE" w:rsidRPr="00CC1D5C">
        <w:rPr>
          <w:noProof/>
        </w:rPr>
        <w:t xml:space="preserve"> </w:t>
      </w:r>
      <w:r w:rsidRPr="00CC1D5C">
        <w:rPr>
          <w:noProof/>
        </w:rPr>
        <w:t xml:space="preserve">and </w:t>
      </w:r>
      <w:r w:rsidR="007674B3">
        <w:rPr>
          <w:noProof/>
        </w:rPr>
        <w:t>carried out</w:t>
      </w:r>
      <w:r w:rsidRPr="00CC1D5C">
        <w:rPr>
          <w:noProof/>
        </w:rPr>
        <w:t xml:space="preserve"> by a party independent from both </w:t>
      </w:r>
      <w:r w:rsidR="00B66279">
        <w:rPr>
          <w:noProof/>
        </w:rPr>
        <w:t>the scheme owner and the trader</w:t>
      </w:r>
      <w:r w:rsidR="00AA5DB8" w:rsidRPr="001C65FC">
        <w:rPr>
          <w:noProof/>
        </w:rPr>
        <w:t>;</w:t>
      </w:r>
    </w:p>
    <w:p w:rsidR="008B4363" w:rsidRDefault="007674B3" w:rsidP="008B4363">
      <w:pPr>
        <w:pStyle w:val="Normal3"/>
        <w:spacing w:before="0" w:beforeAutospacing="0" w:after="240" w:afterAutospacing="0"/>
        <w:ind w:left="1417"/>
        <w:jc w:val="both"/>
        <w:rPr>
          <w:noProof/>
          <w:lang w:eastAsia="es-ES"/>
        </w:rPr>
      </w:pPr>
      <w:r w:rsidRPr="00CC1D5C">
        <w:rPr>
          <w:noProof/>
        </w:rPr>
        <w:t xml:space="preserve"> </w:t>
      </w:r>
      <w:r w:rsidR="00537F20" w:rsidRPr="00CC1D5C">
        <w:rPr>
          <w:noProof/>
        </w:rPr>
        <w:t xml:space="preserve">(t) ‘sustainability information tool’ means </w:t>
      </w:r>
      <w:r w:rsidR="00537F20" w:rsidRPr="00CC1D5C">
        <w:rPr>
          <w:noProof/>
          <w:lang w:eastAsia="es-ES"/>
        </w:rPr>
        <w:t xml:space="preserve">software, including a website, part of a website or an application, operated by or on behalf of a trader, </w:t>
      </w:r>
      <w:r w:rsidR="00537F20" w:rsidRPr="00990041">
        <w:rPr>
          <w:noProof/>
          <w:lang w:eastAsia="es-ES"/>
        </w:rPr>
        <w:t>which</w:t>
      </w:r>
      <w:r w:rsidR="00537F20" w:rsidRPr="00CC1D5C">
        <w:rPr>
          <w:noProof/>
          <w:lang w:eastAsia="es-ES"/>
        </w:rPr>
        <w:t xml:space="preserve"> provides information to consumers about environmental or social aspects of products,</w:t>
      </w:r>
      <w:r w:rsidR="00537F20" w:rsidRPr="00CC1D5C">
        <w:rPr>
          <w:noProof/>
        </w:rPr>
        <w:t xml:space="preserve"> or </w:t>
      </w:r>
      <w:r w:rsidR="008420EF">
        <w:rPr>
          <w:noProof/>
        </w:rPr>
        <w:t xml:space="preserve">which </w:t>
      </w:r>
      <w:r w:rsidR="00537F20" w:rsidRPr="00CC1D5C">
        <w:rPr>
          <w:noProof/>
        </w:rPr>
        <w:t>compares products on those aspects</w:t>
      </w:r>
      <w:r w:rsidR="008B4363">
        <w:rPr>
          <w:noProof/>
          <w:lang w:eastAsia="es-ES"/>
        </w:rPr>
        <w:t xml:space="preserve">; </w:t>
      </w:r>
    </w:p>
    <w:p w:rsidR="00537F20" w:rsidRPr="00CC1D5C" w:rsidRDefault="003807CB" w:rsidP="00537F20">
      <w:pPr>
        <w:pStyle w:val="Text2"/>
        <w:spacing w:before="0" w:after="240"/>
        <w:rPr>
          <w:noProof/>
          <w:sz w:val="20"/>
          <w:szCs w:val="20"/>
        </w:rPr>
      </w:pPr>
      <w:r w:rsidDel="003807CB">
        <w:rPr>
          <w:noProof/>
          <w:lang w:eastAsia="es-ES"/>
        </w:rPr>
        <w:t xml:space="preserve"> </w:t>
      </w:r>
      <w:r w:rsidR="00537F20" w:rsidRPr="00CC1D5C">
        <w:rPr>
          <w:noProof/>
        </w:rPr>
        <w:t>(</w:t>
      </w:r>
      <w:r w:rsidR="0085308D">
        <w:rPr>
          <w:noProof/>
        </w:rPr>
        <w:t>u</w:t>
      </w:r>
      <w:r w:rsidR="00537F20" w:rsidRPr="00CC1D5C">
        <w:rPr>
          <w:noProof/>
        </w:rPr>
        <w:t xml:space="preserve">) ‘recognised </w:t>
      </w:r>
      <w:r w:rsidR="00A47762" w:rsidRPr="007D7B63">
        <w:rPr>
          <w:noProof/>
        </w:rPr>
        <w:t xml:space="preserve">excellent </w:t>
      </w:r>
      <w:r w:rsidR="00537F20" w:rsidRPr="007D7B63">
        <w:rPr>
          <w:noProof/>
        </w:rPr>
        <w:t>environmental performance’ means</w:t>
      </w:r>
      <w:r w:rsidR="008420EF">
        <w:rPr>
          <w:noProof/>
        </w:rPr>
        <w:t xml:space="preserve"> environmental performance</w:t>
      </w:r>
      <w:r w:rsidR="00537F20" w:rsidRPr="007D7B63" w:rsidDel="00A47762">
        <w:rPr>
          <w:noProof/>
        </w:rPr>
        <w:t xml:space="preserve"> </w:t>
      </w:r>
      <w:r w:rsidR="006752E4">
        <w:rPr>
          <w:noProof/>
        </w:rPr>
        <w:t>complian</w:t>
      </w:r>
      <w:r w:rsidR="008420EF">
        <w:rPr>
          <w:noProof/>
        </w:rPr>
        <w:t>t</w:t>
      </w:r>
      <w:r w:rsidR="006752E4">
        <w:rPr>
          <w:noProof/>
        </w:rPr>
        <w:t xml:space="preserve"> </w:t>
      </w:r>
      <w:r w:rsidR="00537F20" w:rsidRPr="00CC1D5C">
        <w:rPr>
          <w:noProof/>
        </w:rPr>
        <w:t>with Regulation (EC) 66/2010 of the European Parliament and of the Council*,</w:t>
      </w:r>
      <w:r w:rsidR="00537F20" w:rsidRPr="00CC1D5C" w:rsidDel="002207A9">
        <w:rPr>
          <w:noProof/>
        </w:rPr>
        <w:t xml:space="preserve"> </w:t>
      </w:r>
      <w:r w:rsidR="00537F20" w:rsidRPr="00CC1D5C">
        <w:rPr>
          <w:noProof/>
        </w:rPr>
        <w:t xml:space="preserve">with national or regional EN ISO 14024 type I ecolabelling schemes officially recognised in accordance with Article 11 of Regulation (EC) 66/2010, or </w:t>
      </w:r>
      <w:r w:rsidR="006752E4">
        <w:rPr>
          <w:noProof/>
        </w:rPr>
        <w:t xml:space="preserve">top environmental performance in accordance with </w:t>
      </w:r>
      <w:r w:rsidR="00537F20" w:rsidRPr="00CC1D5C">
        <w:rPr>
          <w:noProof/>
        </w:rPr>
        <w:t>other applicable Union law;</w:t>
      </w:r>
    </w:p>
    <w:p w:rsidR="00537F20" w:rsidRPr="00CC1D5C" w:rsidRDefault="00537F20" w:rsidP="00537F20">
      <w:pPr>
        <w:pStyle w:val="Text2"/>
        <w:spacing w:before="0" w:after="240"/>
        <w:rPr>
          <w:noProof/>
        </w:rPr>
      </w:pPr>
      <w:r w:rsidRPr="00CC1D5C">
        <w:rPr>
          <w:noProof/>
        </w:rPr>
        <w:t>(v) ‘durability’ means durability as defined in Article 2, point (13), of Directive (EU) 2019/771 of the European Parliament and of the Council**;</w:t>
      </w:r>
    </w:p>
    <w:p w:rsidR="00537F20" w:rsidRPr="00CC1D5C" w:rsidRDefault="00537F20" w:rsidP="00537F20">
      <w:pPr>
        <w:pStyle w:val="Text2"/>
        <w:spacing w:before="0" w:after="240"/>
        <w:rPr>
          <w:noProof/>
        </w:rPr>
      </w:pPr>
      <w:r w:rsidRPr="00AA5DB8">
        <w:rPr>
          <w:noProof/>
        </w:rPr>
        <w:t>(w) ‘</w:t>
      </w:r>
      <w:r w:rsidR="0085308D" w:rsidRPr="00AA5DB8">
        <w:rPr>
          <w:noProof/>
        </w:rPr>
        <w:t xml:space="preserve">software </w:t>
      </w:r>
      <w:r w:rsidRPr="00AA5DB8">
        <w:rPr>
          <w:noProof/>
        </w:rPr>
        <w:t>update’ means a free update, including a security update, that is necessary to keep goods with digital elements, digital content and digital services in conformity in accordance with Directives (</w:t>
      </w:r>
      <w:r w:rsidR="00AA5DB8">
        <w:rPr>
          <w:noProof/>
        </w:rPr>
        <w:t>EU) 2019/770 and (EU) 2019/771;</w:t>
      </w:r>
    </w:p>
    <w:p w:rsidR="00537F20" w:rsidRDefault="00537F20" w:rsidP="00537F20">
      <w:pPr>
        <w:pStyle w:val="Text2"/>
        <w:spacing w:before="0" w:after="240"/>
        <w:rPr>
          <w:noProof/>
        </w:rPr>
      </w:pPr>
      <w:r w:rsidRPr="00CC1D5C">
        <w:rPr>
          <w:noProof/>
        </w:rPr>
        <w:t>(x) ‘consumable’ means any component of a good that is used up recurrently and needs to be replaced for the good to function as intended</w:t>
      </w:r>
      <w:r w:rsidR="00C91150">
        <w:rPr>
          <w:noProof/>
        </w:rPr>
        <w:t>;</w:t>
      </w:r>
    </w:p>
    <w:p w:rsidR="00F512B1" w:rsidRPr="00CC1D5C" w:rsidRDefault="00F512B1" w:rsidP="00537F20">
      <w:pPr>
        <w:pStyle w:val="Text2"/>
        <w:spacing w:before="0" w:after="240"/>
        <w:rPr>
          <w:noProof/>
        </w:rPr>
      </w:pPr>
      <w:r>
        <w:rPr>
          <w:noProof/>
        </w:rPr>
        <w:t xml:space="preserve">(y) ‘functionality’ means functionality as defined in </w:t>
      </w:r>
      <w:r w:rsidR="00C91150">
        <w:rPr>
          <w:noProof/>
        </w:rPr>
        <w:t xml:space="preserve">point (9) of </w:t>
      </w:r>
      <w:r>
        <w:rPr>
          <w:noProof/>
        </w:rPr>
        <w:t xml:space="preserve">Article </w:t>
      </w:r>
      <w:r w:rsidR="00C91150">
        <w:rPr>
          <w:noProof/>
        </w:rPr>
        <w:t>2 of Directive (EU) 2019/771.</w:t>
      </w:r>
    </w:p>
    <w:p w:rsidR="00537F20" w:rsidRPr="00CC1D5C" w:rsidRDefault="00537F20" w:rsidP="00537F20">
      <w:pPr>
        <w:pStyle w:val="Text2"/>
        <w:spacing w:before="0" w:after="240"/>
        <w:rPr>
          <w:noProof/>
        </w:rPr>
      </w:pPr>
      <w:r w:rsidRPr="00CC1D5C">
        <w:rPr>
          <w:noProof/>
        </w:rPr>
        <w:t>________</w:t>
      </w:r>
    </w:p>
    <w:p w:rsidR="00537F20" w:rsidRPr="00CC1D5C" w:rsidRDefault="00537F20" w:rsidP="00537F20">
      <w:pPr>
        <w:pStyle w:val="Text2"/>
        <w:spacing w:before="0" w:after="240"/>
        <w:rPr>
          <w:noProof/>
        </w:rPr>
      </w:pPr>
      <w:r w:rsidRPr="00CC1D5C">
        <w:rPr>
          <w:noProof/>
        </w:rPr>
        <w:t>* Regulation (EC) No 66/2010 of the European Parliament and of the Council of 25 November 2009 on the EU Ecolabel (OJ L 27, 30</w:t>
      </w:r>
      <w:r w:rsidRPr="002054F1">
        <w:rPr>
          <w:noProof/>
        </w:rPr>
        <w:t>.1.</w:t>
      </w:r>
      <w:r w:rsidRPr="00CC1D5C">
        <w:rPr>
          <w:noProof/>
        </w:rPr>
        <w:t>2010, p. 1).</w:t>
      </w:r>
    </w:p>
    <w:p w:rsidR="00537F20" w:rsidRPr="00CC1D5C" w:rsidRDefault="00537F20" w:rsidP="00537F20">
      <w:pPr>
        <w:pStyle w:val="Text2"/>
        <w:spacing w:before="0" w:after="240"/>
        <w:rPr>
          <w:noProof/>
        </w:rPr>
      </w:pPr>
      <w:r w:rsidRPr="00CC1D5C">
        <w:rPr>
          <w:noProof/>
        </w:rPr>
        <w:t>** Directive (EU) 2019/771 of the European Parliament and of the Council of 20 May 2019 on certain aspects concerning contracts for the sale of goods, amending Regulation (EU) 2017/2394 and Directive 2009/22/EC, and repealing Directive 1999/44/EC</w:t>
      </w:r>
      <w:r w:rsidR="001F08C1">
        <w:rPr>
          <w:noProof/>
        </w:rPr>
        <w:t xml:space="preserve"> (</w:t>
      </w:r>
      <w:r w:rsidR="001F08C1" w:rsidRPr="001F08C1">
        <w:rPr>
          <w:rStyle w:val="Emphasis"/>
          <w:i w:val="0"/>
          <w:noProof/>
        </w:rPr>
        <w:t>OJ L 136, 22.5.2019, p. 28</w:t>
      </w:r>
      <w:r w:rsidR="007A0F60" w:rsidRPr="1E36A2A2">
        <w:rPr>
          <w:rStyle w:val="Emphasis"/>
          <w:i w:val="0"/>
          <w:noProof/>
        </w:rPr>
        <w:t>).</w:t>
      </w:r>
      <w:r w:rsidRPr="00CC1D5C">
        <w:rPr>
          <w:noProof/>
        </w:rPr>
        <w:t>’</w:t>
      </w:r>
      <w:r w:rsidR="007A0F60">
        <w:rPr>
          <w:noProof/>
        </w:rPr>
        <w:t>;</w:t>
      </w:r>
      <w:r w:rsidR="0075691D">
        <w:rPr>
          <w:noProof/>
        </w:rPr>
        <w:t xml:space="preserve"> </w:t>
      </w:r>
    </w:p>
    <w:p w:rsidR="00537F20" w:rsidRPr="00CC1D5C" w:rsidRDefault="00C327B1" w:rsidP="00C327B1">
      <w:pPr>
        <w:pStyle w:val="Point1"/>
        <w:rPr>
          <w:noProof/>
        </w:rPr>
      </w:pPr>
      <w:r w:rsidRPr="00C327B1">
        <w:t>(2)</w:t>
      </w:r>
      <w:r w:rsidRPr="00C327B1">
        <w:tab/>
      </w:r>
      <w:r w:rsidR="00537F20" w:rsidRPr="00CC1D5C">
        <w:rPr>
          <w:noProof/>
        </w:rPr>
        <w:t>Article 6 is amended as follows:</w:t>
      </w:r>
    </w:p>
    <w:p w:rsidR="00537F20" w:rsidRPr="00CC1D5C" w:rsidRDefault="00C327B1" w:rsidP="00C327B1">
      <w:pPr>
        <w:pStyle w:val="Point1"/>
        <w:rPr>
          <w:noProof/>
        </w:rPr>
      </w:pPr>
      <w:r w:rsidRPr="00C327B1">
        <w:t>(a)</w:t>
      </w:r>
      <w:r w:rsidRPr="00C327B1">
        <w:tab/>
      </w:r>
      <w:r w:rsidR="00537F20" w:rsidRPr="00CC1D5C">
        <w:rPr>
          <w:noProof/>
        </w:rPr>
        <w:t>in paragraph 1, point (b) is replaced by the following:</w:t>
      </w:r>
    </w:p>
    <w:p w:rsidR="00537F20" w:rsidRPr="00CC1D5C" w:rsidRDefault="00537F20" w:rsidP="005A5DF7">
      <w:pPr>
        <w:pStyle w:val="Text3"/>
        <w:spacing w:before="0" w:after="240"/>
        <w:ind w:left="1440"/>
        <w:rPr>
          <w:noProof/>
        </w:rPr>
      </w:pPr>
      <w:r w:rsidRPr="00CC1D5C">
        <w:rPr>
          <w:noProof/>
        </w:rPr>
        <w:t>‘(b) the main characteristics of the product, such as its availability, benefits, risks, execution, composition, environmental</w:t>
      </w:r>
      <w:r w:rsidR="00C34827">
        <w:rPr>
          <w:noProof/>
        </w:rPr>
        <w:t xml:space="preserve"> or social</w:t>
      </w:r>
      <w:r w:rsidRPr="00CC1D5C">
        <w:rPr>
          <w:noProof/>
        </w:rPr>
        <w:t xml:space="preserve"> impact, accessories, </w:t>
      </w:r>
      <w:r w:rsidR="00984008">
        <w:rPr>
          <w:noProof/>
        </w:rPr>
        <w:t>durability,</w:t>
      </w:r>
      <w:r w:rsidRPr="00CC1D5C">
        <w:rPr>
          <w:noProof/>
        </w:rPr>
        <w:t xml:space="preserve"> </w:t>
      </w:r>
      <w:r w:rsidR="00C615B6" w:rsidRPr="007D7B63">
        <w:rPr>
          <w:noProof/>
        </w:rPr>
        <w:t>reparability</w:t>
      </w:r>
      <w:r w:rsidR="00C615B6">
        <w:rPr>
          <w:noProof/>
        </w:rPr>
        <w:t>,</w:t>
      </w:r>
      <w:r w:rsidR="00370CBE">
        <w:rPr>
          <w:noProof/>
        </w:rPr>
        <w:t xml:space="preserve"> </w:t>
      </w:r>
      <w:r w:rsidRPr="00CC1D5C">
        <w:rPr>
          <w:noProof/>
        </w:rPr>
        <w:t>after-sale customer assistance and complaint handling, method and date of manufacture or provision, delivery, fitness for purpose, usage, quantity, specification, geographical or commercial origin or the results to be expected from its use, or the results and material features of tests or checks carried out on the product.’;</w:t>
      </w:r>
    </w:p>
    <w:p w:rsidR="00537F20" w:rsidRPr="00CC1D5C" w:rsidRDefault="00C327B1" w:rsidP="00C327B1">
      <w:pPr>
        <w:pStyle w:val="Point1"/>
        <w:rPr>
          <w:noProof/>
        </w:rPr>
      </w:pPr>
      <w:r w:rsidRPr="00C327B1">
        <w:t>(b)</w:t>
      </w:r>
      <w:r w:rsidRPr="00C327B1">
        <w:tab/>
      </w:r>
      <w:r w:rsidR="00537F20" w:rsidRPr="00CC1D5C">
        <w:rPr>
          <w:noProof/>
        </w:rPr>
        <w:t>in  paragraph 2, the following points (d)</w:t>
      </w:r>
      <w:r w:rsidR="00BF2592">
        <w:rPr>
          <w:noProof/>
        </w:rPr>
        <w:t xml:space="preserve"> and</w:t>
      </w:r>
      <w:r w:rsidR="00AF22D4">
        <w:rPr>
          <w:noProof/>
        </w:rPr>
        <w:t xml:space="preserve"> </w:t>
      </w:r>
      <w:r w:rsidR="00537F20" w:rsidRPr="00CC1D5C">
        <w:rPr>
          <w:noProof/>
        </w:rPr>
        <w:t>(e)</w:t>
      </w:r>
      <w:r w:rsidR="00AF22D4">
        <w:rPr>
          <w:noProof/>
        </w:rPr>
        <w:t xml:space="preserve"> </w:t>
      </w:r>
      <w:r w:rsidR="00537F20" w:rsidRPr="00CC1D5C">
        <w:rPr>
          <w:noProof/>
        </w:rPr>
        <w:t>are added:</w:t>
      </w:r>
    </w:p>
    <w:p w:rsidR="00D70426" w:rsidRPr="00813A4A" w:rsidRDefault="00537F20" w:rsidP="00813A4A">
      <w:pPr>
        <w:pStyle w:val="Text3"/>
        <w:spacing w:before="0" w:after="240"/>
        <w:ind w:left="1440"/>
        <w:rPr>
          <w:noProof/>
        </w:rPr>
      </w:pPr>
      <w:r w:rsidRPr="00CC1D5C">
        <w:rPr>
          <w:noProof/>
        </w:rPr>
        <w:t>‘(d)</w:t>
      </w:r>
      <w:r w:rsidR="008A2A6A">
        <w:rPr>
          <w:noProof/>
        </w:rPr>
        <w:t xml:space="preserve"> </w:t>
      </w:r>
      <w:r w:rsidRPr="00CC1D5C">
        <w:rPr>
          <w:noProof/>
        </w:rPr>
        <w:t xml:space="preserve">making an environmental claim related to future environmental performance without clear, objective and verifiable commitments and targets and </w:t>
      </w:r>
      <w:r w:rsidR="008C4371">
        <w:rPr>
          <w:noProof/>
        </w:rPr>
        <w:t xml:space="preserve">without </w:t>
      </w:r>
      <w:r w:rsidRPr="00CC1D5C">
        <w:rPr>
          <w:noProof/>
        </w:rPr>
        <w:t>a</w:t>
      </w:r>
      <w:r w:rsidR="008C4371">
        <w:rPr>
          <w:noProof/>
        </w:rPr>
        <w:t>n independent</w:t>
      </w:r>
      <w:r w:rsidR="00726735">
        <w:rPr>
          <w:noProof/>
        </w:rPr>
        <w:t xml:space="preserve"> </w:t>
      </w:r>
      <w:r w:rsidRPr="00CC1D5C">
        <w:rPr>
          <w:noProof/>
        </w:rPr>
        <w:t>monitoring system</w:t>
      </w:r>
      <w:r w:rsidR="008C4371">
        <w:rPr>
          <w:noProof/>
        </w:rPr>
        <w:t>;</w:t>
      </w:r>
    </w:p>
    <w:p w:rsidR="00D616E3" w:rsidRPr="007D7B63" w:rsidRDefault="00537F20" w:rsidP="00AA5DB8">
      <w:pPr>
        <w:pStyle w:val="Text3"/>
        <w:spacing w:before="0" w:after="240"/>
        <w:ind w:left="1440"/>
        <w:rPr>
          <w:noProof/>
        </w:rPr>
      </w:pPr>
      <w:r w:rsidRPr="00CC1D5C">
        <w:rPr>
          <w:noProof/>
        </w:rPr>
        <w:t>(</w:t>
      </w:r>
      <w:r w:rsidR="00BF2592">
        <w:rPr>
          <w:noProof/>
        </w:rPr>
        <w:t>e</w:t>
      </w:r>
      <w:r w:rsidRPr="00CC1D5C">
        <w:rPr>
          <w:noProof/>
        </w:rPr>
        <w:t>) advertising benefits for consumers that are considered as a common practice in the relevant market</w:t>
      </w:r>
      <w:r w:rsidR="007A0F60">
        <w:rPr>
          <w:noProof/>
        </w:rPr>
        <w:t>.</w:t>
      </w:r>
      <w:r w:rsidR="00AA5DB8">
        <w:rPr>
          <w:noProof/>
        </w:rPr>
        <w:t>’</w:t>
      </w:r>
    </w:p>
    <w:p w:rsidR="00565F6D" w:rsidRDefault="00C327B1" w:rsidP="00C327B1">
      <w:pPr>
        <w:pStyle w:val="Point1"/>
        <w:rPr>
          <w:noProof/>
        </w:rPr>
      </w:pPr>
      <w:r w:rsidRPr="00C327B1">
        <w:t>(3)</w:t>
      </w:r>
      <w:r w:rsidRPr="00C327B1">
        <w:tab/>
      </w:r>
      <w:r w:rsidR="007A0F60">
        <w:rPr>
          <w:noProof/>
        </w:rPr>
        <w:t>i</w:t>
      </w:r>
      <w:r w:rsidR="008733FA">
        <w:rPr>
          <w:noProof/>
        </w:rPr>
        <w:t>n A</w:t>
      </w:r>
      <w:r w:rsidR="00BF2592">
        <w:rPr>
          <w:noProof/>
        </w:rPr>
        <w:t>rticle</w:t>
      </w:r>
      <w:r w:rsidR="008733FA">
        <w:rPr>
          <w:noProof/>
        </w:rPr>
        <w:t xml:space="preserve"> 7, the following paragraph (7) is added:</w:t>
      </w:r>
    </w:p>
    <w:p w:rsidR="00565F6D" w:rsidRPr="00B66279" w:rsidRDefault="008733FA" w:rsidP="005A5DF7">
      <w:pPr>
        <w:pStyle w:val="Text3"/>
        <w:spacing w:before="0" w:after="240"/>
        <w:ind w:left="1440"/>
        <w:rPr>
          <w:noProof/>
        </w:rPr>
      </w:pPr>
      <w:r w:rsidRPr="00B66279">
        <w:rPr>
          <w:noProof/>
        </w:rPr>
        <w:t>‘7</w:t>
      </w:r>
      <w:r w:rsidR="007A0F60">
        <w:rPr>
          <w:noProof/>
        </w:rPr>
        <w:t xml:space="preserve">. </w:t>
      </w:r>
      <w:r w:rsidR="00565F6D" w:rsidRPr="00B66279">
        <w:rPr>
          <w:noProof/>
        </w:rPr>
        <w:t> Where a trader provides</w:t>
      </w:r>
      <w:r w:rsidR="00F8332B" w:rsidRPr="00B66279">
        <w:rPr>
          <w:noProof/>
        </w:rPr>
        <w:t xml:space="preserve"> a</w:t>
      </w:r>
      <w:r w:rsidR="00565F6D" w:rsidRPr="00B66279">
        <w:rPr>
          <w:noProof/>
        </w:rPr>
        <w:t xml:space="preserve"> </w:t>
      </w:r>
      <w:r w:rsidR="004540D6" w:rsidRPr="00B66279">
        <w:rPr>
          <w:noProof/>
        </w:rPr>
        <w:t>service which compares products</w:t>
      </w:r>
      <w:r w:rsidR="00565F6D" w:rsidRPr="00B66279">
        <w:rPr>
          <w:noProof/>
        </w:rPr>
        <w:t xml:space="preserve">, including through a sustainability information tool, information about the method </w:t>
      </w:r>
      <w:r w:rsidR="00906E8A" w:rsidRPr="00B66279">
        <w:rPr>
          <w:noProof/>
        </w:rPr>
        <w:t xml:space="preserve">of comparison, the products </w:t>
      </w:r>
      <w:r w:rsidR="009939CE" w:rsidRPr="00B66279">
        <w:rPr>
          <w:noProof/>
        </w:rPr>
        <w:t>which are the</w:t>
      </w:r>
      <w:r w:rsidR="00906E8A" w:rsidRPr="00B66279">
        <w:rPr>
          <w:noProof/>
        </w:rPr>
        <w:t xml:space="preserve"> </w:t>
      </w:r>
      <w:r w:rsidR="00EA19E3" w:rsidRPr="00B66279">
        <w:rPr>
          <w:noProof/>
        </w:rPr>
        <w:t>object of comparison</w:t>
      </w:r>
      <w:r w:rsidR="00691228" w:rsidRPr="00B66279">
        <w:rPr>
          <w:noProof/>
        </w:rPr>
        <w:t xml:space="preserve"> and the suppliers of those products</w:t>
      </w:r>
      <w:r w:rsidR="00B66279">
        <w:rPr>
          <w:noProof/>
        </w:rPr>
        <w:t>,</w:t>
      </w:r>
      <w:r w:rsidR="00906E8A" w:rsidRPr="00B66279">
        <w:rPr>
          <w:noProof/>
        </w:rPr>
        <w:t xml:space="preserve"> </w:t>
      </w:r>
      <w:r w:rsidR="008420EF">
        <w:rPr>
          <w:noProof/>
        </w:rPr>
        <w:t>as well as</w:t>
      </w:r>
      <w:r w:rsidR="00565F6D" w:rsidRPr="00B66279">
        <w:rPr>
          <w:noProof/>
        </w:rPr>
        <w:t xml:space="preserve"> the measures </w:t>
      </w:r>
      <w:r w:rsidR="008420EF">
        <w:rPr>
          <w:noProof/>
        </w:rPr>
        <w:t xml:space="preserve">in place </w:t>
      </w:r>
      <w:r w:rsidR="00565F6D" w:rsidRPr="00B66279">
        <w:rPr>
          <w:noProof/>
        </w:rPr>
        <w:t xml:space="preserve">to keep </w:t>
      </w:r>
      <w:r w:rsidR="008420EF">
        <w:rPr>
          <w:noProof/>
        </w:rPr>
        <w:t xml:space="preserve">that </w:t>
      </w:r>
      <w:r w:rsidR="00565F6D" w:rsidRPr="00B66279">
        <w:rPr>
          <w:noProof/>
        </w:rPr>
        <w:t>information up to date</w:t>
      </w:r>
      <w:r w:rsidR="00691228" w:rsidRPr="00B66279">
        <w:rPr>
          <w:noProof/>
        </w:rPr>
        <w:t>,</w:t>
      </w:r>
      <w:r w:rsidR="00565F6D" w:rsidRPr="00B66279">
        <w:rPr>
          <w:noProof/>
        </w:rPr>
        <w:t xml:space="preserve"> shall be regarded as material.’;</w:t>
      </w:r>
    </w:p>
    <w:p w:rsidR="00565F6D" w:rsidRDefault="00565F6D" w:rsidP="005A5DF7">
      <w:pPr>
        <w:rPr>
          <w:noProof/>
        </w:rPr>
      </w:pPr>
    </w:p>
    <w:p w:rsidR="00537F20" w:rsidRPr="00CC1D5C" w:rsidRDefault="00C327B1" w:rsidP="00C327B1">
      <w:pPr>
        <w:pStyle w:val="Point1"/>
        <w:rPr>
          <w:noProof/>
        </w:rPr>
      </w:pPr>
      <w:r w:rsidRPr="00C327B1">
        <w:t>(4)</w:t>
      </w:r>
      <w:r w:rsidRPr="00C327B1">
        <w:tab/>
      </w:r>
      <w:r w:rsidR="00537F20" w:rsidRPr="00CC1D5C">
        <w:rPr>
          <w:noProof/>
        </w:rPr>
        <w:t>Annex I is amended in accordance with the Annex to this Directive.</w:t>
      </w:r>
    </w:p>
    <w:p w:rsidR="00537F20" w:rsidRPr="00CC1D5C" w:rsidRDefault="00537F20" w:rsidP="00537F20">
      <w:pPr>
        <w:rPr>
          <w:noProof/>
        </w:rPr>
      </w:pPr>
    </w:p>
    <w:p w:rsidR="00537F20" w:rsidRPr="00CC1D5C" w:rsidRDefault="00537F20" w:rsidP="00537F20">
      <w:pPr>
        <w:pStyle w:val="Titrearticle"/>
        <w:spacing w:after="240"/>
        <w:rPr>
          <w:noProof/>
        </w:rPr>
      </w:pPr>
      <w:r w:rsidRPr="00CC1D5C">
        <w:rPr>
          <w:noProof/>
        </w:rPr>
        <w:t>Article 2</w:t>
      </w:r>
    </w:p>
    <w:p w:rsidR="00537F20" w:rsidRPr="00CC1D5C" w:rsidRDefault="00537F20" w:rsidP="00537F20">
      <w:pPr>
        <w:pStyle w:val="NormalCentered"/>
        <w:spacing w:before="0" w:after="240"/>
        <w:rPr>
          <w:b/>
          <w:noProof/>
        </w:rPr>
      </w:pPr>
      <w:r w:rsidRPr="00CC1D5C">
        <w:rPr>
          <w:b/>
          <w:noProof/>
        </w:rPr>
        <w:t>Amendments to Directive 2011/83/EU</w:t>
      </w:r>
    </w:p>
    <w:p w:rsidR="00537F20" w:rsidRPr="00CC1D5C" w:rsidRDefault="00537F20" w:rsidP="00537F20">
      <w:pPr>
        <w:spacing w:before="0" w:after="240"/>
        <w:rPr>
          <w:noProof/>
        </w:rPr>
      </w:pPr>
      <w:r w:rsidRPr="00CC1D5C">
        <w:rPr>
          <w:noProof/>
        </w:rPr>
        <w:t>Directive 2011/83/EU is amended as follows:</w:t>
      </w:r>
    </w:p>
    <w:p w:rsidR="00537F20" w:rsidRPr="00CC1D5C" w:rsidRDefault="00C327B1" w:rsidP="00C327B1">
      <w:pPr>
        <w:pStyle w:val="Point1"/>
        <w:rPr>
          <w:noProof/>
        </w:rPr>
      </w:pPr>
      <w:r w:rsidRPr="00C327B1">
        <w:t>(1)</w:t>
      </w:r>
      <w:r w:rsidRPr="00C327B1">
        <w:tab/>
      </w:r>
      <w:r w:rsidR="00537F20" w:rsidRPr="00CC1D5C">
        <w:rPr>
          <w:noProof/>
        </w:rPr>
        <w:t xml:space="preserve">Article 2 is amended as follows: </w:t>
      </w:r>
    </w:p>
    <w:p w:rsidR="00537F20" w:rsidRPr="00CC1D5C" w:rsidRDefault="00C327B1" w:rsidP="00C327B1">
      <w:pPr>
        <w:pStyle w:val="Point3"/>
        <w:rPr>
          <w:noProof/>
        </w:rPr>
      </w:pPr>
      <w:r w:rsidRPr="00C327B1">
        <w:t>(a)</w:t>
      </w:r>
      <w:r w:rsidRPr="00C327B1">
        <w:tab/>
      </w:r>
      <w:r w:rsidR="00537F20" w:rsidRPr="00CC1D5C">
        <w:rPr>
          <w:noProof/>
        </w:rPr>
        <w:t>the following point (3a) is inserted:</w:t>
      </w:r>
    </w:p>
    <w:p w:rsidR="00537F20" w:rsidRPr="00CC1D5C" w:rsidRDefault="00537F20" w:rsidP="00537F20">
      <w:pPr>
        <w:pStyle w:val="Text2"/>
        <w:spacing w:before="0" w:after="240"/>
        <w:ind w:firstLine="23"/>
        <w:rPr>
          <w:noProof/>
        </w:rPr>
      </w:pPr>
      <w:r w:rsidRPr="00CC1D5C" w:rsidDel="00AA2348">
        <w:rPr>
          <w:noProof/>
        </w:rPr>
        <w:t>‘(3a) ‘</w:t>
      </w:r>
      <w:r w:rsidRPr="00CC1D5C">
        <w:rPr>
          <w:noProof/>
        </w:rPr>
        <w:t>energy-using good’ means any good that depends on energy input (electricity, fossil fuels and renewable energy sources) to work as intended;’;</w:t>
      </w:r>
    </w:p>
    <w:p w:rsidR="00537F20" w:rsidRPr="00CC1D5C" w:rsidRDefault="00C327B1" w:rsidP="00C327B1">
      <w:pPr>
        <w:pStyle w:val="Point3"/>
        <w:rPr>
          <w:noProof/>
        </w:rPr>
      </w:pPr>
      <w:r w:rsidRPr="00C327B1">
        <w:t>(b)</w:t>
      </w:r>
      <w:r w:rsidRPr="00C327B1">
        <w:tab/>
      </w:r>
      <w:r w:rsidR="00537F20" w:rsidRPr="00CC1D5C">
        <w:rPr>
          <w:noProof/>
        </w:rPr>
        <w:t>the following points (14a) to (</w:t>
      </w:r>
      <w:r w:rsidR="00537F20" w:rsidRPr="002054F1">
        <w:rPr>
          <w:noProof/>
        </w:rPr>
        <w:t>14</w:t>
      </w:r>
      <w:r w:rsidR="00AC5738" w:rsidRPr="002054F1">
        <w:rPr>
          <w:noProof/>
        </w:rPr>
        <w:t>e</w:t>
      </w:r>
      <w:r w:rsidR="00537F20" w:rsidRPr="002054F1">
        <w:rPr>
          <w:noProof/>
        </w:rPr>
        <w:t>)</w:t>
      </w:r>
      <w:r w:rsidR="00537F20" w:rsidRPr="00CC1D5C">
        <w:rPr>
          <w:noProof/>
        </w:rPr>
        <w:t xml:space="preserve"> are inserted:</w:t>
      </w:r>
    </w:p>
    <w:p w:rsidR="00537F20" w:rsidRPr="00CC1D5C" w:rsidRDefault="00537F20" w:rsidP="00537F20">
      <w:pPr>
        <w:pStyle w:val="Text2"/>
        <w:spacing w:before="0" w:after="240"/>
        <w:rPr>
          <w:noProof/>
        </w:rPr>
      </w:pPr>
      <w:r w:rsidRPr="00AA5DB8">
        <w:rPr>
          <w:noProof/>
        </w:rPr>
        <w:t>‘(14a) ‘commercial guarantee of durability’ means a</w:t>
      </w:r>
      <w:r w:rsidR="00291A60">
        <w:rPr>
          <w:noProof/>
        </w:rPr>
        <w:t xml:space="preserve"> </w:t>
      </w:r>
      <w:r w:rsidR="00291A60" w:rsidRPr="00F906AA">
        <w:rPr>
          <w:noProof/>
        </w:rPr>
        <w:t>producer’s</w:t>
      </w:r>
      <w:r w:rsidRPr="00AA5DB8">
        <w:rPr>
          <w:noProof/>
        </w:rPr>
        <w:t xml:space="preserve">  commercial guarantee of durability </w:t>
      </w:r>
      <w:r w:rsidR="00896263" w:rsidRPr="00AA5DB8">
        <w:rPr>
          <w:noProof/>
        </w:rPr>
        <w:t xml:space="preserve">referred to in </w:t>
      </w:r>
      <w:r w:rsidRPr="00AA5DB8">
        <w:rPr>
          <w:noProof/>
        </w:rPr>
        <w:t xml:space="preserve">Article 17 of Directive (EU) 2019/771, </w:t>
      </w:r>
      <w:r w:rsidR="0096343F" w:rsidRPr="00AA5DB8">
        <w:rPr>
          <w:noProof/>
        </w:rPr>
        <w:t xml:space="preserve">under which </w:t>
      </w:r>
      <w:r w:rsidRPr="00AA5DB8">
        <w:rPr>
          <w:noProof/>
        </w:rPr>
        <w:t>the producer is directly liable to the consumer during the entire period of that guarantee for repair or replacement of the goods;</w:t>
      </w:r>
    </w:p>
    <w:p w:rsidR="00537F20" w:rsidRPr="00CC1D5C" w:rsidRDefault="00537F20" w:rsidP="00537F20">
      <w:pPr>
        <w:pStyle w:val="Text2"/>
        <w:spacing w:before="0" w:after="240"/>
        <w:rPr>
          <w:noProof/>
        </w:rPr>
      </w:pPr>
      <w:r w:rsidRPr="00CC1D5C">
        <w:rPr>
          <w:noProof/>
        </w:rPr>
        <w:t>(14b) ‘durability’ means durability as defined in Article 2, point (13), of Directive (EU) 2019/771;</w:t>
      </w:r>
    </w:p>
    <w:p w:rsidR="00537F20" w:rsidRPr="00CC1D5C" w:rsidRDefault="00537F20" w:rsidP="00537F20">
      <w:pPr>
        <w:pStyle w:val="Text2"/>
        <w:spacing w:before="0" w:after="240"/>
        <w:rPr>
          <w:noProof/>
        </w:rPr>
      </w:pPr>
      <w:r w:rsidRPr="00CC1D5C">
        <w:rPr>
          <w:noProof/>
        </w:rPr>
        <w:t>(14c) ‘producer’ means producer as defined in Article 2, point (4), of Directive (EU) 2019/771;</w:t>
      </w:r>
    </w:p>
    <w:p w:rsidR="00537F20" w:rsidRPr="00CC1D5C" w:rsidRDefault="00537F20" w:rsidP="00537F20">
      <w:pPr>
        <w:pStyle w:val="Text2"/>
        <w:spacing w:before="0" w:after="240"/>
        <w:rPr>
          <w:noProof/>
        </w:rPr>
      </w:pPr>
      <w:r w:rsidRPr="00CC1D5C">
        <w:rPr>
          <w:noProof/>
        </w:rPr>
        <w:t>(14d) ‘reparability score’ means a score expressing the capacity of a good to be repaired, based on a method established in accordance with Union law;</w:t>
      </w:r>
    </w:p>
    <w:p w:rsidR="00537F20" w:rsidRPr="00AA5DB8" w:rsidRDefault="00537F20" w:rsidP="00AA5DB8">
      <w:pPr>
        <w:pStyle w:val="Text2"/>
        <w:spacing w:before="0" w:after="240"/>
        <w:rPr>
          <w:noProof/>
        </w:rPr>
      </w:pPr>
      <w:r w:rsidRPr="00CC1D5C">
        <w:rPr>
          <w:noProof/>
        </w:rPr>
        <w:t>(14e) ‘</w:t>
      </w:r>
      <w:r w:rsidR="00997790">
        <w:rPr>
          <w:noProof/>
        </w:rPr>
        <w:t xml:space="preserve">software </w:t>
      </w:r>
      <w:r w:rsidRPr="00CC1D5C">
        <w:rPr>
          <w:noProof/>
        </w:rPr>
        <w:t>update’ means a free update</w:t>
      </w:r>
      <w:r w:rsidR="00896263">
        <w:rPr>
          <w:noProof/>
        </w:rPr>
        <w:t>,</w:t>
      </w:r>
      <w:r w:rsidRPr="00CC1D5C">
        <w:rPr>
          <w:noProof/>
        </w:rPr>
        <w:t xml:space="preserve"> including a security update, that is necessary to keep goods with digital elements, digital content and digital services in conformity in accordance with Directives (EU) 2019/770 and (EU) 2019/771;</w:t>
      </w:r>
      <w:r w:rsidR="00AA5DB8">
        <w:rPr>
          <w:noProof/>
        </w:rPr>
        <w:t>’;</w:t>
      </w:r>
    </w:p>
    <w:tbl>
      <w:tblPr>
        <w:tblW w:w="3" w:type="pct"/>
        <w:tblCellSpacing w:w="0" w:type="dxa"/>
        <w:tblCellMar>
          <w:left w:w="0" w:type="dxa"/>
          <w:right w:w="0" w:type="dxa"/>
        </w:tblCellMar>
        <w:tblLook w:val="04A0" w:firstRow="1" w:lastRow="0" w:firstColumn="1" w:lastColumn="0" w:noHBand="0" w:noVBand="1"/>
      </w:tblPr>
      <w:tblGrid>
        <w:gridCol w:w="6"/>
      </w:tblGrid>
      <w:tr w:rsidR="00537F20" w:rsidRPr="00CC1D5C" w:rsidTr="00537F20">
        <w:trPr>
          <w:tblCellSpacing w:w="0" w:type="dxa"/>
        </w:trPr>
        <w:tc>
          <w:tcPr>
            <w:tcW w:w="0" w:type="auto"/>
            <w:hideMark/>
          </w:tcPr>
          <w:p w:rsidR="00537F20" w:rsidRPr="00CC1D5C" w:rsidRDefault="00537F20" w:rsidP="00537F20">
            <w:pPr>
              <w:spacing w:before="0" w:after="240"/>
              <w:jc w:val="left"/>
              <w:rPr>
                <w:rFonts w:eastAsia="Times New Roman"/>
                <w:noProof/>
                <w:sz w:val="20"/>
                <w:szCs w:val="24"/>
                <w:lang w:eastAsia="en-IE"/>
              </w:rPr>
            </w:pPr>
          </w:p>
        </w:tc>
      </w:tr>
    </w:tbl>
    <w:p w:rsidR="00537F20" w:rsidRPr="00CC1D5C" w:rsidRDefault="00C327B1" w:rsidP="00C327B1">
      <w:pPr>
        <w:pStyle w:val="Point0"/>
        <w:rPr>
          <w:noProof/>
        </w:rPr>
      </w:pPr>
      <w:r w:rsidRPr="00C327B1">
        <w:t>(2)</w:t>
      </w:r>
      <w:r w:rsidRPr="00C327B1">
        <w:tab/>
      </w:r>
      <w:r w:rsidR="003F0174">
        <w:rPr>
          <w:noProof/>
        </w:rPr>
        <w:t>i</w:t>
      </w:r>
      <w:r w:rsidR="00537F20" w:rsidRPr="00CC1D5C">
        <w:rPr>
          <w:noProof/>
        </w:rPr>
        <w:t>n Article 5, paragraph 1 is amended as follows:</w:t>
      </w:r>
    </w:p>
    <w:p w:rsidR="00537F20" w:rsidRPr="00CC1D5C" w:rsidRDefault="00C327B1" w:rsidP="00C327B1">
      <w:pPr>
        <w:pStyle w:val="Point2"/>
        <w:rPr>
          <w:noProof/>
        </w:rPr>
      </w:pPr>
      <w:r w:rsidRPr="00C327B1">
        <w:t>(a)</w:t>
      </w:r>
      <w:r w:rsidRPr="00C327B1">
        <w:tab/>
      </w:r>
      <w:r w:rsidR="00537F20" w:rsidRPr="00CC1D5C">
        <w:rPr>
          <w:noProof/>
        </w:rPr>
        <w:t>the following points (ea) to (e</w:t>
      </w:r>
      <w:r w:rsidR="005517C5">
        <w:rPr>
          <w:noProof/>
        </w:rPr>
        <w:t>d</w:t>
      </w:r>
      <w:r w:rsidR="00537F20" w:rsidRPr="00CC1D5C">
        <w:rPr>
          <w:noProof/>
        </w:rPr>
        <w:t>) are inserted:</w:t>
      </w:r>
    </w:p>
    <w:p w:rsidR="00537F20" w:rsidRPr="005517C5" w:rsidRDefault="00537F20" w:rsidP="00537F20">
      <w:pPr>
        <w:pStyle w:val="Text2"/>
        <w:spacing w:before="0" w:after="240"/>
        <w:rPr>
          <w:noProof/>
        </w:rPr>
      </w:pPr>
      <w:r w:rsidRPr="00CC1D5C">
        <w:rPr>
          <w:noProof/>
        </w:rPr>
        <w:t xml:space="preserve">‘(ea) for all goods, where the producer makes it available, information that the goods benefit from a </w:t>
      </w:r>
      <w:r w:rsidRPr="005C73EA">
        <w:rPr>
          <w:noProof/>
        </w:rPr>
        <w:t>commercial guarantee of durability</w:t>
      </w:r>
      <w:r w:rsidRPr="00CC1D5C">
        <w:rPr>
          <w:noProof/>
        </w:rPr>
        <w:t xml:space="preserve"> and its </w:t>
      </w:r>
      <w:r w:rsidRPr="007D7B63">
        <w:rPr>
          <w:noProof/>
        </w:rPr>
        <w:t>duration</w:t>
      </w:r>
      <w:r w:rsidR="00AA35EB">
        <w:rPr>
          <w:noProof/>
        </w:rPr>
        <w:t xml:space="preserve"> in </w:t>
      </w:r>
      <w:r w:rsidR="004F735F" w:rsidRPr="005517C5">
        <w:rPr>
          <w:noProof/>
        </w:rPr>
        <w:t>units of time</w:t>
      </w:r>
      <w:r w:rsidRPr="005517C5">
        <w:rPr>
          <w:noProof/>
        </w:rPr>
        <w:t xml:space="preserve">, </w:t>
      </w:r>
      <w:r w:rsidR="000A0CA8">
        <w:rPr>
          <w:noProof/>
        </w:rPr>
        <w:t xml:space="preserve">where that guarantee </w:t>
      </w:r>
      <w:r w:rsidRPr="005517C5">
        <w:rPr>
          <w:noProof/>
        </w:rPr>
        <w:t xml:space="preserve">covers the entire good and has a duration of more than two </w:t>
      </w:r>
      <w:r w:rsidRPr="008A2A6A">
        <w:rPr>
          <w:noProof/>
        </w:rPr>
        <w:t>years</w:t>
      </w:r>
      <w:r w:rsidRPr="005517C5">
        <w:rPr>
          <w:noProof/>
        </w:rPr>
        <w:t>;</w:t>
      </w:r>
    </w:p>
    <w:p w:rsidR="00537F20" w:rsidRPr="00CC1D5C" w:rsidRDefault="00537F20" w:rsidP="00537F20">
      <w:pPr>
        <w:pStyle w:val="Text2"/>
        <w:spacing w:before="0" w:after="240"/>
        <w:rPr>
          <w:noProof/>
        </w:rPr>
      </w:pPr>
      <w:r w:rsidRPr="005C73EA">
        <w:rPr>
          <w:noProof/>
        </w:rPr>
        <w:t xml:space="preserve">(eb) for energy-using goods, where the producer does not make available </w:t>
      </w:r>
      <w:r w:rsidR="00D91901" w:rsidRPr="00F906AA">
        <w:rPr>
          <w:noProof/>
        </w:rPr>
        <w:t xml:space="preserve">the </w:t>
      </w:r>
      <w:r w:rsidRPr="005C73EA">
        <w:rPr>
          <w:noProof/>
        </w:rPr>
        <w:t xml:space="preserve">information </w:t>
      </w:r>
      <w:r w:rsidR="00D91901" w:rsidRPr="00F906AA">
        <w:rPr>
          <w:noProof/>
        </w:rPr>
        <w:t>referred to</w:t>
      </w:r>
      <w:r w:rsidRPr="005C73EA">
        <w:rPr>
          <w:noProof/>
        </w:rPr>
        <w:t xml:space="preserve"> in point (ea), information that the producer </w:t>
      </w:r>
      <w:r w:rsidR="00D91901" w:rsidRPr="00F906AA">
        <w:rPr>
          <w:noProof/>
        </w:rPr>
        <w:t xml:space="preserve">has not provided information on the existence of </w:t>
      </w:r>
      <w:r w:rsidRPr="005C73EA">
        <w:rPr>
          <w:noProof/>
        </w:rPr>
        <w:t xml:space="preserve">a </w:t>
      </w:r>
      <w:r w:rsidR="0013004A" w:rsidRPr="005C73EA">
        <w:rPr>
          <w:noProof/>
        </w:rPr>
        <w:t xml:space="preserve">commercial </w:t>
      </w:r>
      <w:r w:rsidRPr="005C73EA">
        <w:rPr>
          <w:noProof/>
        </w:rPr>
        <w:t>guarantee of durability of more than two years. This information</w:t>
      </w:r>
      <w:r w:rsidRPr="005C73EA" w:rsidDel="00AC1F40">
        <w:rPr>
          <w:noProof/>
        </w:rPr>
        <w:t xml:space="preserve"> </w:t>
      </w:r>
      <w:r w:rsidRPr="005C73EA">
        <w:rPr>
          <w:noProof/>
        </w:rPr>
        <w:t>shall be at least as prominent as any other information</w:t>
      </w:r>
      <w:r w:rsidR="00997790" w:rsidRPr="005C73EA">
        <w:rPr>
          <w:noProof/>
        </w:rPr>
        <w:t xml:space="preserve"> about the existence an</w:t>
      </w:r>
      <w:r w:rsidR="00FC1417" w:rsidRPr="005C73EA">
        <w:rPr>
          <w:noProof/>
        </w:rPr>
        <w:t>d the</w:t>
      </w:r>
      <w:r w:rsidR="00997790" w:rsidRPr="005C73EA">
        <w:rPr>
          <w:noProof/>
        </w:rPr>
        <w:t xml:space="preserve"> conditions of after-sales services and commercial guarantees provided in accordance with point (e)</w:t>
      </w:r>
      <w:r w:rsidR="00AA5DB8" w:rsidRPr="005C73EA">
        <w:rPr>
          <w:noProof/>
        </w:rPr>
        <w:t>;</w:t>
      </w:r>
    </w:p>
    <w:p w:rsidR="00537F20" w:rsidRPr="00CC1D5C" w:rsidRDefault="00537F20" w:rsidP="00537F20">
      <w:pPr>
        <w:pStyle w:val="Text2"/>
        <w:spacing w:before="0" w:after="240"/>
        <w:rPr>
          <w:noProof/>
        </w:rPr>
      </w:pPr>
      <w:r w:rsidRPr="00AA5DB8">
        <w:rPr>
          <w:noProof/>
        </w:rPr>
        <w:t>(e</w:t>
      </w:r>
      <w:r w:rsidR="005517C5">
        <w:rPr>
          <w:noProof/>
        </w:rPr>
        <w:t>c</w:t>
      </w:r>
      <w:r w:rsidRPr="00AA5DB8">
        <w:rPr>
          <w:noProof/>
        </w:rPr>
        <w:t>) for goods with digital elements, where the producer makes such information available, the</w:t>
      </w:r>
      <w:r w:rsidR="00463C7E" w:rsidRPr="00AA5DB8">
        <w:rPr>
          <w:noProof/>
        </w:rPr>
        <w:t xml:space="preserve"> </w:t>
      </w:r>
      <w:r w:rsidR="00463C7E" w:rsidRPr="00FC1417">
        <w:rPr>
          <w:noProof/>
        </w:rPr>
        <w:t>minimum</w:t>
      </w:r>
      <w:r w:rsidRPr="00AA5DB8">
        <w:rPr>
          <w:noProof/>
        </w:rPr>
        <w:t xml:space="preserve"> </w:t>
      </w:r>
      <w:r w:rsidR="008E22A2" w:rsidRPr="00AA5DB8">
        <w:rPr>
          <w:noProof/>
        </w:rPr>
        <w:t>period</w:t>
      </w:r>
      <w:r w:rsidR="00B30218" w:rsidRPr="00AA5DB8">
        <w:rPr>
          <w:noProof/>
        </w:rPr>
        <w:t xml:space="preserve"> </w:t>
      </w:r>
      <w:r w:rsidRPr="00AA5DB8">
        <w:rPr>
          <w:noProof/>
        </w:rPr>
        <w:t xml:space="preserve">in </w:t>
      </w:r>
      <w:r w:rsidR="0095204E" w:rsidRPr="00AA5DB8">
        <w:rPr>
          <w:noProof/>
        </w:rPr>
        <w:t>units of time</w:t>
      </w:r>
      <w:r w:rsidRPr="00AA5DB8">
        <w:rPr>
          <w:noProof/>
        </w:rPr>
        <w:t xml:space="preserve"> during which</w:t>
      </w:r>
      <w:r w:rsidR="00463C7E" w:rsidRPr="00AA5DB8">
        <w:rPr>
          <w:noProof/>
        </w:rPr>
        <w:t xml:space="preserve"> the producer </w:t>
      </w:r>
      <w:r w:rsidR="00B5475E" w:rsidRPr="00AA5DB8">
        <w:rPr>
          <w:noProof/>
        </w:rPr>
        <w:t>provides</w:t>
      </w:r>
      <w:r w:rsidR="00463C7E" w:rsidRPr="00AA5DB8">
        <w:rPr>
          <w:noProof/>
        </w:rPr>
        <w:t xml:space="preserve"> software</w:t>
      </w:r>
      <w:r w:rsidRPr="00AA5DB8">
        <w:rPr>
          <w:noProof/>
        </w:rPr>
        <w:t xml:space="preserve"> updates</w:t>
      </w:r>
      <w:r w:rsidR="00FC1417">
        <w:rPr>
          <w:noProof/>
        </w:rPr>
        <w:t xml:space="preserve">, </w:t>
      </w:r>
      <w:r w:rsidR="00FC1417" w:rsidRPr="007C23C8">
        <w:rPr>
          <w:noProof/>
        </w:rPr>
        <w:t>unless the contract provides for a continuous supply of the digital content or digital service over a period of time</w:t>
      </w:r>
      <w:r w:rsidRPr="00AA5DB8">
        <w:rPr>
          <w:noProof/>
        </w:rPr>
        <w:t xml:space="preserve">. Where information about the existence of a commercial guarantee of durability is provided </w:t>
      </w:r>
      <w:r w:rsidR="00316278" w:rsidRPr="00AA5DB8">
        <w:rPr>
          <w:noProof/>
        </w:rPr>
        <w:t>in accordance with</w:t>
      </w:r>
      <w:r w:rsidRPr="00AA5DB8">
        <w:rPr>
          <w:noProof/>
        </w:rPr>
        <w:t xml:space="preserve"> point (ea), the information on the updates shall be pr</w:t>
      </w:r>
      <w:r w:rsidR="00236203" w:rsidRPr="00AA5DB8">
        <w:rPr>
          <w:noProof/>
        </w:rPr>
        <w:t xml:space="preserve">ovided </w:t>
      </w:r>
      <w:r w:rsidRPr="00AA5DB8">
        <w:rPr>
          <w:noProof/>
        </w:rPr>
        <w:t>if those updates are supplied for a longer period than the commercial guarantee of durability;</w:t>
      </w:r>
      <w:r w:rsidRPr="00CC1D5C">
        <w:rPr>
          <w:noProof/>
        </w:rPr>
        <w:t xml:space="preserve">  </w:t>
      </w:r>
    </w:p>
    <w:p w:rsidR="007C0529" w:rsidRPr="00CC1D5C" w:rsidRDefault="00537F20" w:rsidP="008356D5">
      <w:pPr>
        <w:pStyle w:val="Text2"/>
        <w:spacing w:before="0" w:after="240"/>
        <w:rPr>
          <w:noProof/>
        </w:rPr>
      </w:pPr>
      <w:r w:rsidRPr="00AA5DB8">
        <w:rPr>
          <w:noProof/>
        </w:rPr>
        <w:t>(e</w:t>
      </w:r>
      <w:r w:rsidR="005517C5">
        <w:rPr>
          <w:noProof/>
        </w:rPr>
        <w:t>d</w:t>
      </w:r>
      <w:r w:rsidRPr="00AA5DB8">
        <w:rPr>
          <w:noProof/>
        </w:rPr>
        <w:t>) for digital content and digital services, where the</w:t>
      </w:r>
      <w:r w:rsidR="00E47A94" w:rsidRPr="00AA5DB8">
        <w:rPr>
          <w:noProof/>
        </w:rPr>
        <w:t>ir</w:t>
      </w:r>
      <w:r w:rsidRPr="00AA5DB8">
        <w:rPr>
          <w:noProof/>
        </w:rPr>
        <w:t xml:space="preserve"> provider</w:t>
      </w:r>
      <w:r w:rsidR="00E47A94" w:rsidRPr="00AA5DB8">
        <w:rPr>
          <w:noProof/>
        </w:rPr>
        <w:t xml:space="preserve"> is different from the trader and </w:t>
      </w:r>
      <w:r w:rsidRPr="00AA5DB8">
        <w:rPr>
          <w:noProof/>
        </w:rPr>
        <w:t>makes such information available,</w:t>
      </w:r>
      <w:r w:rsidRPr="00AA5DB8" w:rsidDel="002421FA">
        <w:rPr>
          <w:noProof/>
        </w:rPr>
        <w:t xml:space="preserve"> the </w:t>
      </w:r>
      <w:r w:rsidR="00B5475E" w:rsidRPr="00AA5DB8">
        <w:rPr>
          <w:noProof/>
        </w:rPr>
        <w:t>minimum period</w:t>
      </w:r>
      <w:r w:rsidR="00AA35EB" w:rsidRPr="00AA5DB8">
        <w:rPr>
          <w:noProof/>
        </w:rPr>
        <w:t xml:space="preserve"> </w:t>
      </w:r>
      <w:r w:rsidRPr="00AA5DB8">
        <w:rPr>
          <w:noProof/>
        </w:rPr>
        <w:t xml:space="preserve">in </w:t>
      </w:r>
      <w:r w:rsidR="00FF1E55" w:rsidRPr="00AA5DB8">
        <w:rPr>
          <w:noProof/>
        </w:rPr>
        <w:t>units of time</w:t>
      </w:r>
      <w:r w:rsidRPr="00AA5DB8">
        <w:rPr>
          <w:noProof/>
        </w:rPr>
        <w:t xml:space="preserve"> during which </w:t>
      </w:r>
      <w:r w:rsidR="00B5475E" w:rsidRPr="00AA5DB8">
        <w:rPr>
          <w:noProof/>
        </w:rPr>
        <w:t xml:space="preserve">the provider provides software </w:t>
      </w:r>
      <w:r w:rsidRPr="00AA5DB8">
        <w:rPr>
          <w:noProof/>
        </w:rPr>
        <w:t>updates</w:t>
      </w:r>
      <w:r w:rsidR="00FC1417">
        <w:rPr>
          <w:noProof/>
        </w:rPr>
        <w:t xml:space="preserve">, </w:t>
      </w:r>
      <w:r w:rsidR="00FC1417" w:rsidRPr="007C23C8">
        <w:rPr>
          <w:noProof/>
        </w:rPr>
        <w:t>unless the contract provides for a continuous supply of the digital content or digital service over a period of time</w:t>
      </w:r>
      <w:r w:rsidRPr="00AA5DB8">
        <w:rPr>
          <w:noProof/>
        </w:rPr>
        <w:t>;’</w:t>
      </w:r>
    </w:p>
    <w:p w:rsidR="00537F20" w:rsidRPr="00CC1D5C" w:rsidRDefault="00C327B1" w:rsidP="00C327B1">
      <w:pPr>
        <w:pStyle w:val="Point2"/>
        <w:rPr>
          <w:noProof/>
        </w:rPr>
      </w:pPr>
      <w:r w:rsidRPr="00C327B1">
        <w:t>(b)</w:t>
      </w:r>
      <w:r w:rsidRPr="00C327B1">
        <w:tab/>
      </w:r>
      <w:r w:rsidR="00537F20" w:rsidRPr="00CC1D5C">
        <w:rPr>
          <w:noProof/>
        </w:rPr>
        <w:t>the following points (i) and (j) are added:</w:t>
      </w:r>
    </w:p>
    <w:p w:rsidR="00537F20" w:rsidRPr="00CC1D5C" w:rsidRDefault="00537F20" w:rsidP="00537F20">
      <w:pPr>
        <w:pStyle w:val="Text2"/>
        <w:spacing w:before="0" w:after="240"/>
        <w:rPr>
          <w:noProof/>
        </w:rPr>
      </w:pPr>
      <w:r w:rsidRPr="00CC1D5C">
        <w:rPr>
          <w:noProof/>
        </w:rPr>
        <w:t>‘(i) where applicable, the reparability score for the goods;</w:t>
      </w:r>
    </w:p>
    <w:p w:rsidR="00537F20" w:rsidRPr="00CC1D5C" w:rsidRDefault="00537F20" w:rsidP="00537F20">
      <w:pPr>
        <w:pStyle w:val="Text2"/>
        <w:spacing w:before="0" w:after="240"/>
        <w:rPr>
          <w:noProof/>
        </w:rPr>
      </w:pPr>
      <w:r w:rsidRPr="00CC1D5C">
        <w:rPr>
          <w:noProof/>
        </w:rPr>
        <w:t>(j) when point (i) is not applicable,</w:t>
      </w:r>
      <w:r w:rsidR="00706CE2">
        <w:rPr>
          <w:noProof/>
        </w:rPr>
        <w:t xml:space="preserve"> </w:t>
      </w:r>
      <w:r w:rsidRPr="00CC1D5C">
        <w:rPr>
          <w:noProof/>
        </w:rPr>
        <w:t xml:space="preserve">information made available by the producer about the </w:t>
      </w:r>
      <w:r w:rsidRPr="007D7B63">
        <w:rPr>
          <w:noProof/>
        </w:rPr>
        <w:t xml:space="preserve">availability of spare parts, including </w:t>
      </w:r>
      <w:r w:rsidR="0033513A" w:rsidRPr="007D7B63">
        <w:rPr>
          <w:noProof/>
        </w:rPr>
        <w:t>the</w:t>
      </w:r>
      <w:r w:rsidRPr="007D7B63">
        <w:rPr>
          <w:noProof/>
        </w:rPr>
        <w:t xml:space="preserve"> procedure of ordering them, </w:t>
      </w:r>
      <w:r w:rsidRPr="00CC1D5C">
        <w:rPr>
          <w:noProof/>
        </w:rPr>
        <w:t>and about the availability of a user and repair manual.’;</w:t>
      </w:r>
      <w:r w:rsidR="00B15DEF">
        <w:rPr>
          <w:noProof/>
        </w:rPr>
        <w:t xml:space="preserve">  </w:t>
      </w:r>
    </w:p>
    <w:p w:rsidR="007D7B63" w:rsidRPr="007D7B63" w:rsidRDefault="00C327B1" w:rsidP="00C327B1">
      <w:pPr>
        <w:pStyle w:val="Point1"/>
        <w:rPr>
          <w:noProof/>
        </w:rPr>
      </w:pPr>
      <w:r w:rsidRPr="00C327B1">
        <w:t>(3)</w:t>
      </w:r>
      <w:r w:rsidRPr="00C327B1">
        <w:tab/>
      </w:r>
      <w:r w:rsidR="00537F20" w:rsidRPr="007D7B63">
        <w:rPr>
          <w:noProof/>
        </w:rPr>
        <w:t xml:space="preserve"> in Article 6, paragraph 1 is amended as follows: </w:t>
      </w:r>
    </w:p>
    <w:p w:rsidR="00537F20" w:rsidRPr="00CC1D5C" w:rsidRDefault="00C327B1" w:rsidP="00C327B1">
      <w:pPr>
        <w:pStyle w:val="Point2"/>
        <w:rPr>
          <w:noProof/>
        </w:rPr>
      </w:pPr>
      <w:r w:rsidRPr="00C327B1">
        <w:t>(a)</w:t>
      </w:r>
      <w:r w:rsidRPr="00C327B1">
        <w:tab/>
      </w:r>
      <w:r w:rsidR="00537F20" w:rsidRPr="00CC1D5C">
        <w:rPr>
          <w:noProof/>
        </w:rPr>
        <w:t>the following points (ma) to (m</w:t>
      </w:r>
      <w:r w:rsidR="005517C5">
        <w:rPr>
          <w:noProof/>
        </w:rPr>
        <w:t>d</w:t>
      </w:r>
      <w:r w:rsidR="00537F20" w:rsidRPr="00CC1D5C">
        <w:rPr>
          <w:noProof/>
        </w:rPr>
        <w:t>) are inserted:</w:t>
      </w:r>
    </w:p>
    <w:p w:rsidR="00537F20" w:rsidRPr="00CC1D5C" w:rsidRDefault="00537F20" w:rsidP="00537F20">
      <w:pPr>
        <w:pStyle w:val="Text2"/>
        <w:spacing w:before="0" w:after="240"/>
        <w:rPr>
          <w:noProof/>
        </w:rPr>
      </w:pPr>
      <w:r w:rsidRPr="00CC1D5C">
        <w:rPr>
          <w:noProof/>
        </w:rPr>
        <w:t xml:space="preserve">‘(ma) for </w:t>
      </w:r>
      <w:r w:rsidRPr="00F906AA">
        <w:rPr>
          <w:noProof/>
        </w:rPr>
        <w:t>all</w:t>
      </w:r>
      <w:r w:rsidR="00680DB8" w:rsidRPr="00F906AA">
        <w:rPr>
          <w:noProof/>
        </w:rPr>
        <w:t xml:space="preserve"> types of</w:t>
      </w:r>
      <w:r w:rsidRPr="00CC1D5C">
        <w:rPr>
          <w:noProof/>
        </w:rPr>
        <w:t xml:space="preserve"> goods, where the producer makes it available, information that the goods benefit from a commercial guarantee of durability and its duration</w:t>
      </w:r>
      <w:r w:rsidR="00B30218" w:rsidRPr="007D7B63">
        <w:rPr>
          <w:noProof/>
        </w:rPr>
        <w:t xml:space="preserve"> in units of time</w:t>
      </w:r>
      <w:r w:rsidRPr="00CC1D5C">
        <w:rPr>
          <w:noProof/>
        </w:rPr>
        <w:t xml:space="preserve">, </w:t>
      </w:r>
      <w:r w:rsidR="00343F06">
        <w:rPr>
          <w:noProof/>
        </w:rPr>
        <w:t xml:space="preserve">where that guarantee </w:t>
      </w:r>
      <w:r w:rsidRPr="00CC1D5C">
        <w:rPr>
          <w:noProof/>
        </w:rPr>
        <w:t>covers the entire good and has a duration of more than two years;</w:t>
      </w:r>
    </w:p>
    <w:p w:rsidR="00537F20" w:rsidRPr="00CC1D5C" w:rsidRDefault="00537F20" w:rsidP="00537F20">
      <w:pPr>
        <w:pStyle w:val="Text2"/>
        <w:spacing w:before="0" w:after="240"/>
        <w:rPr>
          <w:noProof/>
        </w:rPr>
      </w:pPr>
      <w:r w:rsidRPr="005C73EA">
        <w:rPr>
          <w:noProof/>
        </w:rPr>
        <w:t xml:space="preserve">(mb) for energy-using goods, where the producer does not make available information </w:t>
      </w:r>
      <w:r w:rsidR="00343F06" w:rsidRPr="00F906AA">
        <w:rPr>
          <w:noProof/>
        </w:rPr>
        <w:t>referred to</w:t>
      </w:r>
      <w:r w:rsidRPr="005C73EA">
        <w:rPr>
          <w:noProof/>
        </w:rPr>
        <w:t xml:space="preserve"> in point (ma), information that the producer </w:t>
      </w:r>
      <w:r w:rsidR="00343F06" w:rsidRPr="00F906AA">
        <w:rPr>
          <w:noProof/>
        </w:rPr>
        <w:t xml:space="preserve">has not provided information on the existence of </w:t>
      </w:r>
      <w:r w:rsidRPr="005C73EA">
        <w:rPr>
          <w:noProof/>
        </w:rPr>
        <w:t xml:space="preserve">a </w:t>
      </w:r>
      <w:r w:rsidR="0013004A" w:rsidRPr="005C73EA">
        <w:rPr>
          <w:noProof/>
        </w:rPr>
        <w:t xml:space="preserve">commercial </w:t>
      </w:r>
      <w:r w:rsidRPr="005C73EA">
        <w:rPr>
          <w:noProof/>
        </w:rPr>
        <w:t>guarantee of durability of more than two years. This information</w:t>
      </w:r>
      <w:r w:rsidRPr="005C73EA" w:rsidDel="00AC1F40">
        <w:rPr>
          <w:noProof/>
        </w:rPr>
        <w:t xml:space="preserve"> </w:t>
      </w:r>
      <w:r w:rsidRPr="005C73EA">
        <w:rPr>
          <w:noProof/>
        </w:rPr>
        <w:t xml:space="preserve">shall be at least as prominent as any other information </w:t>
      </w:r>
      <w:r w:rsidR="006877CA" w:rsidRPr="005C73EA">
        <w:rPr>
          <w:noProof/>
        </w:rPr>
        <w:t>about the existence and the conditions of after-sales services and commercial guarantees provided in accordance with point (m)</w:t>
      </w:r>
      <w:r w:rsidR="00AA5DB8" w:rsidRPr="005C73EA">
        <w:rPr>
          <w:noProof/>
        </w:rPr>
        <w:t>;</w:t>
      </w:r>
    </w:p>
    <w:p w:rsidR="00537F20" w:rsidRPr="00CC1D5C" w:rsidRDefault="005517C5" w:rsidP="00537F20">
      <w:pPr>
        <w:pStyle w:val="Text2"/>
        <w:spacing w:before="0" w:after="240"/>
        <w:rPr>
          <w:noProof/>
        </w:rPr>
      </w:pPr>
      <w:r w:rsidRPr="00AA5DB8" w:rsidDel="005517C5">
        <w:rPr>
          <w:noProof/>
        </w:rPr>
        <w:t xml:space="preserve"> </w:t>
      </w:r>
      <w:r w:rsidR="00537F20" w:rsidRPr="00CC1D5C">
        <w:rPr>
          <w:noProof/>
        </w:rPr>
        <w:t>(m</w:t>
      </w:r>
      <w:r>
        <w:rPr>
          <w:noProof/>
        </w:rPr>
        <w:t>c</w:t>
      </w:r>
      <w:r w:rsidR="00537F20" w:rsidRPr="00CC1D5C">
        <w:rPr>
          <w:noProof/>
        </w:rPr>
        <w:t xml:space="preserve">) for goods with digital elements, where the producer makes such information available, the </w:t>
      </w:r>
      <w:r w:rsidR="006877CA">
        <w:rPr>
          <w:noProof/>
        </w:rPr>
        <w:t xml:space="preserve">minimum </w:t>
      </w:r>
      <w:r w:rsidR="00537F20" w:rsidRPr="00CC1D5C">
        <w:rPr>
          <w:noProof/>
        </w:rPr>
        <w:t xml:space="preserve">period in </w:t>
      </w:r>
      <w:r w:rsidR="00B30218" w:rsidRPr="007D7B63">
        <w:rPr>
          <w:noProof/>
        </w:rPr>
        <w:t>units</w:t>
      </w:r>
      <w:r w:rsidR="00537F20" w:rsidRPr="00CC1D5C">
        <w:rPr>
          <w:noProof/>
        </w:rPr>
        <w:t xml:space="preserve"> of </w:t>
      </w:r>
      <w:r w:rsidR="00B30218" w:rsidRPr="007D7B63">
        <w:rPr>
          <w:noProof/>
        </w:rPr>
        <w:t>time</w:t>
      </w:r>
      <w:r w:rsidR="00537F20" w:rsidRPr="00CC1D5C">
        <w:rPr>
          <w:noProof/>
        </w:rPr>
        <w:t xml:space="preserve"> during which </w:t>
      </w:r>
      <w:r w:rsidR="006877CA">
        <w:rPr>
          <w:noProof/>
        </w:rPr>
        <w:t xml:space="preserve">the producer provides software </w:t>
      </w:r>
      <w:r w:rsidR="00537F20" w:rsidRPr="00CC1D5C">
        <w:rPr>
          <w:noProof/>
        </w:rPr>
        <w:t>updates</w:t>
      </w:r>
      <w:r w:rsidR="00DA1F5A">
        <w:rPr>
          <w:noProof/>
        </w:rPr>
        <w:t xml:space="preserve">, </w:t>
      </w:r>
      <w:r w:rsidR="00DA1F5A" w:rsidRPr="007C23C8">
        <w:rPr>
          <w:noProof/>
        </w:rPr>
        <w:t>unless the contract provides for a continuous supply of the digital content or digital service over a period of time</w:t>
      </w:r>
      <w:r w:rsidR="00537F20" w:rsidRPr="007C23C8">
        <w:rPr>
          <w:noProof/>
        </w:rPr>
        <w:t>.</w:t>
      </w:r>
      <w:r w:rsidR="00537F20" w:rsidRPr="00CC1D5C">
        <w:rPr>
          <w:noProof/>
        </w:rPr>
        <w:t xml:space="preserve"> Where information about the existence of a commercial guarantee of durability is provided </w:t>
      </w:r>
      <w:r w:rsidR="00B30218" w:rsidRPr="007D7B63">
        <w:rPr>
          <w:noProof/>
        </w:rPr>
        <w:t>in accordance</w:t>
      </w:r>
      <w:r w:rsidR="00537F20" w:rsidRPr="00CC1D5C">
        <w:rPr>
          <w:noProof/>
        </w:rPr>
        <w:t xml:space="preserve"> with point (ma), the information on the updates shall be </w:t>
      </w:r>
      <w:r w:rsidR="00B30218" w:rsidRPr="007D7B63">
        <w:rPr>
          <w:noProof/>
        </w:rPr>
        <w:t>provided</w:t>
      </w:r>
      <w:r w:rsidR="00537F20" w:rsidRPr="00CC1D5C">
        <w:rPr>
          <w:noProof/>
        </w:rPr>
        <w:t xml:space="preserve"> if those updates are supplied for a longer period than the commercial guarantee of durability;  </w:t>
      </w:r>
    </w:p>
    <w:p w:rsidR="00537F20" w:rsidRPr="00CC1D5C" w:rsidRDefault="00537F20" w:rsidP="00537F20">
      <w:pPr>
        <w:pStyle w:val="Text2"/>
        <w:spacing w:before="0" w:after="240"/>
        <w:rPr>
          <w:noProof/>
        </w:rPr>
      </w:pPr>
      <w:r w:rsidRPr="00CC1D5C">
        <w:rPr>
          <w:noProof/>
        </w:rPr>
        <w:t>(m</w:t>
      </w:r>
      <w:r w:rsidR="005517C5">
        <w:rPr>
          <w:noProof/>
        </w:rPr>
        <w:t>d</w:t>
      </w:r>
      <w:r w:rsidRPr="00CC1D5C">
        <w:rPr>
          <w:noProof/>
        </w:rPr>
        <w:t xml:space="preserve">) for digital content and digital services, where </w:t>
      </w:r>
      <w:r w:rsidR="00B30218" w:rsidRPr="007D7B63">
        <w:rPr>
          <w:noProof/>
        </w:rPr>
        <w:t>their</w:t>
      </w:r>
      <w:r w:rsidRPr="00CC1D5C">
        <w:rPr>
          <w:noProof/>
        </w:rPr>
        <w:t xml:space="preserve"> provider </w:t>
      </w:r>
      <w:r w:rsidR="00B30218" w:rsidRPr="007D7B63">
        <w:rPr>
          <w:noProof/>
        </w:rPr>
        <w:t>is different from the trader and</w:t>
      </w:r>
      <w:r w:rsidR="00630C32">
        <w:rPr>
          <w:noProof/>
        </w:rPr>
        <w:t xml:space="preserve"> </w:t>
      </w:r>
      <w:r w:rsidRPr="00CC1D5C">
        <w:rPr>
          <w:noProof/>
        </w:rPr>
        <w:t xml:space="preserve"> makes such information available</w:t>
      </w:r>
      <w:r w:rsidR="00B30218" w:rsidRPr="007D7B63">
        <w:rPr>
          <w:noProof/>
        </w:rPr>
        <w:t xml:space="preserve">, the </w:t>
      </w:r>
      <w:r w:rsidR="006877CA">
        <w:rPr>
          <w:noProof/>
        </w:rPr>
        <w:t>minimum period</w:t>
      </w:r>
      <w:r w:rsidRPr="00CC1D5C">
        <w:rPr>
          <w:noProof/>
        </w:rPr>
        <w:t xml:space="preserve"> in </w:t>
      </w:r>
      <w:r w:rsidR="00B30218" w:rsidRPr="007D7B63">
        <w:rPr>
          <w:noProof/>
        </w:rPr>
        <w:t>units of time</w:t>
      </w:r>
      <w:r w:rsidRPr="00CC1D5C">
        <w:rPr>
          <w:noProof/>
        </w:rPr>
        <w:t xml:space="preserve"> during which </w:t>
      </w:r>
      <w:r w:rsidR="006877CA">
        <w:rPr>
          <w:noProof/>
        </w:rPr>
        <w:t xml:space="preserve">the provider provides software </w:t>
      </w:r>
      <w:r w:rsidRPr="00CC1D5C">
        <w:rPr>
          <w:noProof/>
        </w:rPr>
        <w:t>updates</w:t>
      </w:r>
      <w:r w:rsidR="00DA1F5A" w:rsidRPr="00FC1417">
        <w:rPr>
          <w:noProof/>
        </w:rPr>
        <w:t>, unless the contract provides for a continuous supply of the digital content or digital service over a period of time</w:t>
      </w:r>
      <w:r w:rsidRPr="00CC1D5C">
        <w:rPr>
          <w:noProof/>
        </w:rPr>
        <w:t>;’</w:t>
      </w:r>
    </w:p>
    <w:p w:rsidR="00537F20" w:rsidRPr="00CC1D5C" w:rsidRDefault="00C327B1" w:rsidP="00C327B1">
      <w:pPr>
        <w:pStyle w:val="Point0"/>
        <w:rPr>
          <w:noProof/>
        </w:rPr>
      </w:pPr>
      <w:r w:rsidRPr="00C327B1">
        <w:t>(b)</w:t>
      </w:r>
      <w:r w:rsidRPr="00C327B1">
        <w:tab/>
      </w:r>
      <w:r w:rsidR="00537F20" w:rsidRPr="00CC1D5C">
        <w:rPr>
          <w:noProof/>
        </w:rPr>
        <w:t>the following points (u) and (v) are added:</w:t>
      </w:r>
    </w:p>
    <w:p w:rsidR="00537F20" w:rsidRPr="00CC1D5C" w:rsidRDefault="00537F20" w:rsidP="00F906AA">
      <w:pPr>
        <w:rPr>
          <w:noProof/>
        </w:rPr>
      </w:pPr>
      <w:r w:rsidRPr="00CC1D5C">
        <w:rPr>
          <w:noProof/>
        </w:rPr>
        <w:t>‘(u) where applicable, the reparability score for the goods;</w:t>
      </w:r>
    </w:p>
    <w:p w:rsidR="00537F20" w:rsidRPr="00CC1D5C" w:rsidRDefault="00537F20" w:rsidP="00537F20">
      <w:pPr>
        <w:pStyle w:val="Text2"/>
        <w:spacing w:before="0" w:after="240"/>
        <w:rPr>
          <w:noProof/>
        </w:rPr>
      </w:pPr>
      <w:r w:rsidRPr="00CC1D5C">
        <w:rPr>
          <w:noProof/>
        </w:rPr>
        <w:t xml:space="preserve">(v) when point (u) is not applicable, information made available by the producer about the availability of spare parts, including </w:t>
      </w:r>
      <w:r w:rsidR="00B30218" w:rsidRPr="007D7B63">
        <w:rPr>
          <w:noProof/>
        </w:rPr>
        <w:t>the</w:t>
      </w:r>
      <w:r w:rsidRPr="00CC1D5C">
        <w:rPr>
          <w:noProof/>
        </w:rPr>
        <w:t xml:space="preserve"> procedure of ordering them,</w:t>
      </w:r>
      <w:r w:rsidR="00D12DEC">
        <w:rPr>
          <w:noProof/>
        </w:rPr>
        <w:t xml:space="preserve"> </w:t>
      </w:r>
      <w:r w:rsidRPr="00CC1D5C">
        <w:rPr>
          <w:noProof/>
        </w:rPr>
        <w:t>and about the availability of a user and repair manual.’;</w:t>
      </w:r>
    </w:p>
    <w:p w:rsidR="00537F20" w:rsidRPr="00CC1D5C" w:rsidRDefault="00C327B1" w:rsidP="00C327B1">
      <w:pPr>
        <w:pStyle w:val="Point0"/>
        <w:rPr>
          <w:noProof/>
        </w:rPr>
      </w:pPr>
      <w:r w:rsidRPr="00C327B1">
        <w:t>(4)</w:t>
      </w:r>
      <w:r w:rsidRPr="00C327B1">
        <w:tab/>
      </w:r>
      <w:r w:rsidR="00537F20" w:rsidRPr="00CC1D5C">
        <w:rPr>
          <w:noProof/>
        </w:rPr>
        <w:t>in Article 8(2), the first subparagraph is replaced by the following:</w:t>
      </w:r>
    </w:p>
    <w:p w:rsidR="00537F20" w:rsidRPr="00CC1D5C" w:rsidRDefault="00537F20" w:rsidP="005A5DF7">
      <w:pPr>
        <w:rPr>
          <w:noProof/>
        </w:rPr>
      </w:pPr>
      <w:r w:rsidRPr="00CC1D5C">
        <w:rPr>
          <w:noProof/>
        </w:rPr>
        <w:t>‘If a distance contract to be concluded by electronic means places the consumer under an obligation to pay, the trader shall make the consumer aware in a clear and prominent manner, and directly before the consumer places his order, of the information provided for in Article 6(1), points (a), (e), (ma), (mb), (o) and (p).’.</w:t>
      </w:r>
    </w:p>
    <w:p w:rsidR="00D90CD8" w:rsidRPr="00AA5DB8" w:rsidRDefault="00D90CD8" w:rsidP="00AA5DB8">
      <w:pPr>
        <w:pStyle w:val="Titrearticle"/>
        <w:keepLines/>
        <w:spacing w:after="240"/>
        <w:rPr>
          <w:noProof/>
        </w:rPr>
      </w:pPr>
      <w:r w:rsidRPr="00AA5DB8">
        <w:rPr>
          <w:noProof/>
        </w:rPr>
        <w:t>Article 3</w:t>
      </w:r>
    </w:p>
    <w:p w:rsidR="00CA7EC7" w:rsidRPr="00AA5DB8" w:rsidRDefault="00CA7EC7" w:rsidP="00AA5DB8">
      <w:pPr>
        <w:pStyle w:val="Titrearticle"/>
        <w:keepLines/>
        <w:spacing w:after="240"/>
        <w:rPr>
          <w:b/>
          <w:i w:val="0"/>
          <w:noProof/>
        </w:rPr>
      </w:pPr>
      <w:r w:rsidRPr="00AA5DB8">
        <w:rPr>
          <w:rFonts w:eastAsia="Times New Roman"/>
          <w:b/>
          <w:i w:val="0"/>
          <w:noProof/>
          <w:szCs w:val="24"/>
          <w:lang w:val="en-IE" w:eastAsia="en-IE"/>
        </w:rPr>
        <w:t>Reporting by the Commission and review</w:t>
      </w:r>
    </w:p>
    <w:p w:rsidR="00CA7EC7" w:rsidRPr="00AA5DB8" w:rsidRDefault="00CA7EC7" w:rsidP="00FC1417">
      <w:pPr>
        <w:spacing w:before="100" w:beforeAutospacing="1" w:after="100" w:afterAutospacing="1"/>
        <w:ind w:left="720"/>
        <w:rPr>
          <w:rFonts w:eastAsia="Times New Roman"/>
          <w:noProof/>
          <w:szCs w:val="24"/>
          <w:lang w:val="en-IE" w:eastAsia="en-IE"/>
        </w:rPr>
      </w:pPr>
      <w:r w:rsidRPr="00AA5DB8">
        <w:rPr>
          <w:rFonts w:eastAsia="Times New Roman"/>
          <w:noProof/>
          <w:szCs w:val="24"/>
          <w:lang w:val="en-IE" w:eastAsia="en-IE"/>
        </w:rPr>
        <w:t xml:space="preserve">By </w:t>
      </w:r>
      <w:r w:rsidR="00D90CD8" w:rsidRPr="00AA5DB8">
        <w:rPr>
          <w:rFonts w:eastAsia="Times New Roman"/>
          <w:i/>
          <w:noProof/>
          <w:szCs w:val="24"/>
          <w:lang w:val="en-IE" w:eastAsia="en-IE"/>
        </w:rPr>
        <w:t>[</w:t>
      </w:r>
      <w:r w:rsidR="00630C32" w:rsidRPr="00630C32">
        <w:rPr>
          <w:rFonts w:eastAsia="Times New Roman"/>
          <w:i/>
          <w:noProof/>
          <w:szCs w:val="24"/>
          <w:lang w:val="en-IE" w:eastAsia="en-IE"/>
        </w:rPr>
        <w:t>5</w:t>
      </w:r>
      <w:r w:rsidR="00630C32">
        <w:rPr>
          <w:rFonts w:eastAsia="Times New Roman"/>
          <w:i/>
          <w:noProof/>
          <w:szCs w:val="24"/>
          <w:lang w:val="en-IE" w:eastAsia="en-IE"/>
        </w:rPr>
        <w:t xml:space="preserve"> years from adoption</w:t>
      </w:r>
      <w:r w:rsidR="00D90CD8" w:rsidRPr="00AA5DB8">
        <w:rPr>
          <w:rFonts w:eastAsia="Times New Roman"/>
          <w:i/>
          <w:noProof/>
          <w:szCs w:val="24"/>
          <w:lang w:val="en-IE" w:eastAsia="en-IE"/>
        </w:rPr>
        <w:t>]</w:t>
      </w:r>
      <w:r w:rsidRPr="00AA5DB8">
        <w:rPr>
          <w:rFonts w:eastAsia="Times New Roman"/>
          <w:i/>
          <w:noProof/>
          <w:szCs w:val="24"/>
          <w:lang w:val="en-IE" w:eastAsia="en-IE"/>
        </w:rPr>
        <w:t>,</w:t>
      </w:r>
      <w:r w:rsidRPr="00AA5DB8">
        <w:rPr>
          <w:rFonts w:eastAsia="Times New Roman"/>
          <w:noProof/>
          <w:szCs w:val="24"/>
          <w:lang w:val="en-IE" w:eastAsia="en-IE"/>
        </w:rPr>
        <w:t xml:space="preserve"> the Commission shall</w:t>
      </w:r>
      <w:r w:rsidR="00E82A10">
        <w:rPr>
          <w:rFonts w:eastAsia="Times New Roman"/>
          <w:noProof/>
          <w:szCs w:val="24"/>
          <w:lang w:val="en-IE" w:eastAsia="en-IE"/>
        </w:rPr>
        <w:t xml:space="preserve"> </w:t>
      </w:r>
      <w:r w:rsidRPr="00AA5DB8">
        <w:rPr>
          <w:rFonts w:eastAsia="Times New Roman"/>
          <w:noProof/>
          <w:szCs w:val="24"/>
          <w:lang w:val="en-IE" w:eastAsia="en-IE"/>
        </w:rPr>
        <w:t>submit a report</w:t>
      </w:r>
      <w:r w:rsidR="008A7D92">
        <w:rPr>
          <w:rFonts w:eastAsia="Times New Roman"/>
          <w:noProof/>
          <w:szCs w:val="24"/>
          <w:lang w:val="en-IE" w:eastAsia="en-IE"/>
        </w:rPr>
        <w:t xml:space="preserve"> </w:t>
      </w:r>
      <w:r w:rsidRPr="00AA5DB8">
        <w:rPr>
          <w:rFonts w:eastAsia="Times New Roman"/>
          <w:noProof/>
          <w:szCs w:val="24"/>
          <w:lang w:val="en-IE" w:eastAsia="en-IE"/>
        </w:rPr>
        <w:t xml:space="preserve">on the application of this Directive to the European Parliament and to the Council. </w:t>
      </w:r>
    </w:p>
    <w:p w:rsidR="00CA7EC7" w:rsidRPr="00CA7EC7" w:rsidRDefault="00CA7EC7" w:rsidP="00F906AA">
      <w:pPr>
        <w:spacing w:before="100" w:beforeAutospacing="1" w:after="100" w:afterAutospacing="1"/>
        <w:ind w:firstLine="720"/>
        <w:jc w:val="left"/>
        <w:rPr>
          <w:rFonts w:eastAsia="Times New Roman"/>
          <w:noProof/>
          <w:szCs w:val="24"/>
          <w:lang w:val="en-IE" w:eastAsia="en-IE"/>
        </w:rPr>
      </w:pPr>
      <w:r w:rsidRPr="00AA5DB8">
        <w:rPr>
          <w:rFonts w:eastAsia="Times New Roman"/>
          <w:noProof/>
          <w:szCs w:val="24"/>
          <w:lang w:val="en-IE" w:eastAsia="en-IE"/>
        </w:rPr>
        <w:t xml:space="preserve">That report shall be accompanied, where </w:t>
      </w:r>
      <w:r w:rsidR="00754E84">
        <w:rPr>
          <w:rFonts w:eastAsia="Times New Roman"/>
          <w:noProof/>
          <w:szCs w:val="24"/>
          <w:lang w:val="en-IE" w:eastAsia="en-IE"/>
        </w:rPr>
        <w:t>appropriate</w:t>
      </w:r>
      <w:r w:rsidRPr="00AA5DB8">
        <w:rPr>
          <w:rFonts w:eastAsia="Times New Roman"/>
          <w:noProof/>
          <w:szCs w:val="24"/>
          <w:lang w:val="en-IE" w:eastAsia="en-IE"/>
        </w:rPr>
        <w:t xml:space="preserve">, by </w:t>
      </w:r>
      <w:r w:rsidR="00754E84">
        <w:rPr>
          <w:rFonts w:eastAsia="Times New Roman"/>
          <w:noProof/>
          <w:szCs w:val="24"/>
          <w:lang w:val="en-IE" w:eastAsia="en-IE"/>
        </w:rPr>
        <w:t>relevant</w:t>
      </w:r>
      <w:r w:rsidRPr="00AA5DB8">
        <w:rPr>
          <w:rFonts w:eastAsia="Times New Roman"/>
          <w:noProof/>
          <w:szCs w:val="24"/>
          <w:lang w:val="en-IE" w:eastAsia="en-IE"/>
        </w:rPr>
        <w:t xml:space="preserve"> legislative proposal</w:t>
      </w:r>
      <w:r w:rsidR="00754E84">
        <w:rPr>
          <w:rFonts w:eastAsia="Times New Roman"/>
          <w:noProof/>
          <w:szCs w:val="24"/>
          <w:lang w:val="en-IE" w:eastAsia="en-IE"/>
        </w:rPr>
        <w:t>s</w:t>
      </w:r>
      <w:r w:rsidRPr="00AA5DB8">
        <w:rPr>
          <w:rFonts w:eastAsia="Times New Roman"/>
          <w:noProof/>
          <w:szCs w:val="24"/>
          <w:lang w:val="en-IE" w:eastAsia="en-IE"/>
        </w:rPr>
        <w:t>.</w:t>
      </w:r>
    </w:p>
    <w:p w:rsidR="00CA7EC7" w:rsidRPr="00AA5DB8" w:rsidRDefault="00CA7EC7" w:rsidP="00AA5DB8">
      <w:pPr>
        <w:rPr>
          <w:noProof/>
          <w:lang w:val="en-IE"/>
        </w:rPr>
      </w:pPr>
    </w:p>
    <w:p w:rsidR="00537F20" w:rsidRPr="00CC1D5C" w:rsidRDefault="00537F20" w:rsidP="00537F20">
      <w:pPr>
        <w:pStyle w:val="Titrearticle"/>
        <w:keepLines/>
        <w:spacing w:after="240"/>
        <w:rPr>
          <w:noProof/>
        </w:rPr>
      </w:pPr>
      <w:r w:rsidRPr="00CC1D5C">
        <w:rPr>
          <w:noProof/>
        </w:rPr>
        <w:t>Article </w:t>
      </w:r>
      <w:r w:rsidR="00D90CD8">
        <w:rPr>
          <w:noProof/>
        </w:rPr>
        <w:t>4</w:t>
      </w:r>
    </w:p>
    <w:p w:rsidR="00537F20" w:rsidRPr="00CC1D5C" w:rsidRDefault="00537F20" w:rsidP="00537F20">
      <w:pPr>
        <w:pStyle w:val="NormalCentered"/>
        <w:spacing w:before="0" w:after="240"/>
        <w:rPr>
          <w:b/>
          <w:noProof/>
        </w:rPr>
      </w:pPr>
      <w:r w:rsidRPr="00CC1D5C">
        <w:rPr>
          <w:b/>
          <w:noProof/>
        </w:rPr>
        <w:t>Transposition</w:t>
      </w:r>
    </w:p>
    <w:p w:rsidR="00537F20" w:rsidRPr="00CC1D5C" w:rsidRDefault="00537F20" w:rsidP="00537F20">
      <w:pPr>
        <w:pStyle w:val="ManualNumPar1"/>
        <w:spacing w:before="0" w:after="240"/>
        <w:rPr>
          <w:noProof/>
          <w:color w:val="000000" w:themeColor="text1"/>
        </w:rPr>
      </w:pPr>
      <w:r w:rsidRPr="00CC1D5C">
        <w:rPr>
          <w:noProof/>
        </w:rPr>
        <w:t>1.</w:t>
      </w:r>
      <w:r w:rsidRPr="00CC1D5C">
        <w:rPr>
          <w:noProof/>
        </w:rPr>
        <w:tab/>
        <w:t xml:space="preserve">Member States shall adopt and </w:t>
      </w:r>
      <w:r w:rsidRPr="00CC1D5C">
        <w:rPr>
          <w:noProof/>
          <w:color w:val="000000" w:themeColor="text1"/>
        </w:rPr>
        <w:t>publish by [</w:t>
      </w:r>
      <w:r w:rsidRPr="00CC1D5C">
        <w:rPr>
          <w:i/>
          <w:noProof/>
          <w:color w:val="000000" w:themeColor="text1"/>
        </w:rPr>
        <w:t>18 months from adoption</w:t>
      </w:r>
      <w:r w:rsidRPr="007D7B63">
        <w:rPr>
          <w:noProof/>
        </w:rPr>
        <w:t>]</w:t>
      </w:r>
      <w:r w:rsidRPr="00CC1D5C">
        <w:rPr>
          <w:noProof/>
        </w:rPr>
        <w:t xml:space="preserve"> at the latest, the laws, re</w:t>
      </w:r>
      <w:r w:rsidRPr="00CC1D5C">
        <w:rPr>
          <w:noProof/>
          <w:color w:val="000000" w:themeColor="text1"/>
        </w:rPr>
        <w:t>gulations and administrative provisions necessary to comply with this Directive. They shall forthwith communicate to the Commission the text of those provisions.</w:t>
      </w:r>
    </w:p>
    <w:p w:rsidR="00537F20" w:rsidRPr="00CC1D5C" w:rsidRDefault="00537F20" w:rsidP="00537F20">
      <w:pPr>
        <w:pStyle w:val="Text1"/>
        <w:spacing w:before="0" w:after="240"/>
        <w:rPr>
          <w:noProof/>
        </w:rPr>
      </w:pPr>
      <w:r w:rsidRPr="00CC1D5C">
        <w:rPr>
          <w:noProof/>
          <w:color w:val="000000" w:themeColor="text1"/>
        </w:rPr>
        <w:t xml:space="preserve">They shall apply those provisions </w:t>
      </w:r>
      <w:r w:rsidR="00885C71" w:rsidDel="00FE24AD">
        <w:rPr>
          <w:noProof/>
          <w:color w:val="000000" w:themeColor="text1"/>
        </w:rPr>
        <w:t>from</w:t>
      </w:r>
      <w:r w:rsidRPr="00CC1D5C" w:rsidDel="00FE24AD">
        <w:rPr>
          <w:noProof/>
          <w:color w:val="000000" w:themeColor="text1"/>
        </w:rPr>
        <w:t xml:space="preserve"> </w:t>
      </w:r>
      <w:r w:rsidRPr="00CC1D5C">
        <w:rPr>
          <w:noProof/>
          <w:color w:val="000000" w:themeColor="text1"/>
        </w:rPr>
        <w:t>[</w:t>
      </w:r>
      <w:r w:rsidRPr="00CC1D5C">
        <w:rPr>
          <w:i/>
          <w:noProof/>
          <w:color w:val="000000" w:themeColor="text1"/>
        </w:rPr>
        <w:t>24 months from ad</w:t>
      </w:r>
      <w:r w:rsidR="002639BF" w:rsidRPr="00CC1D5C">
        <w:rPr>
          <w:i/>
          <w:noProof/>
          <w:color w:val="000000" w:themeColor="text1"/>
        </w:rPr>
        <w:t>option</w:t>
      </w:r>
      <w:r w:rsidRPr="007D7B63">
        <w:rPr>
          <w:noProof/>
        </w:rPr>
        <w:t>].</w:t>
      </w:r>
    </w:p>
    <w:p w:rsidR="00537F20" w:rsidRPr="00CC1D5C" w:rsidRDefault="00537F20" w:rsidP="00537F20">
      <w:pPr>
        <w:pStyle w:val="Text1"/>
        <w:spacing w:before="0" w:after="360"/>
        <w:rPr>
          <w:noProof/>
          <w:color w:val="000000" w:themeColor="text1"/>
        </w:rPr>
      </w:pPr>
      <w:r w:rsidRPr="00CC1D5C">
        <w:rPr>
          <w:noProof/>
        </w:rPr>
        <w:t>When Member States adopt t</w:t>
      </w:r>
      <w:r w:rsidRPr="00CC1D5C">
        <w:rPr>
          <w:noProof/>
          <w:color w:val="000000" w:themeColor="text1"/>
        </w:rPr>
        <w:t>hose provisions, they shall contain a reference to this Directive or be accompanied by such a reference on the occasion of their official publication. Member States shall determine how such reference is to be made.</w:t>
      </w:r>
    </w:p>
    <w:p w:rsidR="00537F20" w:rsidRPr="00CC1D5C" w:rsidRDefault="00537F20" w:rsidP="00537F20">
      <w:pPr>
        <w:pStyle w:val="ManualNumPar1"/>
        <w:spacing w:before="0" w:after="360"/>
        <w:rPr>
          <w:noProof/>
        </w:rPr>
      </w:pPr>
      <w:r w:rsidRPr="00CC1D5C">
        <w:rPr>
          <w:noProof/>
        </w:rPr>
        <w:t>2.</w:t>
      </w:r>
      <w:r w:rsidRPr="00CC1D5C">
        <w:rPr>
          <w:noProof/>
        </w:rPr>
        <w:tab/>
        <w:t>Member States shall communicate to the Commission the text of the main provisions in national law which they adopt in the field covered by this Directive.</w:t>
      </w:r>
    </w:p>
    <w:p w:rsidR="00537F20" w:rsidRPr="00CC1D5C" w:rsidRDefault="00537F20" w:rsidP="00537F20">
      <w:pPr>
        <w:pStyle w:val="Titrearticle"/>
        <w:spacing w:after="240"/>
        <w:rPr>
          <w:noProof/>
        </w:rPr>
      </w:pPr>
      <w:r w:rsidRPr="00CC1D5C">
        <w:rPr>
          <w:noProof/>
        </w:rPr>
        <w:t>Article </w:t>
      </w:r>
      <w:r w:rsidR="00D90CD8">
        <w:rPr>
          <w:noProof/>
        </w:rPr>
        <w:t>5</w:t>
      </w:r>
    </w:p>
    <w:p w:rsidR="00537F20" w:rsidRPr="00CC1D5C" w:rsidRDefault="00537F20" w:rsidP="00537F20">
      <w:pPr>
        <w:pStyle w:val="NormalCentered"/>
        <w:spacing w:before="0" w:after="240"/>
        <w:rPr>
          <w:b/>
          <w:noProof/>
        </w:rPr>
      </w:pPr>
      <w:r w:rsidRPr="00CC1D5C">
        <w:rPr>
          <w:b/>
          <w:noProof/>
        </w:rPr>
        <w:t>Entry into force</w:t>
      </w:r>
    </w:p>
    <w:p w:rsidR="00537F20" w:rsidRPr="00CC1D5C" w:rsidRDefault="00537F20" w:rsidP="00537F20">
      <w:pPr>
        <w:spacing w:before="0" w:after="240"/>
        <w:rPr>
          <w:noProof/>
        </w:rPr>
      </w:pPr>
      <w:r w:rsidRPr="00CC1D5C">
        <w:rPr>
          <w:noProof/>
        </w:rPr>
        <w:t xml:space="preserve">This Directive shall enter into force on the twentieth day following its publication in the </w:t>
      </w:r>
      <w:r w:rsidRPr="00CC1D5C">
        <w:rPr>
          <w:i/>
          <w:noProof/>
        </w:rPr>
        <w:t>Official Journal of the European Union</w:t>
      </w:r>
      <w:r w:rsidRPr="00CC1D5C">
        <w:rPr>
          <w:noProof/>
        </w:rPr>
        <w:t>.</w:t>
      </w:r>
    </w:p>
    <w:p w:rsidR="00537F20" w:rsidRPr="00CC1D5C" w:rsidRDefault="00537F20" w:rsidP="00537F20">
      <w:pPr>
        <w:pStyle w:val="Titrearticle"/>
        <w:spacing w:after="240"/>
        <w:rPr>
          <w:noProof/>
        </w:rPr>
      </w:pPr>
      <w:r w:rsidRPr="00CC1D5C">
        <w:rPr>
          <w:noProof/>
        </w:rPr>
        <w:t>Article </w:t>
      </w:r>
      <w:r w:rsidR="00D90CD8">
        <w:rPr>
          <w:noProof/>
        </w:rPr>
        <w:t>6</w:t>
      </w:r>
    </w:p>
    <w:p w:rsidR="00537F20" w:rsidRPr="00CC1D5C" w:rsidRDefault="00537F20" w:rsidP="00537F20">
      <w:pPr>
        <w:pStyle w:val="NormalCentered"/>
        <w:spacing w:before="0" w:after="240"/>
        <w:rPr>
          <w:b/>
          <w:noProof/>
        </w:rPr>
      </w:pPr>
      <w:r w:rsidRPr="00CC1D5C">
        <w:rPr>
          <w:b/>
          <w:noProof/>
        </w:rPr>
        <w:t>Addressees</w:t>
      </w:r>
    </w:p>
    <w:p w:rsidR="00537F20" w:rsidRPr="00CC1D5C" w:rsidRDefault="00537F20" w:rsidP="00537F20">
      <w:pPr>
        <w:keepNext/>
        <w:keepLines/>
        <w:spacing w:before="0" w:after="240"/>
        <w:rPr>
          <w:noProof/>
        </w:rPr>
      </w:pPr>
      <w:r w:rsidRPr="00CC1D5C">
        <w:rPr>
          <w:noProof/>
        </w:rPr>
        <w:t>This Directive is addressed to the Member States.</w:t>
      </w:r>
    </w:p>
    <w:p w:rsidR="00537F20" w:rsidRPr="00CC1D5C" w:rsidRDefault="005E137A" w:rsidP="006267EC">
      <w:pPr>
        <w:pStyle w:val="Fait"/>
        <w:rPr>
          <w:noProof/>
        </w:rPr>
      </w:pPr>
      <w:r w:rsidRPr="005E137A">
        <w:t>Done at Brussels,</w:t>
      </w:r>
    </w:p>
    <w:p w:rsidR="00537F20" w:rsidRPr="00CC1D5C" w:rsidRDefault="00537F20" w:rsidP="006267EC">
      <w:pPr>
        <w:pStyle w:val="Institutionquisigne"/>
        <w:rPr>
          <w:noProof/>
        </w:rPr>
      </w:pPr>
      <w:r w:rsidRPr="00CC1D5C">
        <w:rPr>
          <w:noProof/>
        </w:rPr>
        <w:t>For the European Parliament</w:t>
      </w:r>
      <w:r w:rsidRPr="00CC1D5C">
        <w:rPr>
          <w:noProof/>
        </w:rPr>
        <w:tab/>
        <w:t>For the Council</w:t>
      </w:r>
    </w:p>
    <w:p w:rsidR="00996125" w:rsidRPr="003C757F" w:rsidRDefault="00537F20" w:rsidP="00C846B1">
      <w:pPr>
        <w:pStyle w:val="Personnequisigne"/>
        <w:rPr>
          <w:i w:val="0"/>
          <w:noProof/>
        </w:rPr>
      </w:pPr>
      <w:r w:rsidRPr="00CC1D5C">
        <w:rPr>
          <w:noProof/>
        </w:rPr>
        <w:t>The President</w:t>
      </w:r>
      <w:r w:rsidRPr="00CC1D5C">
        <w:rPr>
          <w:noProof/>
        </w:rPr>
        <w:tab/>
        <w:t>The President</w:t>
      </w:r>
    </w:p>
    <w:sectPr w:rsidR="00996125" w:rsidRPr="003C757F" w:rsidSect="00CE7D10">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41D" w:rsidRDefault="00B5241D">
      <w:pPr>
        <w:spacing w:before="0" w:after="0"/>
      </w:pPr>
      <w:r>
        <w:separator/>
      </w:r>
    </w:p>
  </w:endnote>
  <w:endnote w:type="continuationSeparator" w:id="0">
    <w:p w:rsidR="00B5241D" w:rsidRDefault="00B5241D">
      <w:pPr>
        <w:spacing w:before="0" w:after="0"/>
      </w:pPr>
      <w:r>
        <w:continuationSeparator/>
      </w:r>
    </w:p>
  </w:endnote>
  <w:endnote w:type="continuationNotice" w:id="1">
    <w:p w:rsidR="00B5241D" w:rsidRDefault="00B524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swiss"/>
    <w:pitch w:val="variable"/>
    <w:sig w:usb0="00000000"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EC Square Sans Cond Pro">
    <w:altName w:val="Bahnschrift Light"/>
    <w:charset w:val="00"/>
    <w:family w:val="swiss"/>
    <w:pitch w:val="variable"/>
    <w:sig w:usb0="00000001" w:usb1="500000D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05E" w:rsidRPr="00CE7D10" w:rsidRDefault="00CE7D10" w:rsidP="00CE7D10">
    <w:pPr>
      <w:pStyle w:val="Footer"/>
      <w:rPr>
        <w:rFonts w:ascii="Arial" w:hAnsi="Arial" w:cs="Arial"/>
        <w:b/>
        <w:sz w:val="48"/>
      </w:rPr>
    </w:pPr>
    <w:r w:rsidRPr="00CE7D10">
      <w:rPr>
        <w:rFonts w:ascii="Arial" w:hAnsi="Arial" w:cs="Arial"/>
        <w:b/>
        <w:sz w:val="48"/>
      </w:rPr>
      <w:t>EN</w:t>
    </w:r>
    <w:r w:rsidRPr="00CE7D10">
      <w:rPr>
        <w:rFonts w:ascii="Arial" w:hAnsi="Arial" w:cs="Arial"/>
        <w:b/>
        <w:sz w:val="48"/>
      </w:rPr>
      <w:tab/>
    </w:r>
    <w:r w:rsidRPr="00CE7D10">
      <w:rPr>
        <w:rFonts w:ascii="Arial" w:hAnsi="Arial" w:cs="Arial"/>
        <w:b/>
        <w:sz w:val="48"/>
      </w:rPr>
      <w:tab/>
    </w:r>
    <w:r w:rsidRPr="00CE7D10">
      <w:tab/>
    </w:r>
    <w:r w:rsidRPr="00CE7D1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10" w:rsidRPr="00CE7D10" w:rsidRDefault="00CE7D10" w:rsidP="00CE7D10">
    <w:pPr>
      <w:pStyle w:val="Footer"/>
      <w:rPr>
        <w:rFonts w:ascii="Arial" w:hAnsi="Arial" w:cs="Arial"/>
        <w:b/>
        <w:sz w:val="48"/>
      </w:rPr>
    </w:pPr>
    <w:r w:rsidRPr="00CE7D10">
      <w:rPr>
        <w:rFonts w:ascii="Arial" w:hAnsi="Arial" w:cs="Arial"/>
        <w:b/>
        <w:sz w:val="48"/>
      </w:rPr>
      <w:t>EN</w:t>
    </w:r>
    <w:r w:rsidRPr="00CE7D10">
      <w:rPr>
        <w:rFonts w:ascii="Arial" w:hAnsi="Arial" w:cs="Arial"/>
        <w:b/>
        <w:sz w:val="48"/>
      </w:rPr>
      <w:tab/>
    </w:r>
    <w:r>
      <w:fldChar w:fldCharType="begin"/>
    </w:r>
    <w:r>
      <w:instrText xml:space="preserve"> PAGE  \* MERGEFORMAT </w:instrText>
    </w:r>
    <w:r>
      <w:fldChar w:fldCharType="separate"/>
    </w:r>
    <w:r w:rsidR="006267EC">
      <w:rPr>
        <w:noProof/>
      </w:rPr>
      <w:t>29</w:t>
    </w:r>
    <w:r>
      <w:fldChar w:fldCharType="end"/>
    </w:r>
    <w:r>
      <w:tab/>
    </w:r>
    <w:r w:rsidRPr="00CE7D10">
      <w:tab/>
    </w:r>
    <w:r w:rsidRPr="00CE7D1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D10" w:rsidRPr="00CE7D10" w:rsidRDefault="00CE7D10" w:rsidP="00CE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41D" w:rsidRDefault="00B5241D">
      <w:pPr>
        <w:spacing w:before="0" w:after="0"/>
      </w:pPr>
      <w:r>
        <w:separator/>
      </w:r>
    </w:p>
  </w:footnote>
  <w:footnote w:type="continuationSeparator" w:id="0">
    <w:p w:rsidR="00B5241D" w:rsidRDefault="00B5241D">
      <w:pPr>
        <w:spacing w:before="0" w:after="0"/>
      </w:pPr>
      <w:r>
        <w:continuationSeparator/>
      </w:r>
    </w:p>
  </w:footnote>
  <w:footnote w:type="continuationNotice" w:id="1">
    <w:p w:rsidR="00B5241D" w:rsidRDefault="00B5241D">
      <w:pPr>
        <w:spacing w:before="0" w:after="0"/>
      </w:pPr>
    </w:p>
  </w:footnote>
  <w:footnote w:id="2">
    <w:p w:rsidR="0049405E" w:rsidRPr="007360B2" w:rsidRDefault="0049405E" w:rsidP="00932E37">
      <w:pPr>
        <w:pStyle w:val="FootnoteText"/>
        <w:spacing w:after="60"/>
        <w:ind w:left="567" w:hanging="567"/>
      </w:pPr>
      <w:r w:rsidRPr="00D240F5">
        <w:rPr>
          <w:rStyle w:val="FootnoteReference0"/>
        </w:rPr>
        <w:footnoteRef/>
      </w:r>
      <w:r>
        <w:tab/>
      </w:r>
      <w:r w:rsidRPr="00320054">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(OJ L 149, 11.6.2005, p. 22).</w:t>
      </w:r>
    </w:p>
  </w:footnote>
  <w:footnote w:id="3">
    <w:p w:rsidR="0049405E" w:rsidRPr="007360B2" w:rsidRDefault="0049405E" w:rsidP="0066512A">
      <w:pPr>
        <w:pStyle w:val="FootnoteText"/>
        <w:spacing w:after="60"/>
        <w:ind w:left="567" w:hanging="567"/>
      </w:pPr>
      <w:r w:rsidRPr="00D240F5">
        <w:rPr>
          <w:rStyle w:val="FootnoteReference0"/>
        </w:rPr>
        <w:footnoteRef/>
      </w:r>
      <w:r>
        <w:tab/>
      </w:r>
      <w:r w:rsidRPr="00320054">
        <w:t>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(OJ L 304, 22.11.2011, p. 64).</w:t>
      </w:r>
    </w:p>
  </w:footnote>
  <w:footnote w:id="4">
    <w:p w:rsidR="0049405E" w:rsidRPr="009C6209" w:rsidRDefault="0049405E" w:rsidP="00B819A4">
      <w:pPr>
        <w:pStyle w:val="FootnoteText"/>
        <w:spacing w:after="60"/>
        <w:ind w:left="567" w:hanging="567"/>
        <w:rPr>
          <w:lang w:val="pt-PT"/>
        </w:rPr>
      </w:pPr>
      <w:r w:rsidRPr="00D240F5">
        <w:rPr>
          <w:rStyle w:val="FootnoteReference0"/>
        </w:rPr>
        <w:footnoteRef/>
      </w:r>
      <w:r w:rsidRPr="00AA5DB8">
        <w:rPr>
          <w:lang w:val="pt-PT"/>
        </w:rPr>
        <w:tab/>
      </w:r>
      <w:r w:rsidRPr="009C6209">
        <w:rPr>
          <w:lang w:val="pt-PT"/>
        </w:rPr>
        <w:t>COM(2020)696 final, 13 November 2020.</w:t>
      </w:r>
    </w:p>
  </w:footnote>
  <w:footnote w:id="5">
    <w:p w:rsidR="0049405E" w:rsidRPr="009C6209" w:rsidRDefault="0049405E" w:rsidP="00B819A4">
      <w:pPr>
        <w:pStyle w:val="FootnoteText"/>
        <w:spacing w:after="60"/>
        <w:ind w:left="567" w:hanging="567"/>
        <w:rPr>
          <w:lang w:val="pt-PT"/>
        </w:rPr>
      </w:pPr>
      <w:r w:rsidRPr="00D240F5">
        <w:rPr>
          <w:rStyle w:val="FootnoteReference0"/>
        </w:rPr>
        <w:footnoteRef/>
      </w:r>
      <w:r w:rsidRPr="00AA5DB8">
        <w:rPr>
          <w:lang w:val="pt-PT"/>
        </w:rPr>
        <w:tab/>
      </w:r>
      <w:r w:rsidRPr="009C6209">
        <w:rPr>
          <w:lang w:val="pt-PT"/>
        </w:rPr>
        <w:t>COM(2020)98 final, 11 March 2020.</w:t>
      </w:r>
    </w:p>
  </w:footnote>
  <w:footnote w:id="6">
    <w:p w:rsidR="0049405E" w:rsidRPr="00064846" w:rsidRDefault="0049405E" w:rsidP="00064846">
      <w:pPr>
        <w:pStyle w:val="FootnoteText"/>
        <w:spacing w:after="60"/>
        <w:ind w:left="567" w:hanging="567"/>
        <w:rPr>
          <w:rFonts w:ascii="EC Square Sans Cond Pro" w:hAnsi="EC Square Sans Cond Pro"/>
          <w:sz w:val="18"/>
        </w:rPr>
      </w:pPr>
      <w:r w:rsidRPr="00D240F5">
        <w:rPr>
          <w:rStyle w:val="FootnoteReference0"/>
        </w:rPr>
        <w:footnoteRef/>
      </w:r>
      <w:r>
        <w:tab/>
      </w:r>
      <w:r w:rsidRPr="00B86D8C">
        <w:t>COM(2019)640 final, 11 December 2019.</w:t>
      </w:r>
      <w:r w:rsidRPr="00E40C83">
        <w:rPr>
          <w:rFonts w:ascii="EC Square Sans Cond Pro" w:hAnsi="EC Square Sans Cond Pro" w:cstheme="minorBidi"/>
          <w:sz w:val="18"/>
          <w:szCs w:val="18"/>
        </w:rPr>
        <w:t xml:space="preserve"> </w:t>
      </w:r>
    </w:p>
  </w:footnote>
  <w:footnote w:id="7">
    <w:p w:rsidR="0049405E" w:rsidRPr="00E80DEF" w:rsidRDefault="0049405E" w:rsidP="000B73A8">
      <w:pPr>
        <w:rPr>
          <w:sz w:val="18"/>
          <w:szCs w:val="18"/>
        </w:rPr>
      </w:pPr>
      <w:r w:rsidRPr="005A5DF7">
        <w:rPr>
          <w:rStyle w:val="FootnoteReference0"/>
        </w:rPr>
        <w:footnoteRef/>
      </w:r>
      <w:r w:rsidRPr="005A5DF7">
        <w:rPr>
          <w:sz w:val="18"/>
          <w:szCs w:val="18"/>
        </w:rPr>
        <w:tab/>
      </w:r>
      <w:r w:rsidRPr="00E80DEF">
        <w:rPr>
          <w:sz w:val="18"/>
          <w:szCs w:val="18"/>
        </w:rPr>
        <w:t xml:space="preserve">European Commission, </w:t>
      </w:r>
      <w:r w:rsidRPr="00E80DEF">
        <w:rPr>
          <w:i/>
          <w:sz w:val="18"/>
          <w:szCs w:val="18"/>
        </w:rPr>
        <w:t>Consumer market study on the functioning of legal and commercial guarantees for consumers in the EU</w:t>
      </w:r>
      <w:r w:rsidRPr="00E80DEF">
        <w:rPr>
          <w:sz w:val="18"/>
          <w:szCs w:val="18"/>
        </w:rPr>
        <w:t xml:space="preserve">, 2015. </w:t>
      </w:r>
      <w:r w:rsidRPr="00E80DEF">
        <w:rPr>
          <w:rFonts w:eastAsia="Times New Roman"/>
          <w:sz w:val="18"/>
          <w:szCs w:val="18"/>
        </w:rPr>
        <w:t xml:space="preserve">European Commission, Impact Assessment supporting study: </w:t>
      </w:r>
      <w:r w:rsidRPr="00E80DEF">
        <w:rPr>
          <w:rFonts w:eastAsia="Times New Roman"/>
          <w:i/>
          <w:sz w:val="18"/>
          <w:szCs w:val="18"/>
        </w:rPr>
        <w:t>Study on Empowering Consumers Towards the Green Transition</w:t>
      </w:r>
      <w:r w:rsidRPr="00E80DEF">
        <w:rPr>
          <w:rFonts w:eastAsia="Times New Roman"/>
          <w:sz w:val="18"/>
          <w:szCs w:val="18"/>
        </w:rPr>
        <w:t>, July 2021</w:t>
      </w:r>
      <w:r w:rsidRPr="00E80DEF">
        <w:rPr>
          <w:sz w:val="18"/>
          <w:szCs w:val="18"/>
        </w:rPr>
        <w:t xml:space="preserve">. </w:t>
      </w:r>
      <w:r w:rsidRPr="00E80DEF">
        <w:rPr>
          <w:i/>
          <w:sz w:val="18"/>
          <w:szCs w:val="18"/>
        </w:rPr>
        <w:t>Commercial warranties: are they worth the money?</w:t>
      </w:r>
      <w:r w:rsidRPr="00E80DEF">
        <w:rPr>
          <w:sz w:val="18"/>
          <w:szCs w:val="18"/>
        </w:rPr>
        <w:t xml:space="preserve"> ECC-Net, April 2019.</w:t>
      </w:r>
    </w:p>
  </w:footnote>
  <w:footnote w:id="8">
    <w:p w:rsidR="0049405E" w:rsidRPr="009B5734" w:rsidRDefault="0049405E" w:rsidP="000B73A8">
      <w:pPr>
        <w:rPr>
          <w:sz w:val="18"/>
          <w:szCs w:val="18"/>
        </w:rPr>
      </w:pPr>
      <w:r w:rsidRPr="005A5DF7">
        <w:rPr>
          <w:rStyle w:val="FootnoteReference0"/>
        </w:rPr>
        <w:footnoteRef/>
      </w:r>
      <w:r>
        <w:rPr>
          <w:sz w:val="18"/>
          <w:szCs w:val="18"/>
        </w:rPr>
        <w:tab/>
      </w:r>
      <w:r w:rsidRPr="009B5734">
        <w:rPr>
          <w:sz w:val="18"/>
          <w:szCs w:val="18"/>
        </w:rPr>
        <w:t xml:space="preserve">European Commission, </w:t>
      </w:r>
      <w:r w:rsidRPr="00353CBE">
        <w:rPr>
          <w:i/>
          <w:sz w:val="18"/>
          <w:szCs w:val="18"/>
        </w:rPr>
        <w:t>Behavioural Study on Consumers’ engagement in the circular economy</w:t>
      </w:r>
      <w:r w:rsidRPr="009B5734">
        <w:rPr>
          <w:sz w:val="18"/>
          <w:szCs w:val="18"/>
        </w:rPr>
        <w:t>, 2018, p. 81.</w:t>
      </w:r>
    </w:p>
  </w:footnote>
  <w:footnote w:id="9">
    <w:p w:rsidR="0049405E" w:rsidRPr="00A4194A" w:rsidRDefault="0049405E" w:rsidP="00BA6CA4">
      <w:pPr>
        <w:pStyle w:val="FootnoteText"/>
        <w:rPr>
          <w:lang w:val="en-IE"/>
        </w:rPr>
      </w:pPr>
      <w:r w:rsidRPr="005A5DF7">
        <w:rPr>
          <w:rStyle w:val="FootnoteReference0"/>
        </w:rPr>
        <w:footnoteRef/>
      </w:r>
      <w:r>
        <w:tab/>
      </w:r>
      <w:r w:rsidRPr="009B5734">
        <w:rPr>
          <w:sz w:val="18"/>
          <w:szCs w:val="18"/>
        </w:rPr>
        <w:t xml:space="preserve">European Commission, </w:t>
      </w:r>
      <w:r w:rsidRPr="009B5734">
        <w:rPr>
          <w:i/>
          <w:iCs/>
          <w:sz w:val="18"/>
          <w:szCs w:val="18"/>
        </w:rPr>
        <w:t xml:space="preserve">Environmental claims in the EU – inventory and reliability assessment, </w:t>
      </w:r>
      <w:r w:rsidRPr="009B5734">
        <w:rPr>
          <w:sz w:val="18"/>
          <w:szCs w:val="18"/>
        </w:rPr>
        <w:t>2020.</w:t>
      </w:r>
    </w:p>
  </w:footnote>
  <w:footnote w:id="10">
    <w:p w:rsidR="0049405E" w:rsidRPr="00A4194A" w:rsidRDefault="0049405E" w:rsidP="00BA6CA4">
      <w:pPr>
        <w:pStyle w:val="FootnoteText"/>
        <w:rPr>
          <w:lang w:val="en-IE"/>
        </w:rPr>
      </w:pPr>
      <w:r w:rsidRPr="00586113">
        <w:rPr>
          <w:rStyle w:val="FootnoteReference0"/>
        </w:rPr>
        <w:footnoteRef/>
      </w:r>
      <w:r>
        <w:tab/>
      </w:r>
      <w:r w:rsidRPr="009B5734">
        <w:rPr>
          <w:sz w:val="18"/>
          <w:szCs w:val="18"/>
        </w:rPr>
        <w:t xml:space="preserve">European Commission, </w:t>
      </w:r>
      <w:r w:rsidRPr="009B5734">
        <w:rPr>
          <w:i/>
          <w:sz w:val="18"/>
          <w:szCs w:val="18"/>
        </w:rPr>
        <w:t>A New Consumer Agenda Factual summary report – public consultation</w:t>
      </w:r>
      <w:r w:rsidRPr="009B5734">
        <w:rPr>
          <w:sz w:val="18"/>
          <w:szCs w:val="18"/>
        </w:rPr>
        <w:t>, 2020, p. 20.</w:t>
      </w:r>
    </w:p>
  </w:footnote>
  <w:footnote w:id="11">
    <w:p w:rsidR="0049405E" w:rsidRPr="00C31CA3" w:rsidRDefault="0049405E" w:rsidP="00B819A4">
      <w:pPr>
        <w:pStyle w:val="FootnoteText"/>
        <w:spacing w:after="60"/>
        <w:ind w:left="567" w:hanging="567"/>
        <w:rPr>
          <w:sz w:val="18"/>
        </w:rPr>
      </w:pPr>
      <w:r w:rsidRPr="00586113">
        <w:rPr>
          <w:rStyle w:val="FootnoteReference0"/>
        </w:rPr>
        <w:footnoteRef/>
      </w:r>
      <w:r>
        <w:rPr>
          <w:sz w:val="18"/>
        </w:rPr>
        <w:tab/>
      </w:r>
      <w:r w:rsidRPr="00C31CA3">
        <w:rPr>
          <w:sz w:val="18"/>
        </w:rPr>
        <w:t>Directive (EU) 2019/771 of the European Parliament and of the Council of 20 May 2019 on certain aspects concerning contracts for the sale of goods, amending Regulation (EU) 2017/2394 and Directive 2009/22/EC, and repealing Directive 1999/44/EC (</w:t>
      </w:r>
      <w:r w:rsidRPr="00C31CA3" w:rsidDel="00A65804">
        <w:rPr>
          <w:rStyle w:val="Emphasis"/>
          <w:i w:val="0"/>
          <w:sz w:val="18"/>
        </w:rPr>
        <w:t>OJ L</w:t>
      </w:r>
      <w:r w:rsidRPr="00C31CA3">
        <w:rPr>
          <w:rStyle w:val="Emphasis"/>
          <w:i w:val="0"/>
          <w:sz w:val="18"/>
        </w:rPr>
        <w:t xml:space="preserve"> 136, 22.5.2019, p. 28</w:t>
      </w:r>
      <w:r w:rsidRPr="00C31CA3">
        <w:rPr>
          <w:sz w:val="18"/>
        </w:rPr>
        <w:t>)</w:t>
      </w:r>
    </w:p>
  </w:footnote>
  <w:footnote w:id="12">
    <w:p w:rsidR="0049405E" w:rsidRPr="00785FE9" w:rsidRDefault="0049405E" w:rsidP="00B819A4">
      <w:pPr>
        <w:pStyle w:val="FootnoteText"/>
        <w:spacing w:after="60"/>
        <w:ind w:left="567" w:hanging="567"/>
      </w:pPr>
      <w:r w:rsidRPr="00D240F5">
        <w:rPr>
          <w:rStyle w:val="FootnoteReference0"/>
        </w:rPr>
        <w:footnoteRef/>
      </w:r>
      <w:r>
        <w:tab/>
        <w:t>Directive (EU) 2019/770 of the European Parliament and of the Council of 20 May 2019 on certain aspects concerning contracts for the supply of digital content and digital services (</w:t>
      </w:r>
      <w:r w:rsidRPr="003E7AB4">
        <w:rPr>
          <w:rStyle w:val="Emphasis"/>
          <w:i w:val="0"/>
        </w:rPr>
        <w:t>OJ L 136, 22.5.2019, p. 1</w:t>
      </w:r>
      <w:r>
        <w:t>)</w:t>
      </w:r>
    </w:p>
  </w:footnote>
  <w:footnote w:id="13">
    <w:p w:rsidR="0049405E" w:rsidRPr="00107CAB" w:rsidRDefault="0049405E" w:rsidP="00B819A4">
      <w:pPr>
        <w:pStyle w:val="FootnoteText"/>
        <w:spacing w:after="60"/>
        <w:ind w:left="567" w:hanging="567"/>
        <w:rPr>
          <w:lang w:val="en-IE"/>
        </w:rPr>
      </w:pPr>
      <w:r w:rsidRPr="00D240F5">
        <w:rPr>
          <w:rStyle w:val="FootnoteReference0"/>
        </w:rPr>
        <w:footnoteRef/>
      </w:r>
      <w:r>
        <w:tab/>
      </w:r>
      <w:r w:rsidRPr="00E537A2">
        <w:t>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w:t>
      </w:r>
      <w:r>
        <w:t xml:space="preserve"> (OJ L </w:t>
      </w:r>
      <w:r w:rsidRPr="003E7AB4">
        <w:t>328, 18.12.2019, p. 7</w:t>
      </w:r>
      <w:r>
        <w:t>)</w:t>
      </w:r>
    </w:p>
  </w:footnote>
  <w:footnote w:id="14">
    <w:p w:rsidR="0049405E" w:rsidRPr="00107CAB" w:rsidRDefault="0049405E" w:rsidP="00B819A4">
      <w:pPr>
        <w:pStyle w:val="FootnoteText"/>
        <w:spacing w:after="60"/>
        <w:ind w:left="567" w:hanging="567"/>
        <w:rPr>
          <w:lang w:val="en-IE"/>
        </w:rPr>
      </w:pPr>
      <w:r w:rsidRPr="00D240F5">
        <w:rPr>
          <w:rStyle w:val="FootnoteReference0"/>
        </w:rPr>
        <w:footnoteRef/>
      </w:r>
      <w:r>
        <w:tab/>
      </w:r>
      <w:r w:rsidRPr="00E537A2">
        <w:t>Directive (EU) 2020/1828 of the European Parliament and of the Council of 25 November 2020 on representative actions for the protection of the collective interests of consumers and repealing Directive 2009/22/EC</w:t>
      </w:r>
      <w:r>
        <w:t xml:space="preserve"> </w:t>
      </w:r>
      <w:r w:rsidRPr="00BD3899">
        <w:t xml:space="preserve">(OJ L </w:t>
      </w:r>
      <w:r w:rsidRPr="003E7AB4">
        <w:t>409, 4.12.2020, p. 1</w:t>
      </w:r>
      <w:r>
        <w:t>)</w:t>
      </w:r>
    </w:p>
  </w:footnote>
  <w:footnote w:id="15">
    <w:p w:rsidR="0049405E" w:rsidRPr="00107CAB" w:rsidRDefault="0049405E" w:rsidP="00B819A4">
      <w:pPr>
        <w:pStyle w:val="FootnoteText"/>
        <w:spacing w:after="60"/>
        <w:ind w:left="567" w:hanging="567"/>
        <w:rPr>
          <w:lang w:val="en-IE"/>
        </w:rPr>
      </w:pPr>
      <w:r w:rsidRPr="00D240F5">
        <w:rPr>
          <w:rStyle w:val="FootnoteReference0"/>
        </w:rPr>
        <w:footnoteRef/>
      </w:r>
      <w:r>
        <w:tab/>
      </w:r>
      <w:r w:rsidRPr="00E537A2">
        <w:t>Regulation (EU) 2017/2394 of the European Parliament and of the Council of 12 December 2017 on cooperation between national authorities responsible for the enforcement of consumer protection laws and repealing Regulation (EC) No 2006/2004</w:t>
      </w:r>
      <w:r>
        <w:t xml:space="preserve"> </w:t>
      </w:r>
      <w:r w:rsidRPr="00BD3899">
        <w:t xml:space="preserve">(OJ L </w:t>
      </w:r>
      <w:r w:rsidRPr="003E7AB4">
        <w:t>345, 27.12.2017, p. 1</w:t>
      </w:r>
      <w:r>
        <w:t>)</w:t>
      </w:r>
    </w:p>
  </w:footnote>
  <w:footnote w:id="16">
    <w:p w:rsidR="0049405E" w:rsidRPr="004E673A" w:rsidRDefault="0049405E" w:rsidP="000E3125">
      <w:pPr>
        <w:pStyle w:val="FootnoteText"/>
        <w:spacing w:after="60"/>
        <w:ind w:left="567" w:hanging="567"/>
        <w:rPr>
          <w:sz w:val="24"/>
        </w:rPr>
      </w:pPr>
      <w:r w:rsidRPr="00717EB7">
        <w:rPr>
          <w:rStyle w:val="FootnoteReference0"/>
        </w:rPr>
        <w:footnoteRef/>
      </w:r>
      <w:r>
        <w:tab/>
      </w:r>
      <w:r w:rsidRPr="00F824E6">
        <w:rPr>
          <w:sz w:val="18"/>
          <w:szCs w:val="18"/>
        </w:rPr>
        <w:t>Directive 2009/125/EC of the European Parliament and of the Council of 21 October 2009 establishing a framework for the setting of ecodesign requirements for energy-related products</w:t>
      </w:r>
      <w:r>
        <w:rPr>
          <w:sz w:val="18"/>
          <w:szCs w:val="18"/>
        </w:rPr>
        <w:t xml:space="preserve"> </w:t>
      </w:r>
      <w:r w:rsidRPr="00BD3899">
        <w:rPr>
          <w:sz w:val="18"/>
          <w:szCs w:val="18"/>
        </w:rPr>
        <w:t xml:space="preserve">(OJ L </w:t>
      </w:r>
      <w:r w:rsidRPr="003E7AB4">
        <w:rPr>
          <w:sz w:val="18"/>
          <w:szCs w:val="18"/>
        </w:rPr>
        <w:t>285, 31.10.2009, p. 10</w:t>
      </w:r>
      <w:r>
        <w:rPr>
          <w:sz w:val="18"/>
          <w:szCs w:val="18"/>
        </w:rPr>
        <w:t>)</w:t>
      </w:r>
    </w:p>
  </w:footnote>
  <w:footnote w:id="17">
    <w:p w:rsidR="0049405E" w:rsidRPr="005063FE" w:rsidRDefault="0049405E" w:rsidP="005063FE">
      <w:pPr>
        <w:spacing w:before="0" w:after="60"/>
        <w:ind w:left="567" w:hanging="567"/>
        <w:rPr>
          <w:sz w:val="18"/>
          <w:szCs w:val="18"/>
        </w:rPr>
      </w:pPr>
      <w:r w:rsidRPr="00D240F5">
        <w:rPr>
          <w:rStyle w:val="FootnoteReference0"/>
        </w:rPr>
        <w:footnoteRef/>
      </w:r>
      <w:r>
        <w:tab/>
      </w:r>
      <w:r w:rsidRPr="00353CBE">
        <w:rPr>
          <w:rFonts w:eastAsia="Times New Roman"/>
          <w:sz w:val="18"/>
          <w:szCs w:val="18"/>
        </w:rPr>
        <w:t>Results of the Fitness Check of consumer and marketing law and of the evaluation of the Consumer Rights Directive</w:t>
      </w:r>
      <w:r>
        <w:rPr>
          <w:rFonts w:eastAsia="Times New Roman"/>
          <w:sz w:val="18"/>
          <w:szCs w:val="18"/>
        </w:rPr>
        <w:br/>
      </w:r>
      <w:hyperlink r:id="rId1" w:history="1">
        <w:r w:rsidRPr="005063FE">
          <w:rPr>
            <w:rStyle w:val="Hyperlink"/>
            <w:i/>
            <w:color w:val="0070C0"/>
            <w:sz w:val="18"/>
            <w:szCs w:val="18"/>
            <w:u w:val="none"/>
          </w:rPr>
          <w:t>https://ec.europa.eu/newsroom/just/items/59332</w:t>
        </w:r>
      </w:hyperlink>
    </w:p>
  </w:footnote>
  <w:footnote w:id="18">
    <w:p w:rsidR="0049405E" w:rsidRPr="00B975EE" w:rsidRDefault="0049405E" w:rsidP="000A4225">
      <w:pPr>
        <w:pStyle w:val="FootnoteText"/>
        <w:ind w:left="567" w:hanging="567"/>
      </w:pPr>
      <w:r w:rsidRPr="00813A4A">
        <w:rPr>
          <w:rStyle w:val="FootnoteReference0"/>
        </w:rPr>
        <w:footnoteRef/>
      </w:r>
      <w:r w:rsidRPr="00813A4A">
        <w:tab/>
      </w:r>
      <w:r w:rsidRPr="00B975EE">
        <w:t>SWD(2022) 82</w:t>
      </w:r>
    </w:p>
    <w:p w:rsidR="0049405E" w:rsidRPr="00813A4A" w:rsidRDefault="0049405E" w:rsidP="005063FE">
      <w:pPr>
        <w:pStyle w:val="FootnoteText"/>
        <w:ind w:left="567" w:hanging="567"/>
        <w:rPr>
          <w:lang w:val="en-IE"/>
        </w:rPr>
      </w:pPr>
    </w:p>
  </w:footnote>
  <w:footnote w:id="19">
    <w:p w:rsidR="0049405E" w:rsidRPr="00AE7695" w:rsidRDefault="0049405E" w:rsidP="005063FE">
      <w:pPr>
        <w:pStyle w:val="FootnoteText"/>
        <w:ind w:left="567" w:hanging="567"/>
        <w:rPr>
          <w:lang w:val="en-IE"/>
        </w:rPr>
      </w:pPr>
      <w:r w:rsidRPr="00813A4A">
        <w:rPr>
          <w:rStyle w:val="FootnoteReference0"/>
        </w:rPr>
        <w:footnoteRef/>
      </w:r>
      <w:r w:rsidRPr="00813A4A">
        <w:tab/>
      </w:r>
      <w:r w:rsidRPr="00B975EE">
        <w:t>SEC(2022) 165</w:t>
      </w:r>
    </w:p>
  </w:footnote>
  <w:footnote w:id="20">
    <w:p w:rsidR="0049405E" w:rsidRPr="00F00177" w:rsidRDefault="0049405E" w:rsidP="00B819A4">
      <w:pPr>
        <w:pStyle w:val="FootnoteText"/>
        <w:ind w:left="567" w:hanging="567"/>
        <w:rPr>
          <w:lang w:val="en-IE"/>
        </w:rPr>
      </w:pPr>
      <w:r w:rsidRPr="00D240F5">
        <w:rPr>
          <w:rStyle w:val="FootnoteReference0"/>
        </w:rPr>
        <w:footnoteRef/>
      </w:r>
      <w:r>
        <w:tab/>
      </w:r>
      <w:r w:rsidRPr="00F00177">
        <w:t>For further information, see Chapter 6.2.4. of the Fitness Check Report</w:t>
      </w:r>
      <w:r>
        <w:t xml:space="preserve"> </w:t>
      </w:r>
      <w:hyperlink r:id="rId2" w:history="1">
        <w:r w:rsidRPr="00B819A4">
          <w:rPr>
            <w:rStyle w:val="Hyperlink"/>
            <w:i/>
            <w:color w:val="0070C0"/>
            <w:u w:val="none"/>
          </w:rPr>
          <w:t>https://ec.europa.eu/newsroom/just/items/59332</w:t>
        </w:r>
      </w:hyperlink>
      <w:r w:rsidRPr="00B819A4">
        <w:rPr>
          <w:color w:val="0070C0"/>
        </w:rPr>
        <w:t xml:space="preserve"> </w:t>
      </w:r>
    </w:p>
  </w:footnote>
  <w:footnote w:id="21">
    <w:p w:rsidR="0049405E" w:rsidRPr="009B4E63" w:rsidRDefault="0049405E" w:rsidP="00B819A4">
      <w:pPr>
        <w:pStyle w:val="FootnoteText"/>
        <w:keepLines/>
        <w:spacing w:after="60"/>
        <w:ind w:left="567" w:hanging="567"/>
      </w:pPr>
      <w:r w:rsidRPr="00D240F5">
        <w:rPr>
          <w:rStyle w:val="FootnoteReference0"/>
        </w:rPr>
        <w:footnoteRef/>
      </w:r>
      <w:r>
        <w:tab/>
      </w:r>
      <w:r>
        <w:tab/>
        <w:t>OJ C , , p. .</w:t>
      </w:r>
      <w:r w:rsidDel="002E10BA">
        <w:t xml:space="preserve"> </w:t>
      </w:r>
    </w:p>
  </w:footnote>
  <w:footnote w:id="22">
    <w:p w:rsidR="0049405E" w:rsidRPr="00AD1951" w:rsidRDefault="0049405E" w:rsidP="00C520D4">
      <w:pPr>
        <w:pStyle w:val="FootnoteText"/>
      </w:pPr>
      <w:r w:rsidRPr="00586113">
        <w:rPr>
          <w:rStyle w:val="FootnoteReference0"/>
        </w:rPr>
        <w:footnoteRef/>
      </w:r>
      <w:r>
        <w:tab/>
      </w:r>
      <w:r w:rsidRPr="00AD1951">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L 149, 11.6.2005, p. 22).</w:t>
      </w:r>
    </w:p>
  </w:footnote>
  <w:footnote w:id="23">
    <w:p w:rsidR="0049405E" w:rsidRPr="00F906AA" w:rsidRDefault="0049405E">
      <w:pPr>
        <w:pStyle w:val="FootnoteText"/>
        <w:rPr>
          <w:lang w:val="en-US"/>
        </w:rPr>
      </w:pPr>
      <w:r w:rsidRPr="002A3E76">
        <w:rPr>
          <w:rStyle w:val="FootnoteReference0"/>
        </w:rPr>
        <w:footnoteRef/>
      </w:r>
      <w:r>
        <w:tab/>
      </w:r>
      <w:r w:rsidRPr="003A14CF">
        <w:t>Regulation (EC) No 66/2010 of the European Parliament and of the Council of 25 November 2009 on the EU Ecolabel (Text with EEA relevance)</w:t>
      </w:r>
      <w:r>
        <w:t xml:space="preserve"> (OJ L 27, 30.1.2010, p. 1).</w:t>
      </w:r>
    </w:p>
  </w:footnote>
  <w:footnote w:id="24">
    <w:p w:rsidR="0049405E" w:rsidRPr="00F906AA" w:rsidRDefault="0049405E" w:rsidP="004D247A">
      <w:pPr>
        <w:pStyle w:val="FootnoteText"/>
        <w:rPr>
          <w:lang w:val="en-US"/>
        </w:rPr>
      </w:pPr>
      <w:r w:rsidRPr="002A3E76">
        <w:rPr>
          <w:rStyle w:val="FootnoteReference0"/>
        </w:rPr>
        <w:footnoteRef/>
      </w:r>
      <w:r>
        <w:tab/>
      </w:r>
      <w:r w:rsidRPr="00D72311">
        <w:t>Regulation (EU) 2017/1369 of the European Parliament and of the Council of 4 July 2017 setting a framework for energy labelling and repealing Directive 2010/30/EU</w:t>
      </w:r>
      <w:r>
        <w:t xml:space="preserve"> (OJ L 198, 28.7.2017).</w:t>
      </w:r>
    </w:p>
  </w:footnote>
  <w:footnote w:id="25">
    <w:p w:rsidR="0049405E" w:rsidRPr="004A0039" w:rsidRDefault="0049405E">
      <w:pPr>
        <w:pStyle w:val="FootnoteText"/>
        <w:rPr>
          <w:lang w:val="en-IE"/>
        </w:rPr>
      </w:pPr>
      <w:r w:rsidRPr="002A3E76">
        <w:rPr>
          <w:rStyle w:val="FootnoteReference0"/>
        </w:rPr>
        <w:footnoteRef/>
      </w:r>
      <w:r>
        <w:tab/>
      </w:r>
      <w:r w:rsidRPr="009C6209">
        <w:rPr>
          <w:lang w:val="pt-PT"/>
        </w:rPr>
        <w:t>COM(2020)98 final, 11 March 2020.</w:t>
      </w:r>
    </w:p>
  </w:footnote>
  <w:footnote w:id="26">
    <w:p w:rsidR="0049405E" w:rsidRPr="004A0039" w:rsidRDefault="0049405E">
      <w:pPr>
        <w:pStyle w:val="FootnoteText"/>
        <w:rPr>
          <w:lang w:val="en-IE"/>
        </w:rPr>
      </w:pPr>
      <w:r w:rsidRPr="002A3E76">
        <w:rPr>
          <w:rStyle w:val="FootnoteReference0"/>
        </w:rPr>
        <w:footnoteRef/>
      </w:r>
      <w:r>
        <w:tab/>
      </w:r>
      <w:r w:rsidRPr="004A0039">
        <w:t>COM(2019)640 final, 11 December 2019.</w:t>
      </w:r>
    </w:p>
  </w:footnote>
  <w:footnote w:id="27">
    <w:p w:rsidR="0049405E" w:rsidRPr="0041425E" w:rsidRDefault="0049405E" w:rsidP="003F69D8">
      <w:pPr>
        <w:pStyle w:val="FootnoteText"/>
      </w:pPr>
      <w:r w:rsidRPr="00586113">
        <w:rPr>
          <w:rStyle w:val="FootnoteReference0"/>
        </w:rPr>
        <w:footnoteRef/>
      </w:r>
      <w:r>
        <w:tab/>
      </w:r>
      <w:r w:rsidRPr="00E02BD5">
        <w:t>Directive (EU) 2019/771 of the European Parliament and of the Council of 20 May 2019 on certain aspects concerning contracts for the sale of goods, amending Regulation (EU) 2017/2394 and Directive 2009/22/EC, and repealing Directive 1999/44/EC (</w:t>
      </w:r>
      <w:hyperlink r:id="rId3" w:history="1">
        <w:r w:rsidRPr="0041425E">
          <w:t>OJ L 136, 22.5.2019, p. 28</w:t>
        </w:r>
      </w:hyperlink>
      <w:r w:rsidRPr="00E02BD5">
        <w:t>).</w:t>
      </w:r>
    </w:p>
  </w:footnote>
  <w:footnote w:id="28">
    <w:p w:rsidR="0049405E" w:rsidRPr="00CA6930" w:rsidRDefault="0049405E">
      <w:pPr>
        <w:pStyle w:val="FootnoteText"/>
      </w:pPr>
      <w:r w:rsidRPr="00586113">
        <w:rPr>
          <w:rStyle w:val="FootnoteReference0"/>
        </w:rPr>
        <w:footnoteRef/>
      </w:r>
      <w:r>
        <w:tab/>
      </w:r>
      <w:r w:rsidRPr="00CA6930">
        <w:t>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(OJ L 304, 22.11.2011, p. 64).</w:t>
      </w:r>
    </w:p>
  </w:footnote>
  <w:footnote w:id="29">
    <w:p w:rsidR="0049405E" w:rsidRPr="005671C5" w:rsidRDefault="0049405E" w:rsidP="005671C5">
      <w:pPr>
        <w:pStyle w:val="FootnoteText"/>
      </w:pPr>
      <w:r w:rsidRPr="002A3E76">
        <w:rPr>
          <w:rStyle w:val="FootnoteReference0"/>
        </w:rPr>
        <w:footnoteRef/>
      </w:r>
      <w:r>
        <w:tab/>
        <w:t xml:space="preserve">Directive </w:t>
      </w:r>
      <w:r w:rsidRPr="00EA6FBC">
        <w:t>2019/882</w:t>
      </w:r>
      <w:r>
        <w:t>/EU</w:t>
      </w:r>
      <w:r w:rsidRPr="00EA6FBC">
        <w:t xml:space="preserve"> of the European Parliament and of the Council of 17 April 2019 on the accessibility requirements for products and services </w:t>
      </w:r>
      <w:r w:rsidRPr="005671C5">
        <w:t>(</w:t>
      </w:r>
      <w:r w:rsidRPr="00EA6FBC">
        <w:t>OJ L 151, 7.6.2019, p. 70</w:t>
      </w:r>
      <w:r>
        <w:t>).</w:t>
      </w:r>
    </w:p>
    <w:p w:rsidR="0049405E" w:rsidRPr="005671C5" w:rsidRDefault="0049405E">
      <w:pPr>
        <w:pStyle w:val="FootnoteText"/>
      </w:pPr>
    </w:p>
  </w:footnote>
  <w:footnote w:id="30">
    <w:p w:rsidR="0049405E" w:rsidRPr="00AD0CD6" w:rsidRDefault="0049405E">
      <w:pPr>
        <w:pStyle w:val="FootnoteText"/>
        <w:rPr>
          <w:lang w:val="en-US"/>
        </w:rPr>
      </w:pPr>
      <w:r w:rsidRPr="002A3E76">
        <w:rPr>
          <w:rStyle w:val="FootnoteReference0"/>
        </w:rPr>
        <w:footnoteRef/>
      </w:r>
      <w:r>
        <w:tab/>
      </w:r>
      <w:r w:rsidRPr="00E20A8D">
        <w:t>Directive (EU) 2019/770 of the European Parliament and of the Council of 20 May 2019 on certain aspects concerning contracts for the supply of digital content and digital services (</w:t>
      </w:r>
      <w:r w:rsidRPr="0008556F">
        <w:t>OJ L 136, 22.5.2019, p. 1</w:t>
      </w:r>
      <w:r w:rsidRPr="00E20A8D">
        <w:t>)</w:t>
      </w:r>
      <w:r>
        <w:t>.</w:t>
      </w:r>
    </w:p>
  </w:footnote>
  <w:footnote w:id="31">
    <w:p w:rsidR="0049405E" w:rsidRPr="0086703F" w:rsidRDefault="0049405E" w:rsidP="007C44E4">
      <w:pPr>
        <w:pStyle w:val="FootnoteText"/>
        <w:rPr>
          <w:lang w:val="en-US"/>
        </w:rPr>
      </w:pPr>
      <w:r w:rsidRPr="002A3E76">
        <w:rPr>
          <w:rStyle w:val="FootnoteReference0"/>
        </w:rPr>
        <w:footnoteRef/>
      </w:r>
      <w:r>
        <w:tab/>
      </w:r>
      <w:r w:rsidRPr="009C411B">
        <w:t>Directive (EU) 2019/771 of the European Parliament and of the Council of 20 May 2019 on certain aspects concerning contracts for the sale of goods, amending Regulation (EU) 2017/2394 and Directive 2009/22/EC, and repealing Directive 1999/44/EC</w:t>
      </w:r>
      <w:r>
        <w:t xml:space="preserve"> (OJ L 136, 22.5.2019, p. 28).</w:t>
      </w:r>
    </w:p>
  </w:footnote>
  <w:footnote w:id="32">
    <w:p w:rsidR="0049405E" w:rsidRPr="008A42E6" w:rsidRDefault="0049405E" w:rsidP="00214891">
      <w:pPr>
        <w:pStyle w:val="FootnoteText"/>
        <w:spacing w:after="60"/>
        <w:ind w:left="567" w:hanging="567"/>
        <w:rPr>
          <w:lang w:val="en-IE"/>
        </w:rPr>
      </w:pPr>
      <w:r w:rsidRPr="00D240F5">
        <w:rPr>
          <w:rStyle w:val="FootnoteReference0"/>
        </w:rPr>
        <w:footnoteRef/>
      </w:r>
      <w:r>
        <w:tab/>
      </w:r>
      <w:r>
        <w:rPr>
          <w:color w:val="000000"/>
          <w:shd w:val="clear" w:color="auto" w:fill="FFFFFF"/>
        </w:rPr>
        <w:t>OJ C 369, 17.12.2011, p.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E620AF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01AFA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CB223F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AD85E7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F68D1B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E102E1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13056DA"/>
    <w:multiLevelType w:val="multilevel"/>
    <w:tmpl w:val="C7D022EA"/>
    <w:styleLink w:val="NumbLstBoxes"/>
    <w:lvl w:ilvl="0">
      <w:start w:val="1"/>
      <w:numFmt w:val="decimal"/>
      <w:pStyle w:val="CaseStudy"/>
      <w:suff w:val="space"/>
      <w:lvlText w:val="Case Study %1"/>
      <w:lvlJc w:val="left"/>
      <w:pPr>
        <w:ind w:left="57" w:firstLine="0"/>
      </w:pPr>
      <w:rPr>
        <w:rFonts w:hint="default"/>
      </w:rPr>
    </w:lvl>
    <w:lvl w:ilvl="1">
      <w:start w:val="1"/>
      <w:numFmt w:val="decimal"/>
      <w:lvlRestart w:val="0"/>
      <w:pStyle w:val="Evidence"/>
      <w:suff w:val="space"/>
      <w:lvlText w:val="Evidence %2"/>
      <w:lvlJc w:val="left"/>
      <w:pPr>
        <w:ind w:left="57" w:firstLine="0"/>
      </w:pPr>
      <w:rPr>
        <w:rFonts w:hint="default"/>
      </w:rPr>
    </w:lvl>
    <w:lvl w:ilvl="2">
      <w:start w:val="1"/>
      <w:numFmt w:val="decimal"/>
      <w:lvlRestart w:val="0"/>
      <w:pStyle w:val="Conclusion"/>
      <w:suff w:val="space"/>
      <w:lvlText w:val="Conclusion %3"/>
      <w:lvlJc w:val="left"/>
      <w:pPr>
        <w:ind w:left="57" w:firstLine="0"/>
      </w:pPr>
      <w:rPr>
        <w:rFonts w:hint="default"/>
      </w:rPr>
    </w:lvl>
    <w:lvl w:ilvl="3">
      <w:start w:val="1"/>
      <w:numFmt w:val="decimal"/>
      <w:lvlRestart w:val="0"/>
      <w:pStyle w:val="Recommendation"/>
      <w:suff w:val="space"/>
      <w:lvlText w:val="Recommendation %4"/>
      <w:lvlJc w:val="left"/>
      <w:pPr>
        <w:ind w:left="57" w:firstLine="0"/>
      </w:pPr>
      <w:rPr>
        <w:rFonts w:hint="default"/>
        <w:b/>
        <w:i w:val="0"/>
        <w:color w:val="4F81BD" w:themeColor="accent1"/>
        <w:sz w:val="22"/>
      </w:rPr>
    </w:lvl>
    <w:lvl w:ilvl="4">
      <w:start w:val="1"/>
      <w:numFmt w:val="decimal"/>
      <w:lvlRestart w:val="0"/>
      <w:pStyle w:val="BoxNumb"/>
      <w:suff w:val="space"/>
      <w:lvlText w:val="Box %5"/>
      <w:lvlJc w:val="left"/>
      <w:pPr>
        <w:ind w:left="57" w:firstLine="0"/>
      </w:pPr>
      <w:rPr>
        <w:rFonts w:hint="default"/>
        <w:color w:val="4F81BD" w:themeColor="accent1"/>
      </w:rPr>
    </w:lvl>
    <w:lvl w:ilvl="5">
      <w:start w:val="1"/>
      <w:numFmt w:val="none"/>
      <w:lvlRestart w:val="3"/>
      <w:lvlText w:val=""/>
      <w:lvlJc w:val="left"/>
      <w:pPr>
        <w:tabs>
          <w:tab w:val="num" w:pos="851"/>
        </w:tabs>
        <w:ind w:left="57" w:firstLine="0"/>
      </w:pPr>
      <w:rPr>
        <w:rFonts w:ascii="Georgia" w:hAnsi="Georgia" w:hint="default"/>
        <w:color w:val="336633"/>
      </w:rPr>
    </w:lvl>
    <w:lvl w:ilvl="6">
      <w:start w:val="1"/>
      <w:numFmt w:val="none"/>
      <w:lvlRestart w:val="5"/>
      <w:suff w:val="nothing"/>
      <w:lvlText w:val=""/>
      <w:lvlJc w:val="left"/>
      <w:pPr>
        <w:ind w:left="57" w:firstLine="0"/>
      </w:pPr>
      <w:rPr>
        <w:rFonts w:hint="default"/>
      </w:rPr>
    </w:lvl>
    <w:lvl w:ilvl="7">
      <w:start w:val="1"/>
      <w:numFmt w:val="none"/>
      <w:lvlRestart w:val="0"/>
      <w:suff w:val="nothing"/>
      <w:lvlText w:val=""/>
      <w:lvlJc w:val="left"/>
      <w:pPr>
        <w:ind w:left="57" w:firstLine="0"/>
      </w:pPr>
      <w:rPr>
        <w:rFonts w:hint="default"/>
        <w:color w:val="auto"/>
      </w:rPr>
    </w:lvl>
    <w:lvl w:ilvl="8">
      <w:start w:val="1"/>
      <w:numFmt w:val="none"/>
      <w:suff w:val="nothing"/>
      <w:lvlText w:val=""/>
      <w:lvlJc w:val="left"/>
      <w:pPr>
        <w:ind w:left="57" w:firstLine="0"/>
      </w:pPr>
      <w:rPr>
        <w:rFonts w:ascii="Georgia" w:hAnsi="Georgia" w:hint="default"/>
        <w:color w:val="1F497D" w:themeColor="text2"/>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4A4CD8"/>
    <w:multiLevelType w:val="hybridMultilevel"/>
    <w:tmpl w:val="E214D8C8"/>
    <w:lvl w:ilvl="0" w:tplc="EBF6F10A">
      <w:start w:val="1"/>
      <w:numFmt w:val="decimal"/>
      <w:pStyle w:val="N"/>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pStyle w:val="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63E6ECE"/>
    <w:multiLevelType w:val="multilevel"/>
    <w:tmpl w:val="C7D022EA"/>
    <w:numStyleLink w:val="NumbLstBoxes"/>
  </w:abstractNum>
  <w:abstractNum w:abstractNumId="28" w15:restartNumberingAfterBreak="0">
    <w:nsid w:val="768C1DAA"/>
    <w:multiLevelType w:val="hybridMultilevel"/>
    <w:tmpl w:val="BB227E4E"/>
    <w:lvl w:ilvl="0" w:tplc="C30C32CA">
      <w:start w:val="1"/>
      <w:numFmt w:val="decimal"/>
      <w:pStyle w:val="FigureEconomisit"/>
      <w:lvlText w:val="Figure %1"/>
      <w:lvlJc w:val="left"/>
      <w:pPr>
        <w:ind w:left="1134" w:hanging="1134"/>
      </w:pPr>
      <w:rPr>
        <w:rFonts w:ascii="Arial Bold" w:hAnsi="Arial Bold" w:cs="Times New Roman" w:hint="default"/>
        <w:b/>
        <w:i w:val="0"/>
        <w:color w:val="595959" w:themeColor="text1" w:themeTint="A6"/>
        <w:sz w:val="20"/>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6"/>
  </w:num>
  <w:num w:numId="3">
    <w:abstractNumId w:val="17"/>
  </w:num>
  <w:num w:numId="4">
    <w:abstractNumId w:val="16"/>
  </w:num>
  <w:num w:numId="5">
    <w:abstractNumId w:val="26"/>
  </w:num>
  <w:num w:numId="6">
    <w:abstractNumId w:val="22"/>
  </w:num>
  <w:num w:numId="7">
    <w:abstractNumId w:val="5"/>
  </w:num>
  <w:num w:numId="8">
    <w:abstractNumId w:val="4"/>
  </w:num>
  <w:num w:numId="9">
    <w:abstractNumId w:val="3"/>
  </w:num>
  <w:num w:numId="10">
    <w:abstractNumId w:val="2"/>
  </w:num>
  <w:num w:numId="11">
    <w:abstractNumId w:val="1"/>
  </w:num>
  <w:num w:numId="12">
    <w:abstractNumId w:val="24"/>
  </w:num>
  <w:num w:numId="13">
    <w:abstractNumId w:val="28"/>
  </w:num>
  <w:num w:numId="14">
    <w:abstractNumId w:val="15"/>
    <w:lvlOverride w:ilvl="0">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8"/>
  </w:num>
  <w:num w:numId="18">
    <w:abstractNumId w:val="27"/>
  </w:num>
  <w:num w:numId="19">
    <w:abstractNumId w:val="19"/>
    <w:lvlOverride w:ilvl="0">
      <w:startOverride w:val="1"/>
    </w:lvlOverride>
  </w:num>
  <w:num w:numId="20">
    <w:abstractNumId w:val="12"/>
    <w:lvlOverride w:ilvl="0">
      <w:startOverride w:val="1"/>
    </w:lvlOverride>
  </w:num>
  <w:num w:numId="21">
    <w:abstractNumId w:val="7"/>
  </w:num>
  <w:num w:numId="22">
    <w:abstractNumId w:val="7"/>
    <w:lvlOverride w:ilvl="0">
      <w:startOverride w:val="4"/>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21"/>
    <w:lvlOverride w:ilvl="0">
      <w:startOverride w:val="1"/>
    </w:lvlOverride>
  </w:num>
  <w:num w:numId="26">
    <w:abstractNumId w:val="29"/>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2"/>
  </w:num>
  <w:num w:numId="34">
    <w:abstractNumId w:val="25"/>
  </w:num>
  <w:num w:numId="35">
    <w:abstractNumId w:val="11"/>
  </w:num>
  <w:num w:numId="36">
    <w:abstractNumId w:val="13"/>
  </w:num>
  <w:num w:numId="37">
    <w:abstractNumId w:val="14"/>
  </w:num>
  <w:num w:numId="38">
    <w:abstractNumId w:val="9"/>
  </w:num>
  <w:num w:numId="39">
    <w:abstractNumId w:val="23"/>
  </w:num>
  <w:num w:numId="40">
    <w:abstractNumId w:val="7"/>
  </w:num>
  <w:num w:numId="41">
    <w:abstractNumId w:val="15"/>
  </w:num>
  <w:num w:numId="42">
    <w:abstractNumId w:val="19"/>
  </w:num>
  <w:num w:numId="43">
    <w:abstractNumId w:val="20"/>
  </w:num>
  <w:num w:numId="44">
    <w:abstractNumId w:val="10"/>
  </w:num>
  <w:num w:numId="45">
    <w:abstractNumId w:val="18"/>
  </w:num>
  <w:num w:numId="46">
    <w:abstractNumId w:val="29"/>
  </w:num>
  <w:num w:numId="47">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nb-NO" w:vendorID="64" w:dllVersion="131078" w:nlCheck="1" w:checkStyle="0"/>
  <w:activeWritingStyle w:appName="MSWord" w:lang="fr-BE" w:vendorID="64" w:dllVersion="131078" w:nlCheck="1" w:checkStyle="0"/>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3-25 16:50:05"/>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71BA546E-B623-4682-B88B-D53B64726012"/>
    <w:docVar w:name="LW_COVERPAGE_TYPE" w:val="1"/>
    <w:docVar w:name="LW_CROSSREFERENCE" w:val="{SEC(2022) 166 final} - {SWD(2022) 85 final} - {SWD(2022) 86 final}"/>
    <w:docVar w:name="LW_DocType" w:val="COM"/>
    <w:docVar w:name="LW_EMISSION" w:val="30.3.2022"/>
    <w:docVar w:name="LW_EMISSION_ISODATE" w:val="2022-03-30"/>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92"/>
    <w:docVar w:name="LW_REF.II.NEW.CP_YEAR" w:val="2022"/>
    <w:docVar w:name="LW_REF.INST.NEW" w:val="COM"/>
    <w:docVar w:name="LW_REF.INST.NEW_ADOPTED" w:val="final"/>
    <w:docVar w:name="LW_REF.INST.NEW_TEXT" w:val="(2022) 1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s 2005/29/EC and 2011/83/EU as regards empowering consumers for the green transition through better protection against unfair practices and better information"/>
    <w:docVar w:name="LW_TYPE.DOC.CP" w:val="DIRECTIVE OF THE EUROPEAN PARLIAMENT AND OF THE COUNCIL"/>
    <w:docVar w:name="LwApiVersions" w:val="LW4CoDe 1.23.2.0; LW 8.0, Build 20211117"/>
  </w:docVars>
  <w:rsids>
    <w:rsidRoot w:val="00996125"/>
    <w:rsid w:val="0000030C"/>
    <w:rsid w:val="000006E7"/>
    <w:rsid w:val="00000E84"/>
    <w:rsid w:val="000016D4"/>
    <w:rsid w:val="0000286E"/>
    <w:rsid w:val="0000290B"/>
    <w:rsid w:val="000032D2"/>
    <w:rsid w:val="00003B86"/>
    <w:rsid w:val="00004119"/>
    <w:rsid w:val="00004310"/>
    <w:rsid w:val="00004562"/>
    <w:rsid w:val="00004626"/>
    <w:rsid w:val="00004870"/>
    <w:rsid w:val="00005BCB"/>
    <w:rsid w:val="00005C6C"/>
    <w:rsid w:val="00005CAF"/>
    <w:rsid w:val="000060FD"/>
    <w:rsid w:val="00006180"/>
    <w:rsid w:val="00006361"/>
    <w:rsid w:val="0000658D"/>
    <w:rsid w:val="00006877"/>
    <w:rsid w:val="00006984"/>
    <w:rsid w:val="00007487"/>
    <w:rsid w:val="00007936"/>
    <w:rsid w:val="00007BFD"/>
    <w:rsid w:val="00007C55"/>
    <w:rsid w:val="00010518"/>
    <w:rsid w:val="00010CB3"/>
    <w:rsid w:val="00010D0E"/>
    <w:rsid w:val="0001138E"/>
    <w:rsid w:val="00011E0C"/>
    <w:rsid w:val="00011E91"/>
    <w:rsid w:val="00012236"/>
    <w:rsid w:val="000122AD"/>
    <w:rsid w:val="0001250B"/>
    <w:rsid w:val="00012C21"/>
    <w:rsid w:val="00014B02"/>
    <w:rsid w:val="0001571F"/>
    <w:rsid w:val="000157CA"/>
    <w:rsid w:val="00015E34"/>
    <w:rsid w:val="0001606F"/>
    <w:rsid w:val="000168F2"/>
    <w:rsid w:val="00016A63"/>
    <w:rsid w:val="00017D47"/>
    <w:rsid w:val="000201C7"/>
    <w:rsid w:val="0002125E"/>
    <w:rsid w:val="00021A47"/>
    <w:rsid w:val="00021FCA"/>
    <w:rsid w:val="0002211D"/>
    <w:rsid w:val="000224BA"/>
    <w:rsid w:val="00022AFE"/>
    <w:rsid w:val="00022CEB"/>
    <w:rsid w:val="00023574"/>
    <w:rsid w:val="00023917"/>
    <w:rsid w:val="0002460F"/>
    <w:rsid w:val="00024873"/>
    <w:rsid w:val="00024A63"/>
    <w:rsid w:val="00024A77"/>
    <w:rsid w:val="000254E1"/>
    <w:rsid w:val="00025F25"/>
    <w:rsid w:val="00026637"/>
    <w:rsid w:val="0002695B"/>
    <w:rsid w:val="0002723B"/>
    <w:rsid w:val="00027294"/>
    <w:rsid w:val="00027959"/>
    <w:rsid w:val="00027EA2"/>
    <w:rsid w:val="000303DC"/>
    <w:rsid w:val="0003076F"/>
    <w:rsid w:val="0003088F"/>
    <w:rsid w:val="00030A02"/>
    <w:rsid w:val="00030EC1"/>
    <w:rsid w:val="0003151C"/>
    <w:rsid w:val="000317D0"/>
    <w:rsid w:val="000319F1"/>
    <w:rsid w:val="0003231B"/>
    <w:rsid w:val="000323A4"/>
    <w:rsid w:val="00032F76"/>
    <w:rsid w:val="00032FCC"/>
    <w:rsid w:val="00033469"/>
    <w:rsid w:val="00033517"/>
    <w:rsid w:val="00033A2B"/>
    <w:rsid w:val="00033B2D"/>
    <w:rsid w:val="00033BC6"/>
    <w:rsid w:val="00034506"/>
    <w:rsid w:val="00034B0B"/>
    <w:rsid w:val="000374F7"/>
    <w:rsid w:val="00037557"/>
    <w:rsid w:val="00037624"/>
    <w:rsid w:val="00037AFB"/>
    <w:rsid w:val="00040C08"/>
    <w:rsid w:val="000412E5"/>
    <w:rsid w:val="000415ED"/>
    <w:rsid w:val="00041D5C"/>
    <w:rsid w:val="00041FB6"/>
    <w:rsid w:val="00042574"/>
    <w:rsid w:val="0004272B"/>
    <w:rsid w:val="00042778"/>
    <w:rsid w:val="00042A3E"/>
    <w:rsid w:val="0004312A"/>
    <w:rsid w:val="0004333A"/>
    <w:rsid w:val="000433C2"/>
    <w:rsid w:val="0004424D"/>
    <w:rsid w:val="00044B6A"/>
    <w:rsid w:val="00044E96"/>
    <w:rsid w:val="00044FE8"/>
    <w:rsid w:val="00046135"/>
    <w:rsid w:val="00046198"/>
    <w:rsid w:val="000469C4"/>
    <w:rsid w:val="00050221"/>
    <w:rsid w:val="00050E04"/>
    <w:rsid w:val="00050ED8"/>
    <w:rsid w:val="00051200"/>
    <w:rsid w:val="00052659"/>
    <w:rsid w:val="00052C75"/>
    <w:rsid w:val="00053136"/>
    <w:rsid w:val="00053979"/>
    <w:rsid w:val="00053AD0"/>
    <w:rsid w:val="000542ED"/>
    <w:rsid w:val="000549A2"/>
    <w:rsid w:val="00054E04"/>
    <w:rsid w:val="00055106"/>
    <w:rsid w:val="000555AD"/>
    <w:rsid w:val="0005577A"/>
    <w:rsid w:val="00055D9D"/>
    <w:rsid w:val="00055DFA"/>
    <w:rsid w:val="000560F8"/>
    <w:rsid w:val="00056561"/>
    <w:rsid w:val="00056CFB"/>
    <w:rsid w:val="00056EB2"/>
    <w:rsid w:val="000572B2"/>
    <w:rsid w:val="00057607"/>
    <w:rsid w:val="00061755"/>
    <w:rsid w:val="00061803"/>
    <w:rsid w:val="00061CC0"/>
    <w:rsid w:val="00062280"/>
    <w:rsid w:val="0006277D"/>
    <w:rsid w:val="00063939"/>
    <w:rsid w:val="00063C19"/>
    <w:rsid w:val="00063C6A"/>
    <w:rsid w:val="0006445E"/>
    <w:rsid w:val="00064846"/>
    <w:rsid w:val="000660B0"/>
    <w:rsid w:val="0006624C"/>
    <w:rsid w:val="00066BE4"/>
    <w:rsid w:val="00066C8D"/>
    <w:rsid w:val="0006702D"/>
    <w:rsid w:val="0006757E"/>
    <w:rsid w:val="000701DC"/>
    <w:rsid w:val="00071745"/>
    <w:rsid w:val="00071ADD"/>
    <w:rsid w:val="00071BCE"/>
    <w:rsid w:val="000722C0"/>
    <w:rsid w:val="00073685"/>
    <w:rsid w:val="0007455C"/>
    <w:rsid w:val="00074FAB"/>
    <w:rsid w:val="00075B89"/>
    <w:rsid w:val="00075F7E"/>
    <w:rsid w:val="00076551"/>
    <w:rsid w:val="00077C08"/>
    <w:rsid w:val="000808D9"/>
    <w:rsid w:val="00080C7B"/>
    <w:rsid w:val="00081695"/>
    <w:rsid w:val="00081772"/>
    <w:rsid w:val="00081973"/>
    <w:rsid w:val="00081CB1"/>
    <w:rsid w:val="00083190"/>
    <w:rsid w:val="000836FF"/>
    <w:rsid w:val="0008394A"/>
    <w:rsid w:val="00083E32"/>
    <w:rsid w:val="0008427F"/>
    <w:rsid w:val="00084413"/>
    <w:rsid w:val="0008556F"/>
    <w:rsid w:val="000861E3"/>
    <w:rsid w:val="00086320"/>
    <w:rsid w:val="000864D1"/>
    <w:rsid w:val="00087677"/>
    <w:rsid w:val="00087A0B"/>
    <w:rsid w:val="00090243"/>
    <w:rsid w:val="00090485"/>
    <w:rsid w:val="00090EDC"/>
    <w:rsid w:val="00091C7D"/>
    <w:rsid w:val="00092292"/>
    <w:rsid w:val="00093450"/>
    <w:rsid w:val="0009374C"/>
    <w:rsid w:val="00093A7C"/>
    <w:rsid w:val="00093BCA"/>
    <w:rsid w:val="00093C89"/>
    <w:rsid w:val="00094B38"/>
    <w:rsid w:val="00094C4E"/>
    <w:rsid w:val="0009572D"/>
    <w:rsid w:val="000957D6"/>
    <w:rsid w:val="00096BF4"/>
    <w:rsid w:val="00097BBE"/>
    <w:rsid w:val="000A0696"/>
    <w:rsid w:val="000A0CA8"/>
    <w:rsid w:val="000A0FF8"/>
    <w:rsid w:val="000A12EA"/>
    <w:rsid w:val="000A2D41"/>
    <w:rsid w:val="000A2D49"/>
    <w:rsid w:val="000A3285"/>
    <w:rsid w:val="000A4023"/>
    <w:rsid w:val="000A4225"/>
    <w:rsid w:val="000A49B6"/>
    <w:rsid w:val="000A5E06"/>
    <w:rsid w:val="000A61AB"/>
    <w:rsid w:val="000A7403"/>
    <w:rsid w:val="000A7D15"/>
    <w:rsid w:val="000A7EA5"/>
    <w:rsid w:val="000B0558"/>
    <w:rsid w:val="000B0E48"/>
    <w:rsid w:val="000B12CB"/>
    <w:rsid w:val="000B134D"/>
    <w:rsid w:val="000B1540"/>
    <w:rsid w:val="000B16CA"/>
    <w:rsid w:val="000B2E99"/>
    <w:rsid w:val="000B38C6"/>
    <w:rsid w:val="000B3B33"/>
    <w:rsid w:val="000B3B60"/>
    <w:rsid w:val="000B4340"/>
    <w:rsid w:val="000B4E7E"/>
    <w:rsid w:val="000B4E80"/>
    <w:rsid w:val="000B582B"/>
    <w:rsid w:val="000B58C8"/>
    <w:rsid w:val="000B6287"/>
    <w:rsid w:val="000B648C"/>
    <w:rsid w:val="000B688D"/>
    <w:rsid w:val="000B6FF9"/>
    <w:rsid w:val="000B7221"/>
    <w:rsid w:val="000B73A8"/>
    <w:rsid w:val="000B7487"/>
    <w:rsid w:val="000B76C1"/>
    <w:rsid w:val="000B7859"/>
    <w:rsid w:val="000B7D8E"/>
    <w:rsid w:val="000B7E44"/>
    <w:rsid w:val="000C02FD"/>
    <w:rsid w:val="000C0D45"/>
    <w:rsid w:val="000C115D"/>
    <w:rsid w:val="000C176E"/>
    <w:rsid w:val="000C2092"/>
    <w:rsid w:val="000C2FD4"/>
    <w:rsid w:val="000C333F"/>
    <w:rsid w:val="000C360C"/>
    <w:rsid w:val="000C3837"/>
    <w:rsid w:val="000C3D78"/>
    <w:rsid w:val="000C3E69"/>
    <w:rsid w:val="000C4683"/>
    <w:rsid w:val="000C4E9C"/>
    <w:rsid w:val="000C55A0"/>
    <w:rsid w:val="000C56E1"/>
    <w:rsid w:val="000C5780"/>
    <w:rsid w:val="000C5C6A"/>
    <w:rsid w:val="000C62BF"/>
    <w:rsid w:val="000C634F"/>
    <w:rsid w:val="000C729F"/>
    <w:rsid w:val="000C76AB"/>
    <w:rsid w:val="000C7D39"/>
    <w:rsid w:val="000C7FC1"/>
    <w:rsid w:val="000D1121"/>
    <w:rsid w:val="000D1615"/>
    <w:rsid w:val="000D25AF"/>
    <w:rsid w:val="000D2722"/>
    <w:rsid w:val="000D2C08"/>
    <w:rsid w:val="000D2D27"/>
    <w:rsid w:val="000D4D5D"/>
    <w:rsid w:val="000D52BD"/>
    <w:rsid w:val="000D5685"/>
    <w:rsid w:val="000D5AC8"/>
    <w:rsid w:val="000D5EEC"/>
    <w:rsid w:val="000D5FF2"/>
    <w:rsid w:val="000D6450"/>
    <w:rsid w:val="000D6CA3"/>
    <w:rsid w:val="000E033B"/>
    <w:rsid w:val="000E1209"/>
    <w:rsid w:val="000E14D8"/>
    <w:rsid w:val="000E1603"/>
    <w:rsid w:val="000E1BF3"/>
    <w:rsid w:val="000E2C8C"/>
    <w:rsid w:val="000E2D31"/>
    <w:rsid w:val="000E3125"/>
    <w:rsid w:val="000E33CF"/>
    <w:rsid w:val="000E3B79"/>
    <w:rsid w:val="000E3D4A"/>
    <w:rsid w:val="000E43DC"/>
    <w:rsid w:val="000E4646"/>
    <w:rsid w:val="000E4A6A"/>
    <w:rsid w:val="000E4F56"/>
    <w:rsid w:val="000E51E0"/>
    <w:rsid w:val="000E5997"/>
    <w:rsid w:val="000E5A07"/>
    <w:rsid w:val="000E5B25"/>
    <w:rsid w:val="000E5F09"/>
    <w:rsid w:val="000E64AF"/>
    <w:rsid w:val="000E680A"/>
    <w:rsid w:val="000E719B"/>
    <w:rsid w:val="000E7508"/>
    <w:rsid w:val="000E773D"/>
    <w:rsid w:val="000E79E9"/>
    <w:rsid w:val="000F045A"/>
    <w:rsid w:val="000F15A2"/>
    <w:rsid w:val="000F162D"/>
    <w:rsid w:val="000F1ABE"/>
    <w:rsid w:val="000F200B"/>
    <w:rsid w:val="000F2356"/>
    <w:rsid w:val="000F252E"/>
    <w:rsid w:val="000F2712"/>
    <w:rsid w:val="000F41EA"/>
    <w:rsid w:val="000F4433"/>
    <w:rsid w:val="000F4644"/>
    <w:rsid w:val="000F53F8"/>
    <w:rsid w:val="000F565A"/>
    <w:rsid w:val="000F63AA"/>
    <w:rsid w:val="000F6F9F"/>
    <w:rsid w:val="000F70EF"/>
    <w:rsid w:val="000F741E"/>
    <w:rsid w:val="000F76AA"/>
    <w:rsid w:val="000F7D1B"/>
    <w:rsid w:val="001001F4"/>
    <w:rsid w:val="001004CE"/>
    <w:rsid w:val="00100849"/>
    <w:rsid w:val="00100AB9"/>
    <w:rsid w:val="0010155C"/>
    <w:rsid w:val="00101C64"/>
    <w:rsid w:val="00102004"/>
    <w:rsid w:val="00102C9B"/>
    <w:rsid w:val="00103E38"/>
    <w:rsid w:val="00103F35"/>
    <w:rsid w:val="001047B3"/>
    <w:rsid w:val="00104A42"/>
    <w:rsid w:val="001055AC"/>
    <w:rsid w:val="001059E2"/>
    <w:rsid w:val="00106053"/>
    <w:rsid w:val="0010634C"/>
    <w:rsid w:val="00106E20"/>
    <w:rsid w:val="001078BA"/>
    <w:rsid w:val="00110135"/>
    <w:rsid w:val="00110A1F"/>
    <w:rsid w:val="00110EF8"/>
    <w:rsid w:val="00111416"/>
    <w:rsid w:val="00111AEA"/>
    <w:rsid w:val="00111F9A"/>
    <w:rsid w:val="00112CF3"/>
    <w:rsid w:val="00113574"/>
    <w:rsid w:val="00113701"/>
    <w:rsid w:val="00113764"/>
    <w:rsid w:val="00113CFE"/>
    <w:rsid w:val="00114F75"/>
    <w:rsid w:val="00115680"/>
    <w:rsid w:val="00116003"/>
    <w:rsid w:val="001162AB"/>
    <w:rsid w:val="0011698D"/>
    <w:rsid w:val="001169A6"/>
    <w:rsid w:val="00116A86"/>
    <w:rsid w:val="0011765B"/>
    <w:rsid w:val="00117BB5"/>
    <w:rsid w:val="001206B1"/>
    <w:rsid w:val="00120EF8"/>
    <w:rsid w:val="001214D4"/>
    <w:rsid w:val="001216CF"/>
    <w:rsid w:val="00122895"/>
    <w:rsid w:val="00122FAF"/>
    <w:rsid w:val="0012348A"/>
    <w:rsid w:val="0012375C"/>
    <w:rsid w:val="001244BA"/>
    <w:rsid w:val="001246E8"/>
    <w:rsid w:val="00124968"/>
    <w:rsid w:val="00124C88"/>
    <w:rsid w:val="00124F40"/>
    <w:rsid w:val="001255E1"/>
    <w:rsid w:val="0012619A"/>
    <w:rsid w:val="00126A8B"/>
    <w:rsid w:val="00126B4F"/>
    <w:rsid w:val="00127175"/>
    <w:rsid w:val="0012734A"/>
    <w:rsid w:val="00127406"/>
    <w:rsid w:val="0012759B"/>
    <w:rsid w:val="001277AB"/>
    <w:rsid w:val="00127B11"/>
    <w:rsid w:val="0013004A"/>
    <w:rsid w:val="001305E1"/>
    <w:rsid w:val="00131657"/>
    <w:rsid w:val="0013178B"/>
    <w:rsid w:val="001318FA"/>
    <w:rsid w:val="00131F1E"/>
    <w:rsid w:val="00132112"/>
    <w:rsid w:val="00132364"/>
    <w:rsid w:val="00132DC4"/>
    <w:rsid w:val="00133042"/>
    <w:rsid w:val="00133D14"/>
    <w:rsid w:val="00133FF5"/>
    <w:rsid w:val="001340E9"/>
    <w:rsid w:val="001341A6"/>
    <w:rsid w:val="001343C3"/>
    <w:rsid w:val="00134436"/>
    <w:rsid w:val="00134590"/>
    <w:rsid w:val="00134897"/>
    <w:rsid w:val="001348A1"/>
    <w:rsid w:val="001351EF"/>
    <w:rsid w:val="00135A78"/>
    <w:rsid w:val="00135CCA"/>
    <w:rsid w:val="0013660D"/>
    <w:rsid w:val="00136BFB"/>
    <w:rsid w:val="00136C4A"/>
    <w:rsid w:val="001378D8"/>
    <w:rsid w:val="00137A96"/>
    <w:rsid w:val="00140479"/>
    <w:rsid w:val="0014099A"/>
    <w:rsid w:val="001409E4"/>
    <w:rsid w:val="00140CE3"/>
    <w:rsid w:val="001412B2"/>
    <w:rsid w:val="00141342"/>
    <w:rsid w:val="00141BE8"/>
    <w:rsid w:val="001423AA"/>
    <w:rsid w:val="00142AFB"/>
    <w:rsid w:val="0014359B"/>
    <w:rsid w:val="00143879"/>
    <w:rsid w:val="00143DE6"/>
    <w:rsid w:val="00144804"/>
    <w:rsid w:val="001451E5"/>
    <w:rsid w:val="00145B7E"/>
    <w:rsid w:val="00145C5B"/>
    <w:rsid w:val="00145F16"/>
    <w:rsid w:val="001464FC"/>
    <w:rsid w:val="0014724E"/>
    <w:rsid w:val="001474DA"/>
    <w:rsid w:val="001475CC"/>
    <w:rsid w:val="001477E5"/>
    <w:rsid w:val="00147E8D"/>
    <w:rsid w:val="0015115A"/>
    <w:rsid w:val="0015130E"/>
    <w:rsid w:val="00151AD4"/>
    <w:rsid w:val="00151EA3"/>
    <w:rsid w:val="00152308"/>
    <w:rsid w:val="00153189"/>
    <w:rsid w:val="001535B0"/>
    <w:rsid w:val="00153BCB"/>
    <w:rsid w:val="00155199"/>
    <w:rsid w:val="001554D0"/>
    <w:rsid w:val="00155673"/>
    <w:rsid w:val="00155C68"/>
    <w:rsid w:val="00156A8D"/>
    <w:rsid w:val="00156EF0"/>
    <w:rsid w:val="0015775C"/>
    <w:rsid w:val="0015778C"/>
    <w:rsid w:val="00160327"/>
    <w:rsid w:val="00161626"/>
    <w:rsid w:val="001624AE"/>
    <w:rsid w:val="00163A29"/>
    <w:rsid w:val="00163C26"/>
    <w:rsid w:val="00163E0B"/>
    <w:rsid w:val="00164B64"/>
    <w:rsid w:val="00165CEE"/>
    <w:rsid w:val="00165EDF"/>
    <w:rsid w:val="001668A9"/>
    <w:rsid w:val="00166F08"/>
    <w:rsid w:val="00170B2A"/>
    <w:rsid w:val="00170C9D"/>
    <w:rsid w:val="00170EF3"/>
    <w:rsid w:val="0017164B"/>
    <w:rsid w:val="00171A3C"/>
    <w:rsid w:val="00171AFD"/>
    <w:rsid w:val="00172C6E"/>
    <w:rsid w:val="00172E3E"/>
    <w:rsid w:val="00172F4C"/>
    <w:rsid w:val="00172FF7"/>
    <w:rsid w:val="0017313A"/>
    <w:rsid w:val="00174A84"/>
    <w:rsid w:val="00174AC5"/>
    <w:rsid w:val="0017566B"/>
    <w:rsid w:val="00175816"/>
    <w:rsid w:val="001759A6"/>
    <w:rsid w:val="001759FC"/>
    <w:rsid w:val="00175BB6"/>
    <w:rsid w:val="00176745"/>
    <w:rsid w:val="00176B9E"/>
    <w:rsid w:val="00176FE5"/>
    <w:rsid w:val="001770A1"/>
    <w:rsid w:val="001773C0"/>
    <w:rsid w:val="001804F6"/>
    <w:rsid w:val="00180A1E"/>
    <w:rsid w:val="0018181E"/>
    <w:rsid w:val="00181B16"/>
    <w:rsid w:val="00181D5D"/>
    <w:rsid w:val="00182B4F"/>
    <w:rsid w:val="00182CC5"/>
    <w:rsid w:val="00182F96"/>
    <w:rsid w:val="00183BBD"/>
    <w:rsid w:val="001844FD"/>
    <w:rsid w:val="00184589"/>
    <w:rsid w:val="00184FA1"/>
    <w:rsid w:val="00185339"/>
    <w:rsid w:val="00185680"/>
    <w:rsid w:val="001856D4"/>
    <w:rsid w:val="00185BAD"/>
    <w:rsid w:val="00186546"/>
    <w:rsid w:val="00186816"/>
    <w:rsid w:val="0018704F"/>
    <w:rsid w:val="0018733D"/>
    <w:rsid w:val="00187370"/>
    <w:rsid w:val="00187829"/>
    <w:rsid w:val="001878A8"/>
    <w:rsid w:val="001901E9"/>
    <w:rsid w:val="00190992"/>
    <w:rsid w:val="00190C75"/>
    <w:rsid w:val="00190EF1"/>
    <w:rsid w:val="0019113E"/>
    <w:rsid w:val="001911B1"/>
    <w:rsid w:val="00191502"/>
    <w:rsid w:val="001917B2"/>
    <w:rsid w:val="00191990"/>
    <w:rsid w:val="001921F1"/>
    <w:rsid w:val="00192207"/>
    <w:rsid w:val="001922DD"/>
    <w:rsid w:val="00193A37"/>
    <w:rsid w:val="00193AE8"/>
    <w:rsid w:val="00194013"/>
    <w:rsid w:val="00194248"/>
    <w:rsid w:val="00194C03"/>
    <w:rsid w:val="00195579"/>
    <w:rsid w:val="00195AB0"/>
    <w:rsid w:val="001968B9"/>
    <w:rsid w:val="00196A61"/>
    <w:rsid w:val="0019785F"/>
    <w:rsid w:val="00197DEA"/>
    <w:rsid w:val="001A0160"/>
    <w:rsid w:val="001A0341"/>
    <w:rsid w:val="001A081E"/>
    <w:rsid w:val="001A0FCA"/>
    <w:rsid w:val="001A10FF"/>
    <w:rsid w:val="001A14FB"/>
    <w:rsid w:val="001A15C2"/>
    <w:rsid w:val="001A1ADF"/>
    <w:rsid w:val="001A1CC7"/>
    <w:rsid w:val="001A2954"/>
    <w:rsid w:val="001A3262"/>
    <w:rsid w:val="001A389F"/>
    <w:rsid w:val="001A3F4F"/>
    <w:rsid w:val="001A43B3"/>
    <w:rsid w:val="001A451E"/>
    <w:rsid w:val="001A4C44"/>
    <w:rsid w:val="001A5233"/>
    <w:rsid w:val="001A6AEA"/>
    <w:rsid w:val="001A6E21"/>
    <w:rsid w:val="001A6F29"/>
    <w:rsid w:val="001A783D"/>
    <w:rsid w:val="001B18C0"/>
    <w:rsid w:val="001B237A"/>
    <w:rsid w:val="001B2543"/>
    <w:rsid w:val="001B2B54"/>
    <w:rsid w:val="001B2BA5"/>
    <w:rsid w:val="001B2C42"/>
    <w:rsid w:val="001B2D17"/>
    <w:rsid w:val="001B40EC"/>
    <w:rsid w:val="001B4EF4"/>
    <w:rsid w:val="001B4F6D"/>
    <w:rsid w:val="001B5510"/>
    <w:rsid w:val="001B5656"/>
    <w:rsid w:val="001B6196"/>
    <w:rsid w:val="001B6AA7"/>
    <w:rsid w:val="001B6AD6"/>
    <w:rsid w:val="001B6B2A"/>
    <w:rsid w:val="001B6B9D"/>
    <w:rsid w:val="001B6C1B"/>
    <w:rsid w:val="001B6C78"/>
    <w:rsid w:val="001B6E74"/>
    <w:rsid w:val="001B7057"/>
    <w:rsid w:val="001B78F6"/>
    <w:rsid w:val="001B7D11"/>
    <w:rsid w:val="001C03A0"/>
    <w:rsid w:val="001C0488"/>
    <w:rsid w:val="001C097A"/>
    <w:rsid w:val="001C0E77"/>
    <w:rsid w:val="001C16CC"/>
    <w:rsid w:val="001C2C80"/>
    <w:rsid w:val="001C2E3D"/>
    <w:rsid w:val="001C3989"/>
    <w:rsid w:val="001C3A77"/>
    <w:rsid w:val="001C65FC"/>
    <w:rsid w:val="001C6D37"/>
    <w:rsid w:val="001C7076"/>
    <w:rsid w:val="001C73E4"/>
    <w:rsid w:val="001C7771"/>
    <w:rsid w:val="001D0999"/>
    <w:rsid w:val="001D0A61"/>
    <w:rsid w:val="001D0F6C"/>
    <w:rsid w:val="001D158E"/>
    <w:rsid w:val="001D16DE"/>
    <w:rsid w:val="001D197B"/>
    <w:rsid w:val="001D2464"/>
    <w:rsid w:val="001D2ACA"/>
    <w:rsid w:val="001D2D78"/>
    <w:rsid w:val="001D37C5"/>
    <w:rsid w:val="001D4109"/>
    <w:rsid w:val="001D53BA"/>
    <w:rsid w:val="001D56A0"/>
    <w:rsid w:val="001D57AA"/>
    <w:rsid w:val="001D5C2C"/>
    <w:rsid w:val="001D5C53"/>
    <w:rsid w:val="001D63A8"/>
    <w:rsid w:val="001D648B"/>
    <w:rsid w:val="001D6516"/>
    <w:rsid w:val="001D6CE0"/>
    <w:rsid w:val="001D736C"/>
    <w:rsid w:val="001D7C8C"/>
    <w:rsid w:val="001E0533"/>
    <w:rsid w:val="001E0EDA"/>
    <w:rsid w:val="001E1424"/>
    <w:rsid w:val="001E1C97"/>
    <w:rsid w:val="001E1D98"/>
    <w:rsid w:val="001E1E9F"/>
    <w:rsid w:val="001E1EE8"/>
    <w:rsid w:val="001E277F"/>
    <w:rsid w:val="001E27FA"/>
    <w:rsid w:val="001E2AAE"/>
    <w:rsid w:val="001E2AE8"/>
    <w:rsid w:val="001E2D38"/>
    <w:rsid w:val="001E2EA4"/>
    <w:rsid w:val="001E311F"/>
    <w:rsid w:val="001E33BF"/>
    <w:rsid w:val="001E37A3"/>
    <w:rsid w:val="001E3A3F"/>
    <w:rsid w:val="001E4662"/>
    <w:rsid w:val="001E4664"/>
    <w:rsid w:val="001E4FFD"/>
    <w:rsid w:val="001E52A7"/>
    <w:rsid w:val="001E5525"/>
    <w:rsid w:val="001E581B"/>
    <w:rsid w:val="001E5FFA"/>
    <w:rsid w:val="001E60EB"/>
    <w:rsid w:val="001E6A8D"/>
    <w:rsid w:val="001E6EBB"/>
    <w:rsid w:val="001E70C9"/>
    <w:rsid w:val="001E7D05"/>
    <w:rsid w:val="001F08C1"/>
    <w:rsid w:val="001F12D6"/>
    <w:rsid w:val="001F205A"/>
    <w:rsid w:val="001F22A1"/>
    <w:rsid w:val="001F2489"/>
    <w:rsid w:val="001F2955"/>
    <w:rsid w:val="001F3606"/>
    <w:rsid w:val="001F36BC"/>
    <w:rsid w:val="001F3A20"/>
    <w:rsid w:val="001F3E7B"/>
    <w:rsid w:val="001F4406"/>
    <w:rsid w:val="001F460C"/>
    <w:rsid w:val="001F5526"/>
    <w:rsid w:val="001F5DFB"/>
    <w:rsid w:val="001F600A"/>
    <w:rsid w:val="001F60F9"/>
    <w:rsid w:val="001F6A12"/>
    <w:rsid w:val="001F6BE8"/>
    <w:rsid w:val="001F6E2A"/>
    <w:rsid w:val="001F7093"/>
    <w:rsid w:val="002004E5"/>
    <w:rsid w:val="002007AE"/>
    <w:rsid w:val="00200D5A"/>
    <w:rsid w:val="002010E8"/>
    <w:rsid w:val="00201DEF"/>
    <w:rsid w:val="00202466"/>
    <w:rsid w:val="002024A3"/>
    <w:rsid w:val="00202D7A"/>
    <w:rsid w:val="00202DB6"/>
    <w:rsid w:val="00202E70"/>
    <w:rsid w:val="00203885"/>
    <w:rsid w:val="0020437D"/>
    <w:rsid w:val="002045E2"/>
    <w:rsid w:val="00204698"/>
    <w:rsid w:val="00204A3A"/>
    <w:rsid w:val="002054F1"/>
    <w:rsid w:val="002057F2"/>
    <w:rsid w:val="00205C4D"/>
    <w:rsid w:val="00206709"/>
    <w:rsid w:val="00206CFD"/>
    <w:rsid w:val="002078CF"/>
    <w:rsid w:val="002078D7"/>
    <w:rsid w:val="00207E7E"/>
    <w:rsid w:val="0021049B"/>
    <w:rsid w:val="0021052B"/>
    <w:rsid w:val="00210B26"/>
    <w:rsid w:val="00210BE5"/>
    <w:rsid w:val="00210F53"/>
    <w:rsid w:val="0021125E"/>
    <w:rsid w:val="002112B7"/>
    <w:rsid w:val="002113CE"/>
    <w:rsid w:val="002117A9"/>
    <w:rsid w:val="00212657"/>
    <w:rsid w:val="0021279C"/>
    <w:rsid w:val="00212C9A"/>
    <w:rsid w:val="0021327B"/>
    <w:rsid w:val="0021348C"/>
    <w:rsid w:val="00213862"/>
    <w:rsid w:val="00213A04"/>
    <w:rsid w:val="00213D3F"/>
    <w:rsid w:val="00214442"/>
    <w:rsid w:val="002146BE"/>
    <w:rsid w:val="002147FA"/>
    <w:rsid w:val="00214891"/>
    <w:rsid w:val="00214C69"/>
    <w:rsid w:val="00215104"/>
    <w:rsid w:val="00215563"/>
    <w:rsid w:val="00215885"/>
    <w:rsid w:val="00215D82"/>
    <w:rsid w:val="00215DF2"/>
    <w:rsid w:val="0021639D"/>
    <w:rsid w:val="00216FA3"/>
    <w:rsid w:val="00217A09"/>
    <w:rsid w:val="00217BEC"/>
    <w:rsid w:val="00217D4E"/>
    <w:rsid w:val="00220253"/>
    <w:rsid w:val="002207A9"/>
    <w:rsid w:val="00221226"/>
    <w:rsid w:val="00222169"/>
    <w:rsid w:val="00222771"/>
    <w:rsid w:val="00222DF4"/>
    <w:rsid w:val="00223D05"/>
    <w:rsid w:val="00225966"/>
    <w:rsid w:val="00225C8D"/>
    <w:rsid w:val="00225EBD"/>
    <w:rsid w:val="00225F25"/>
    <w:rsid w:val="002266FC"/>
    <w:rsid w:val="00226C73"/>
    <w:rsid w:val="00226E29"/>
    <w:rsid w:val="002271F0"/>
    <w:rsid w:val="00227242"/>
    <w:rsid w:val="002273A7"/>
    <w:rsid w:val="002277D0"/>
    <w:rsid w:val="0023014B"/>
    <w:rsid w:val="002307AA"/>
    <w:rsid w:val="002309A4"/>
    <w:rsid w:val="00230EBA"/>
    <w:rsid w:val="002313B0"/>
    <w:rsid w:val="002313D1"/>
    <w:rsid w:val="00231988"/>
    <w:rsid w:val="00231EA6"/>
    <w:rsid w:val="002324DC"/>
    <w:rsid w:val="00232583"/>
    <w:rsid w:val="002325E0"/>
    <w:rsid w:val="00232BB8"/>
    <w:rsid w:val="00233093"/>
    <w:rsid w:val="002331BF"/>
    <w:rsid w:val="002331EE"/>
    <w:rsid w:val="00233840"/>
    <w:rsid w:val="0023387A"/>
    <w:rsid w:val="00233F5F"/>
    <w:rsid w:val="0023604C"/>
    <w:rsid w:val="00236203"/>
    <w:rsid w:val="00236A4D"/>
    <w:rsid w:val="00236B4B"/>
    <w:rsid w:val="00236CA2"/>
    <w:rsid w:val="00236FC1"/>
    <w:rsid w:val="00236FC3"/>
    <w:rsid w:val="00236FCB"/>
    <w:rsid w:val="0023730D"/>
    <w:rsid w:val="00240120"/>
    <w:rsid w:val="00240DC3"/>
    <w:rsid w:val="002419C8"/>
    <w:rsid w:val="002421FA"/>
    <w:rsid w:val="0024220B"/>
    <w:rsid w:val="00243086"/>
    <w:rsid w:val="002437BF"/>
    <w:rsid w:val="00244643"/>
    <w:rsid w:val="002449EF"/>
    <w:rsid w:val="002450BD"/>
    <w:rsid w:val="00245259"/>
    <w:rsid w:val="002454E8"/>
    <w:rsid w:val="00245637"/>
    <w:rsid w:val="00245F80"/>
    <w:rsid w:val="002465E5"/>
    <w:rsid w:val="002466D8"/>
    <w:rsid w:val="00246891"/>
    <w:rsid w:val="00246987"/>
    <w:rsid w:val="00246CE1"/>
    <w:rsid w:val="00246FB2"/>
    <w:rsid w:val="0024727B"/>
    <w:rsid w:val="00250138"/>
    <w:rsid w:val="00250394"/>
    <w:rsid w:val="00250589"/>
    <w:rsid w:val="00250969"/>
    <w:rsid w:val="00250996"/>
    <w:rsid w:val="00251210"/>
    <w:rsid w:val="002517E7"/>
    <w:rsid w:val="00251AB7"/>
    <w:rsid w:val="00251C3B"/>
    <w:rsid w:val="00252022"/>
    <w:rsid w:val="00252323"/>
    <w:rsid w:val="002524AE"/>
    <w:rsid w:val="00252B8A"/>
    <w:rsid w:val="00252F5F"/>
    <w:rsid w:val="00252FA8"/>
    <w:rsid w:val="00253240"/>
    <w:rsid w:val="00253520"/>
    <w:rsid w:val="002539BC"/>
    <w:rsid w:val="002539D2"/>
    <w:rsid w:val="00253C03"/>
    <w:rsid w:val="00253CB8"/>
    <w:rsid w:val="00254040"/>
    <w:rsid w:val="0025445C"/>
    <w:rsid w:val="002544D3"/>
    <w:rsid w:val="00254C6A"/>
    <w:rsid w:val="00254D4A"/>
    <w:rsid w:val="0025574A"/>
    <w:rsid w:val="00255ECF"/>
    <w:rsid w:val="0025625C"/>
    <w:rsid w:val="0025659B"/>
    <w:rsid w:val="00256C08"/>
    <w:rsid w:val="00257B0C"/>
    <w:rsid w:val="00257C81"/>
    <w:rsid w:val="002603F9"/>
    <w:rsid w:val="0026062E"/>
    <w:rsid w:val="002607E5"/>
    <w:rsid w:val="00260B03"/>
    <w:rsid w:val="0026136F"/>
    <w:rsid w:val="002614FA"/>
    <w:rsid w:val="002620FF"/>
    <w:rsid w:val="00262185"/>
    <w:rsid w:val="00262802"/>
    <w:rsid w:val="002629D6"/>
    <w:rsid w:val="00262B8C"/>
    <w:rsid w:val="002630A6"/>
    <w:rsid w:val="002632A8"/>
    <w:rsid w:val="00263650"/>
    <w:rsid w:val="002639BF"/>
    <w:rsid w:val="00263A9F"/>
    <w:rsid w:val="00263B8F"/>
    <w:rsid w:val="00263CE9"/>
    <w:rsid w:val="002643CD"/>
    <w:rsid w:val="002647B4"/>
    <w:rsid w:val="00264D9D"/>
    <w:rsid w:val="00264F48"/>
    <w:rsid w:val="002650BC"/>
    <w:rsid w:val="0026540B"/>
    <w:rsid w:val="00265A33"/>
    <w:rsid w:val="00265CF0"/>
    <w:rsid w:val="00266353"/>
    <w:rsid w:val="002668F2"/>
    <w:rsid w:val="00266A01"/>
    <w:rsid w:val="00266A26"/>
    <w:rsid w:val="00266C67"/>
    <w:rsid w:val="00266F1B"/>
    <w:rsid w:val="002673E1"/>
    <w:rsid w:val="002675EE"/>
    <w:rsid w:val="00270B90"/>
    <w:rsid w:val="0027128D"/>
    <w:rsid w:val="00271687"/>
    <w:rsid w:val="00271A0A"/>
    <w:rsid w:val="00271D8E"/>
    <w:rsid w:val="00271FD3"/>
    <w:rsid w:val="0027265C"/>
    <w:rsid w:val="00273082"/>
    <w:rsid w:val="00273645"/>
    <w:rsid w:val="00273FB7"/>
    <w:rsid w:val="002747EE"/>
    <w:rsid w:val="0027547B"/>
    <w:rsid w:val="002756D0"/>
    <w:rsid w:val="00275DC7"/>
    <w:rsid w:val="002760A4"/>
    <w:rsid w:val="00276236"/>
    <w:rsid w:val="00276B4A"/>
    <w:rsid w:val="0027741E"/>
    <w:rsid w:val="002776F4"/>
    <w:rsid w:val="002779EB"/>
    <w:rsid w:val="00277D1D"/>
    <w:rsid w:val="00280B06"/>
    <w:rsid w:val="00280E8E"/>
    <w:rsid w:val="002812F1"/>
    <w:rsid w:val="002816C4"/>
    <w:rsid w:val="00281B38"/>
    <w:rsid w:val="00281D9B"/>
    <w:rsid w:val="00281ED8"/>
    <w:rsid w:val="002828D3"/>
    <w:rsid w:val="00282BAB"/>
    <w:rsid w:val="002832BB"/>
    <w:rsid w:val="0028336C"/>
    <w:rsid w:val="002838CC"/>
    <w:rsid w:val="002842A5"/>
    <w:rsid w:val="002846C7"/>
    <w:rsid w:val="00284965"/>
    <w:rsid w:val="0028529F"/>
    <w:rsid w:val="00285976"/>
    <w:rsid w:val="00285CB5"/>
    <w:rsid w:val="00286BA3"/>
    <w:rsid w:val="00286D7D"/>
    <w:rsid w:val="00287688"/>
    <w:rsid w:val="00290082"/>
    <w:rsid w:val="002908D5"/>
    <w:rsid w:val="002909F5"/>
    <w:rsid w:val="00290E79"/>
    <w:rsid w:val="00291A60"/>
    <w:rsid w:val="00291DD2"/>
    <w:rsid w:val="00292863"/>
    <w:rsid w:val="00292C54"/>
    <w:rsid w:val="00292D16"/>
    <w:rsid w:val="00292F0C"/>
    <w:rsid w:val="0029376B"/>
    <w:rsid w:val="00293A43"/>
    <w:rsid w:val="00293CBB"/>
    <w:rsid w:val="0029446F"/>
    <w:rsid w:val="00294525"/>
    <w:rsid w:val="00294D1D"/>
    <w:rsid w:val="00295BCC"/>
    <w:rsid w:val="0029607D"/>
    <w:rsid w:val="00296A94"/>
    <w:rsid w:val="00296D9B"/>
    <w:rsid w:val="00297B9C"/>
    <w:rsid w:val="002A09EA"/>
    <w:rsid w:val="002A13A4"/>
    <w:rsid w:val="002A1944"/>
    <w:rsid w:val="002A19D7"/>
    <w:rsid w:val="002A2AC9"/>
    <w:rsid w:val="002A32C3"/>
    <w:rsid w:val="002A3895"/>
    <w:rsid w:val="002A3E76"/>
    <w:rsid w:val="002A4604"/>
    <w:rsid w:val="002A53B5"/>
    <w:rsid w:val="002A59B3"/>
    <w:rsid w:val="002A66CF"/>
    <w:rsid w:val="002A77F3"/>
    <w:rsid w:val="002B0148"/>
    <w:rsid w:val="002B0B0E"/>
    <w:rsid w:val="002B0D32"/>
    <w:rsid w:val="002B0DEF"/>
    <w:rsid w:val="002B20AC"/>
    <w:rsid w:val="002B2EF6"/>
    <w:rsid w:val="002B3BFA"/>
    <w:rsid w:val="002B4F6B"/>
    <w:rsid w:val="002B65CE"/>
    <w:rsid w:val="002B6B61"/>
    <w:rsid w:val="002B79FB"/>
    <w:rsid w:val="002B7A27"/>
    <w:rsid w:val="002C08E8"/>
    <w:rsid w:val="002C0EDF"/>
    <w:rsid w:val="002C1ADF"/>
    <w:rsid w:val="002C1DA1"/>
    <w:rsid w:val="002C1E4E"/>
    <w:rsid w:val="002C2577"/>
    <w:rsid w:val="002C27D9"/>
    <w:rsid w:val="002C2841"/>
    <w:rsid w:val="002C2940"/>
    <w:rsid w:val="002C2B97"/>
    <w:rsid w:val="002C2C63"/>
    <w:rsid w:val="002C2CE6"/>
    <w:rsid w:val="002C3129"/>
    <w:rsid w:val="002C3927"/>
    <w:rsid w:val="002C3945"/>
    <w:rsid w:val="002C405C"/>
    <w:rsid w:val="002C4235"/>
    <w:rsid w:val="002C4F76"/>
    <w:rsid w:val="002C4FC7"/>
    <w:rsid w:val="002C5B2D"/>
    <w:rsid w:val="002C5DEC"/>
    <w:rsid w:val="002C6DC5"/>
    <w:rsid w:val="002C702E"/>
    <w:rsid w:val="002C73FE"/>
    <w:rsid w:val="002C79D0"/>
    <w:rsid w:val="002C7BF4"/>
    <w:rsid w:val="002C7EE1"/>
    <w:rsid w:val="002D044F"/>
    <w:rsid w:val="002D0701"/>
    <w:rsid w:val="002D07E8"/>
    <w:rsid w:val="002D0C54"/>
    <w:rsid w:val="002D12CE"/>
    <w:rsid w:val="002D1471"/>
    <w:rsid w:val="002D14B7"/>
    <w:rsid w:val="002D2590"/>
    <w:rsid w:val="002D2832"/>
    <w:rsid w:val="002D29A0"/>
    <w:rsid w:val="002D2BCC"/>
    <w:rsid w:val="002D2BD6"/>
    <w:rsid w:val="002D2C67"/>
    <w:rsid w:val="002D2D55"/>
    <w:rsid w:val="002D3994"/>
    <w:rsid w:val="002D3CB0"/>
    <w:rsid w:val="002D4248"/>
    <w:rsid w:val="002D44A7"/>
    <w:rsid w:val="002D4595"/>
    <w:rsid w:val="002D4B95"/>
    <w:rsid w:val="002D5F9C"/>
    <w:rsid w:val="002D78F8"/>
    <w:rsid w:val="002D7A82"/>
    <w:rsid w:val="002E026F"/>
    <w:rsid w:val="002E0E32"/>
    <w:rsid w:val="002E0EAF"/>
    <w:rsid w:val="002E10BA"/>
    <w:rsid w:val="002E175C"/>
    <w:rsid w:val="002E1FD7"/>
    <w:rsid w:val="002E26A9"/>
    <w:rsid w:val="002E2D30"/>
    <w:rsid w:val="002E2ED9"/>
    <w:rsid w:val="002E35B1"/>
    <w:rsid w:val="002E3A8B"/>
    <w:rsid w:val="002E4034"/>
    <w:rsid w:val="002E4836"/>
    <w:rsid w:val="002E63F1"/>
    <w:rsid w:val="002E65F6"/>
    <w:rsid w:val="002E6DCA"/>
    <w:rsid w:val="002E6DE8"/>
    <w:rsid w:val="002E7211"/>
    <w:rsid w:val="002F02E4"/>
    <w:rsid w:val="002F1426"/>
    <w:rsid w:val="002F19DC"/>
    <w:rsid w:val="002F201D"/>
    <w:rsid w:val="002F2546"/>
    <w:rsid w:val="002F2E3C"/>
    <w:rsid w:val="002F2FE4"/>
    <w:rsid w:val="002F34A0"/>
    <w:rsid w:val="002F35C3"/>
    <w:rsid w:val="002F394A"/>
    <w:rsid w:val="002F3CC3"/>
    <w:rsid w:val="002F3DB8"/>
    <w:rsid w:val="002F41AB"/>
    <w:rsid w:val="002F4354"/>
    <w:rsid w:val="002F4487"/>
    <w:rsid w:val="002F5558"/>
    <w:rsid w:val="002F7317"/>
    <w:rsid w:val="002F76BD"/>
    <w:rsid w:val="002F7D56"/>
    <w:rsid w:val="003008C9"/>
    <w:rsid w:val="003011D4"/>
    <w:rsid w:val="003014FF"/>
    <w:rsid w:val="00301821"/>
    <w:rsid w:val="00302001"/>
    <w:rsid w:val="00302665"/>
    <w:rsid w:val="003027A2"/>
    <w:rsid w:val="003030FD"/>
    <w:rsid w:val="003032D3"/>
    <w:rsid w:val="0030381E"/>
    <w:rsid w:val="00304942"/>
    <w:rsid w:val="0030496B"/>
    <w:rsid w:val="00304A82"/>
    <w:rsid w:val="00304B30"/>
    <w:rsid w:val="00305098"/>
    <w:rsid w:val="003051F2"/>
    <w:rsid w:val="0030581D"/>
    <w:rsid w:val="00305936"/>
    <w:rsid w:val="00305F77"/>
    <w:rsid w:val="0030616D"/>
    <w:rsid w:val="00306BF6"/>
    <w:rsid w:val="00306C0D"/>
    <w:rsid w:val="00306CDB"/>
    <w:rsid w:val="00306DBD"/>
    <w:rsid w:val="0030731A"/>
    <w:rsid w:val="00307D5E"/>
    <w:rsid w:val="00310243"/>
    <w:rsid w:val="003114BD"/>
    <w:rsid w:val="0031166E"/>
    <w:rsid w:val="00311CB4"/>
    <w:rsid w:val="0031284E"/>
    <w:rsid w:val="00313EAF"/>
    <w:rsid w:val="00314A06"/>
    <w:rsid w:val="00314C0B"/>
    <w:rsid w:val="00315896"/>
    <w:rsid w:val="00315ECD"/>
    <w:rsid w:val="00316278"/>
    <w:rsid w:val="00316B43"/>
    <w:rsid w:val="0031705A"/>
    <w:rsid w:val="00320054"/>
    <w:rsid w:val="00320A7D"/>
    <w:rsid w:val="00320AF5"/>
    <w:rsid w:val="003217F4"/>
    <w:rsid w:val="00321B44"/>
    <w:rsid w:val="0032280C"/>
    <w:rsid w:val="00322892"/>
    <w:rsid w:val="00322B1E"/>
    <w:rsid w:val="00322FFA"/>
    <w:rsid w:val="00323D25"/>
    <w:rsid w:val="00323D4E"/>
    <w:rsid w:val="00324131"/>
    <w:rsid w:val="003244A3"/>
    <w:rsid w:val="003247CB"/>
    <w:rsid w:val="00324E6A"/>
    <w:rsid w:val="00324FCA"/>
    <w:rsid w:val="00325819"/>
    <w:rsid w:val="00325AF0"/>
    <w:rsid w:val="00326D38"/>
    <w:rsid w:val="00326E14"/>
    <w:rsid w:val="003276CE"/>
    <w:rsid w:val="003301A2"/>
    <w:rsid w:val="00330357"/>
    <w:rsid w:val="00330B26"/>
    <w:rsid w:val="00330C3A"/>
    <w:rsid w:val="00330F27"/>
    <w:rsid w:val="0033150D"/>
    <w:rsid w:val="00331535"/>
    <w:rsid w:val="0033159C"/>
    <w:rsid w:val="0033240B"/>
    <w:rsid w:val="003324A0"/>
    <w:rsid w:val="00333A46"/>
    <w:rsid w:val="00333FF8"/>
    <w:rsid w:val="00334160"/>
    <w:rsid w:val="00334507"/>
    <w:rsid w:val="00334515"/>
    <w:rsid w:val="003346B3"/>
    <w:rsid w:val="00334847"/>
    <w:rsid w:val="003348D0"/>
    <w:rsid w:val="00334C5B"/>
    <w:rsid w:val="00334E5E"/>
    <w:rsid w:val="00334F93"/>
    <w:rsid w:val="0033513A"/>
    <w:rsid w:val="00337D3D"/>
    <w:rsid w:val="00337EAF"/>
    <w:rsid w:val="0034043C"/>
    <w:rsid w:val="00340BC9"/>
    <w:rsid w:val="00340FC8"/>
    <w:rsid w:val="00341845"/>
    <w:rsid w:val="00342821"/>
    <w:rsid w:val="0034285F"/>
    <w:rsid w:val="00342E9D"/>
    <w:rsid w:val="003431D4"/>
    <w:rsid w:val="003434F5"/>
    <w:rsid w:val="00343D02"/>
    <w:rsid w:val="00343F06"/>
    <w:rsid w:val="00344A86"/>
    <w:rsid w:val="0034576A"/>
    <w:rsid w:val="00345CD0"/>
    <w:rsid w:val="00346113"/>
    <w:rsid w:val="003463E2"/>
    <w:rsid w:val="00346AE7"/>
    <w:rsid w:val="00346CDC"/>
    <w:rsid w:val="003470E6"/>
    <w:rsid w:val="00347F01"/>
    <w:rsid w:val="003502CA"/>
    <w:rsid w:val="003504FB"/>
    <w:rsid w:val="00350BCF"/>
    <w:rsid w:val="00350D89"/>
    <w:rsid w:val="003512DE"/>
    <w:rsid w:val="00351B31"/>
    <w:rsid w:val="00352700"/>
    <w:rsid w:val="00353030"/>
    <w:rsid w:val="0035317F"/>
    <w:rsid w:val="003532DA"/>
    <w:rsid w:val="0035382D"/>
    <w:rsid w:val="00353D8B"/>
    <w:rsid w:val="003540D7"/>
    <w:rsid w:val="003541A8"/>
    <w:rsid w:val="00354D7A"/>
    <w:rsid w:val="003554C7"/>
    <w:rsid w:val="00355594"/>
    <w:rsid w:val="0035566D"/>
    <w:rsid w:val="00355688"/>
    <w:rsid w:val="00356299"/>
    <w:rsid w:val="0035631F"/>
    <w:rsid w:val="0035660A"/>
    <w:rsid w:val="00356689"/>
    <w:rsid w:val="00356CA3"/>
    <w:rsid w:val="00356EC5"/>
    <w:rsid w:val="003577C7"/>
    <w:rsid w:val="00357F4A"/>
    <w:rsid w:val="0036011C"/>
    <w:rsid w:val="003601E7"/>
    <w:rsid w:val="0036099A"/>
    <w:rsid w:val="00360AEB"/>
    <w:rsid w:val="00360FB0"/>
    <w:rsid w:val="003615ED"/>
    <w:rsid w:val="00361AE5"/>
    <w:rsid w:val="00361BD5"/>
    <w:rsid w:val="00361E8F"/>
    <w:rsid w:val="00361F4B"/>
    <w:rsid w:val="00361FA9"/>
    <w:rsid w:val="0036215B"/>
    <w:rsid w:val="003624C5"/>
    <w:rsid w:val="00362537"/>
    <w:rsid w:val="0036266A"/>
    <w:rsid w:val="00362674"/>
    <w:rsid w:val="00362786"/>
    <w:rsid w:val="00362A96"/>
    <w:rsid w:val="00363206"/>
    <w:rsid w:val="00363550"/>
    <w:rsid w:val="003637EB"/>
    <w:rsid w:val="00363BF6"/>
    <w:rsid w:val="00364BE0"/>
    <w:rsid w:val="00364D1A"/>
    <w:rsid w:val="00365899"/>
    <w:rsid w:val="00365F80"/>
    <w:rsid w:val="003661CD"/>
    <w:rsid w:val="003662BD"/>
    <w:rsid w:val="00366A55"/>
    <w:rsid w:val="00367F64"/>
    <w:rsid w:val="00370AC3"/>
    <w:rsid w:val="00370BDA"/>
    <w:rsid w:val="00370CBE"/>
    <w:rsid w:val="003711C4"/>
    <w:rsid w:val="00371807"/>
    <w:rsid w:val="00371F64"/>
    <w:rsid w:val="00371FAF"/>
    <w:rsid w:val="00372317"/>
    <w:rsid w:val="00372E4D"/>
    <w:rsid w:val="00372FEF"/>
    <w:rsid w:val="003730F7"/>
    <w:rsid w:val="00373162"/>
    <w:rsid w:val="00374196"/>
    <w:rsid w:val="00374FCE"/>
    <w:rsid w:val="0037517E"/>
    <w:rsid w:val="003756A0"/>
    <w:rsid w:val="00375886"/>
    <w:rsid w:val="00375919"/>
    <w:rsid w:val="00375AB2"/>
    <w:rsid w:val="00375CA8"/>
    <w:rsid w:val="003767AC"/>
    <w:rsid w:val="00377953"/>
    <w:rsid w:val="003803B9"/>
    <w:rsid w:val="003803F2"/>
    <w:rsid w:val="003807CB"/>
    <w:rsid w:val="00380DCB"/>
    <w:rsid w:val="00381540"/>
    <w:rsid w:val="00381C3A"/>
    <w:rsid w:val="00382948"/>
    <w:rsid w:val="00382EB2"/>
    <w:rsid w:val="00383D35"/>
    <w:rsid w:val="00384002"/>
    <w:rsid w:val="0038460F"/>
    <w:rsid w:val="0038557E"/>
    <w:rsid w:val="00385A0B"/>
    <w:rsid w:val="00385BBF"/>
    <w:rsid w:val="0038626E"/>
    <w:rsid w:val="00386AD4"/>
    <w:rsid w:val="00387715"/>
    <w:rsid w:val="00387DE3"/>
    <w:rsid w:val="00387FE2"/>
    <w:rsid w:val="00390B49"/>
    <w:rsid w:val="0039124E"/>
    <w:rsid w:val="0039227C"/>
    <w:rsid w:val="00392B8C"/>
    <w:rsid w:val="00392D12"/>
    <w:rsid w:val="00393349"/>
    <w:rsid w:val="00393739"/>
    <w:rsid w:val="003938C8"/>
    <w:rsid w:val="00393BC3"/>
    <w:rsid w:val="00394072"/>
    <w:rsid w:val="003945A1"/>
    <w:rsid w:val="00394718"/>
    <w:rsid w:val="0039473B"/>
    <w:rsid w:val="003951E5"/>
    <w:rsid w:val="0039552E"/>
    <w:rsid w:val="003956C8"/>
    <w:rsid w:val="00395C60"/>
    <w:rsid w:val="0039611A"/>
    <w:rsid w:val="003962CB"/>
    <w:rsid w:val="0039693A"/>
    <w:rsid w:val="00396CC4"/>
    <w:rsid w:val="003979EC"/>
    <w:rsid w:val="003A0CAA"/>
    <w:rsid w:val="003A0F06"/>
    <w:rsid w:val="003A14CF"/>
    <w:rsid w:val="003A1D71"/>
    <w:rsid w:val="003A2597"/>
    <w:rsid w:val="003A26DD"/>
    <w:rsid w:val="003A272C"/>
    <w:rsid w:val="003A2A2D"/>
    <w:rsid w:val="003A2A9C"/>
    <w:rsid w:val="003A2C00"/>
    <w:rsid w:val="003A2E1B"/>
    <w:rsid w:val="003A35BA"/>
    <w:rsid w:val="003A3637"/>
    <w:rsid w:val="003A3B92"/>
    <w:rsid w:val="003A47D9"/>
    <w:rsid w:val="003A4A5F"/>
    <w:rsid w:val="003A4D3F"/>
    <w:rsid w:val="003A6062"/>
    <w:rsid w:val="003A610E"/>
    <w:rsid w:val="003A6421"/>
    <w:rsid w:val="003A6444"/>
    <w:rsid w:val="003A67E2"/>
    <w:rsid w:val="003A6AF5"/>
    <w:rsid w:val="003A7377"/>
    <w:rsid w:val="003A7F1B"/>
    <w:rsid w:val="003B00C0"/>
    <w:rsid w:val="003B016D"/>
    <w:rsid w:val="003B0283"/>
    <w:rsid w:val="003B08C0"/>
    <w:rsid w:val="003B1224"/>
    <w:rsid w:val="003B12AA"/>
    <w:rsid w:val="003B1973"/>
    <w:rsid w:val="003B1B2E"/>
    <w:rsid w:val="003B2078"/>
    <w:rsid w:val="003B207B"/>
    <w:rsid w:val="003B27D1"/>
    <w:rsid w:val="003B2961"/>
    <w:rsid w:val="003B2C48"/>
    <w:rsid w:val="003B2DF2"/>
    <w:rsid w:val="003B2F04"/>
    <w:rsid w:val="003B3254"/>
    <w:rsid w:val="003B3C9E"/>
    <w:rsid w:val="003B3D6A"/>
    <w:rsid w:val="003B424B"/>
    <w:rsid w:val="003B46BC"/>
    <w:rsid w:val="003B4B77"/>
    <w:rsid w:val="003B4E5B"/>
    <w:rsid w:val="003B52AE"/>
    <w:rsid w:val="003B542D"/>
    <w:rsid w:val="003B57FE"/>
    <w:rsid w:val="003B5813"/>
    <w:rsid w:val="003B61AE"/>
    <w:rsid w:val="003B750F"/>
    <w:rsid w:val="003B7E40"/>
    <w:rsid w:val="003C08D4"/>
    <w:rsid w:val="003C0A28"/>
    <w:rsid w:val="003C0D71"/>
    <w:rsid w:val="003C1C98"/>
    <w:rsid w:val="003C2EDE"/>
    <w:rsid w:val="003C3638"/>
    <w:rsid w:val="003C38F1"/>
    <w:rsid w:val="003C4959"/>
    <w:rsid w:val="003C496F"/>
    <w:rsid w:val="003C4A91"/>
    <w:rsid w:val="003C4D61"/>
    <w:rsid w:val="003C52A2"/>
    <w:rsid w:val="003C59C2"/>
    <w:rsid w:val="003C5C64"/>
    <w:rsid w:val="003C6415"/>
    <w:rsid w:val="003C7496"/>
    <w:rsid w:val="003C757F"/>
    <w:rsid w:val="003C787C"/>
    <w:rsid w:val="003C78B9"/>
    <w:rsid w:val="003D030D"/>
    <w:rsid w:val="003D0585"/>
    <w:rsid w:val="003D072E"/>
    <w:rsid w:val="003D0D50"/>
    <w:rsid w:val="003D0D51"/>
    <w:rsid w:val="003D1999"/>
    <w:rsid w:val="003D1C53"/>
    <w:rsid w:val="003D1C62"/>
    <w:rsid w:val="003D23CA"/>
    <w:rsid w:val="003D260E"/>
    <w:rsid w:val="003D2BAD"/>
    <w:rsid w:val="003D2C20"/>
    <w:rsid w:val="003D364D"/>
    <w:rsid w:val="003D3E48"/>
    <w:rsid w:val="003D4C10"/>
    <w:rsid w:val="003D4FBC"/>
    <w:rsid w:val="003D545D"/>
    <w:rsid w:val="003D54EC"/>
    <w:rsid w:val="003D561D"/>
    <w:rsid w:val="003D56BF"/>
    <w:rsid w:val="003D5AB3"/>
    <w:rsid w:val="003D602E"/>
    <w:rsid w:val="003D64B5"/>
    <w:rsid w:val="003D69C6"/>
    <w:rsid w:val="003E0454"/>
    <w:rsid w:val="003E061C"/>
    <w:rsid w:val="003E06E7"/>
    <w:rsid w:val="003E0A49"/>
    <w:rsid w:val="003E1BFB"/>
    <w:rsid w:val="003E1CD2"/>
    <w:rsid w:val="003E1F02"/>
    <w:rsid w:val="003E23EC"/>
    <w:rsid w:val="003E2AD0"/>
    <w:rsid w:val="003E2D82"/>
    <w:rsid w:val="003E2FDF"/>
    <w:rsid w:val="003E3002"/>
    <w:rsid w:val="003E3D6B"/>
    <w:rsid w:val="003E522A"/>
    <w:rsid w:val="003E5697"/>
    <w:rsid w:val="003E5797"/>
    <w:rsid w:val="003E5960"/>
    <w:rsid w:val="003E5A77"/>
    <w:rsid w:val="003E6172"/>
    <w:rsid w:val="003E64E2"/>
    <w:rsid w:val="003E6689"/>
    <w:rsid w:val="003E6CC3"/>
    <w:rsid w:val="003E76E7"/>
    <w:rsid w:val="003E7A9F"/>
    <w:rsid w:val="003E7AB4"/>
    <w:rsid w:val="003E7C66"/>
    <w:rsid w:val="003F0174"/>
    <w:rsid w:val="003F0286"/>
    <w:rsid w:val="003F05B5"/>
    <w:rsid w:val="003F07D2"/>
    <w:rsid w:val="003F0CDB"/>
    <w:rsid w:val="003F1900"/>
    <w:rsid w:val="003F19A2"/>
    <w:rsid w:val="003F261D"/>
    <w:rsid w:val="003F366C"/>
    <w:rsid w:val="003F3862"/>
    <w:rsid w:val="003F408B"/>
    <w:rsid w:val="003F447A"/>
    <w:rsid w:val="003F44E5"/>
    <w:rsid w:val="003F4DDA"/>
    <w:rsid w:val="003F4EA4"/>
    <w:rsid w:val="003F4FBB"/>
    <w:rsid w:val="003F5471"/>
    <w:rsid w:val="003F5555"/>
    <w:rsid w:val="003F5E9A"/>
    <w:rsid w:val="003F5FEE"/>
    <w:rsid w:val="003F68D7"/>
    <w:rsid w:val="003F69D8"/>
    <w:rsid w:val="003F7356"/>
    <w:rsid w:val="003F7750"/>
    <w:rsid w:val="00400132"/>
    <w:rsid w:val="00400EBD"/>
    <w:rsid w:val="00400EF7"/>
    <w:rsid w:val="00400FC7"/>
    <w:rsid w:val="004019EA"/>
    <w:rsid w:val="00401DAE"/>
    <w:rsid w:val="004020DF"/>
    <w:rsid w:val="00402190"/>
    <w:rsid w:val="004023C5"/>
    <w:rsid w:val="00403AFE"/>
    <w:rsid w:val="00403EA2"/>
    <w:rsid w:val="00404F4F"/>
    <w:rsid w:val="00405226"/>
    <w:rsid w:val="00405BC3"/>
    <w:rsid w:val="0040604D"/>
    <w:rsid w:val="00406A0F"/>
    <w:rsid w:val="00406FD9"/>
    <w:rsid w:val="004106B9"/>
    <w:rsid w:val="00410AE9"/>
    <w:rsid w:val="00410FD0"/>
    <w:rsid w:val="00411097"/>
    <w:rsid w:val="00411313"/>
    <w:rsid w:val="00411444"/>
    <w:rsid w:val="00411CE6"/>
    <w:rsid w:val="004120B5"/>
    <w:rsid w:val="004121AB"/>
    <w:rsid w:val="00412D10"/>
    <w:rsid w:val="00412E3B"/>
    <w:rsid w:val="00413A7F"/>
    <w:rsid w:val="00414077"/>
    <w:rsid w:val="004141C5"/>
    <w:rsid w:val="0041425E"/>
    <w:rsid w:val="004144DB"/>
    <w:rsid w:val="00414618"/>
    <w:rsid w:val="004147EB"/>
    <w:rsid w:val="004151EA"/>
    <w:rsid w:val="004152DE"/>
    <w:rsid w:val="00415F7A"/>
    <w:rsid w:val="00416703"/>
    <w:rsid w:val="00416FD9"/>
    <w:rsid w:val="00417DC0"/>
    <w:rsid w:val="0042116A"/>
    <w:rsid w:val="00421380"/>
    <w:rsid w:val="0042147F"/>
    <w:rsid w:val="00421C0E"/>
    <w:rsid w:val="0042217C"/>
    <w:rsid w:val="00422228"/>
    <w:rsid w:val="0042230F"/>
    <w:rsid w:val="00422D7B"/>
    <w:rsid w:val="0042358D"/>
    <w:rsid w:val="004238B3"/>
    <w:rsid w:val="00423D30"/>
    <w:rsid w:val="00424066"/>
    <w:rsid w:val="00424393"/>
    <w:rsid w:val="00424E04"/>
    <w:rsid w:val="00425052"/>
    <w:rsid w:val="0042527F"/>
    <w:rsid w:val="00425428"/>
    <w:rsid w:val="00425880"/>
    <w:rsid w:val="00425FEF"/>
    <w:rsid w:val="004264A1"/>
    <w:rsid w:val="00426977"/>
    <w:rsid w:val="00426BEB"/>
    <w:rsid w:val="00426F06"/>
    <w:rsid w:val="00427487"/>
    <w:rsid w:val="004274CF"/>
    <w:rsid w:val="00430058"/>
    <w:rsid w:val="00430ACF"/>
    <w:rsid w:val="00430F61"/>
    <w:rsid w:val="00431818"/>
    <w:rsid w:val="00431C8F"/>
    <w:rsid w:val="00432ADE"/>
    <w:rsid w:val="004332AF"/>
    <w:rsid w:val="00433B4F"/>
    <w:rsid w:val="00433B61"/>
    <w:rsid w:val="00433D69"/>
    <w:rsid w:val="00433F5B"/>
    <w:rsid w:val="004344B9"/>
    <w:rsid w:val="0043476A"/>
    <w:rsid w:val="00434906"/>
    <w:rsid w:val="0043595E"/>
    <w:rsid w:val="0043711C"/>
    <w:rsid w:val="004377AF"/>
    <w:rsid w:val="00437C29"/>
    <w:rsid w:val="00437F50"/>
    <w:rsid w:val="00440164"/>
    <w:rsid w:val="00440649"/>
    <w:rsid w:val="004411C2"/>
    <w:rsid w:val="0044133E"/>
    <w:rsid w:val="0044248D"/>
    <w:rsid w:val="00442669"/>
    <w:rsid w:val="00442F17"/>
    <w:rsid w:val="004431BB"/>
    <w:rsid w:val="004434E6"/>
    <w:rsid w:val="0044433A"/>
    <w:rsid w:val="00444EA3"/>
    <w:rsid w:val="00444EB6"/>
    <w:rsid w:val="0044560E"/>
    <w:rsid w:val="004456D0"/>
    <w:rsid w:val="0044596A"/>
    <w:rsid w:val="004459F6"/>
    <w:rsid w:val="00445EE5"/>
    <w:rsid w:val="00447096"/>
    <w:rsid w:val="00447462"/>
    <w:rsid w:val="00447594"/>
    <w:rsid w:val="00447DE0"/>
    <w:rsid w:val="00450B14"/>
    <w:rsid w:val="00451B2F"/>
    <w:rsid w:val="00451E8D"/>
    <w:rsid w:val="0045221A"/>
    <w:rsid w:val="004525C9"/>
    <w:rsid w:val="00452A70"/>
    <w:rsid w:val="004530AD"/>
    <w:rsid w:val="0045326B"/>
    <w:rsid w:val="00453286"/>
    <w:rsid w:val="004532BF"/>
    <w:rsid w:val="004532F3"/>
    <w:rsid w:val="00453678"/>
    <w:rsid w:val="004540D6"/>
    <w:rsid w:val="0045522C"/>
    <w:rsid w:val="004557C3"/>
    <w:rsid w:val="0045722C"/>
    <w:rsid w:val="004573B7"/>
    <w:rsid w:val="004574DD"/>
    <w:rsid w:val="004579E0"/>
    <w:rsid w:val="00460204"/>
    <w:rsid w:val="0046027D"/>
    <w:rsid w:val="0046084A"/>
    <w:rsid w:val="00461202"/>
    <w:rsid w:val="00461720"/>
    <w:rsid w:val="00461848"/>
    <w:rsid w:val="00461A8E"/>
    <w:rsid w:val="00462098"/>
    <w:rsid w:val="00462273"/>
    <w:rsid w:val="00462CDD"/>
    <w:rsid w:val="00462E43"/>
    <w:rsid w:val="00463009"/>
    <w:rsid w:val="00463327"/>
    <w:rsid w:val="00463C7E"/>
    <w:rsid w:val="00463F7B"/>
    <w:rsid w:val="00463FE3"/>
    <w:rsid w:val="0046403D"/>
    <w:rsid w:val="004644AB"/>
    <w:rsid w:val="00464906"/>
    <w:rsid w:val="00464C26"/>
    <w:rsid w:val="00464F97"/>
    <w:rsid w:val="00465356"/>
    <w:rsid w:val="0046536E"/>
    <w:rsid w:val="004655DF"/>
    <w:rsid w:val="004658A9"/>
    <w:rsid w:val="00466012"/>
    <w:rsid w:val="00466B0F"/>
    <w:rsid w:val="00466D5F"/>
    <w:rsid w:val="004679BB"/>
    <w:rsid w:val="00471453"/>
    <w:rsid w:val="0047147B"/>
    <w:rsid w:val="004715A5"/>
    <w:rsid w:val="004719B6"/>
    <w:rsid w:val="00471ADD"/>
    <w:rsid w:val="00472571"/>
    <w:rsid w:val="00472A78"/>
    <w:rsid w:val="004732E1"/>
    <w:rsid w:val="00474364"/>
    <w:rsid w:val="00474B59"/>
    <w:rsid w:val="004759F2"/>
    <w:rsid w:val="0047671B"/>
    <w:rsid w:val="00477067"/>
    <w:rsid w:val="004772F4"/>
    <w:rsid w:val="00477539"/>
    <w:rsid w:val="0047779B"/>
    <w:rsid w:val="004804D5"/>
    <w:rsid w:val="00480882"/>
    <w:rsid w:val="004809DF"/>
    <w:rsid w:val="0048132C"/>
    <w:rsid w:val="0048144C"/>
    <w:rsid w:val="00481A6F"/>
    <w:rsid w:val="0048240F"/>
    <w:rsid w:val="00482798"/>
    <w:rsid w:val="00482AB7"/>
    <w:rsid w:val="00482E51"/>
    <w:rsid w:val="0048372B"/>
    <w:rsid w:val="00483788"/>
    <w:rsid w:val="00483DE9"/>
    <w:rsid w:val="00483F8A"/>
    <w:rsid w:val="00484426"/>
    <w:rsid w:val="004844C2"/>
    <w:rsid w:val="0048459B"/>
    <w:rsid w:val="00484663"/>
    <w:rsid w:val="00484973"/>
    <w:rsid w:val="00484A3A"/>
    <w:rsid w:val="00484D1B"/>
    <w:rsid w:val="00485822"/>
    <w:rsid w:val="00485900"/>
    <w:rsid w:val="00485A2C"/>
    <w:rsid w:val="00485BEA"/>
    <w:rsid w:val="00486293"/>
    <w:rsid w:val="00486326"/>
    <w:rsid w:val="00486490"/>
    <w:rsid w:val="00487031"/>
    <w:rsid w:val="00487859"/>
    <w:rsid w:val="00487879"/>
    <w:rsid w:val="00487A4C"/>
    <w:rsid w:val="004907DB"/>
    <w:rsid w:val="00490E11"/>
    <w:rsid w:val="0049244B"/>
    <w:rsid w:val="00493137"/>
    <w:rsid w:val="00493D18"/>
    <w:rsid w:val="00493DFC"/>
    <w:rsid w:val="00493FBA"/>
    <w:rsid w:val="0049405E"/>
    <w:rsid w:val="004952B9"/>
    <w:rsid w:val="004952F2"/>
    <w:rsid w:val="00495B76"/>
    <w:rsid w:val="004973AA"/>
    <w:rsid w:val="00497426"/>
    <w:rsid w:val="00497460"/>
    <w:rsid w:val="004974C9"/>
    <w:rsid w:val="00497547"/>
    <w:rsid w:val="0049763F"/>
    <w:rsid w:val="0049793E"/>
    <w:rsid w:val="00497D8B"/>
    <w:rsid w:val="004A0039"/>
    <w:rsid w:val="004A0151"/>
    <w:rsid w:val="004A0EA8"/>
    <w:rsid w:val="004A10FF"/>
    <w:rsid w:val="004A1291"/>
    <w:rsid w:val="004A1990"/>
    <w:rsid w:val="004A1C73"/>
    <w:rsid w:val="004A30D8"/>
    <w:rsid w:val="004A3B29"/>
    <w:rsid w:val="004A3F1C"/>
    <w:rsid w:val="004A4BC1"/>
    <w:rsid w:val="004A4C26"/>
    <w:rsid w:val="004A52C8"/>
    <w:rsid w:val="004A554A"/>
    <w:rsid w:val="004A5936"/>
    <w:rsid w:val="004A5BD9"/>
    <w:rsid w:val="004A5DD1"/>
    <w:rsid w:val="004A680C"/>
    <w:rsid w:val="004A698E"/>
    <w:rsid w:val="004A6EC3"/>
    <w:rsid w:val="004A7373"/>
    <w:rsid w:val="004A786A"/>
    <w:rsid w:val="004B07AB"/>
    <w:rsid w:val="004B0DF0"/>
    <w:rsid w:val="004B0DFC"/>
    <w:rsid w:val="004B13EA"/>
    <w:rsid w:val="004B14A8"/>
    <w:rsid w:val="004B164A"/>
    <w:rsid w:val="004B228B"/>
    <w:rsid w:val="004B3052"/>
    <w:rsid w:val="004B37EF"/>
    <w:rsid w:val="004B454B"/>
    <w:rsid w:val="004B4BC1"/>
    <w:rsid w:val="004B4CF7"/>
    <w:rsid w:val="004B500F"/>
    <w:rsid w:val="004B50E3"/>
    <w:rsid w:val="004B52A3"/>
    <w:rsid w:val="004B54F8"/>
    <w:rsid w:val="004B61E3"/>
    <w:rsid w:val="004B6C0F"/>
    <w:rsid w:val="004B713F"/>
    <w:rsid w:val="004B729B"/>
    <w:rsid w:val="004B78CD"/>
    <w:rsid w:val="004B7F4D"/>
    <w:rsid w:val="004C0025"/>
    <w:rsid w:val="004C0303"/>
    <w:rsid w:val="004C09CF"/>
    <w:rsid w:val="004C0A39"/>
    <w:rsid w:val="004C0B45"/>
    <w:rsid w:val="004C0F77"/>
    <w:rsid w:val="004C1B43"/>
    <w:rsid w:val="004C1E1E"/>
    <w:rsid w:val="004C1F27"/>
    <w:rsid w:val="004C252F"/>
    <w:rsid w:val="004C2AF1"/>
    <w:rsid w:val="004C3114"/>
    <w:rsid w:val="004C3135"/>
    <w:rsid w:val="004C3922"/>
    <w:rsid w:val="004C3DFC"/>
    <w:rsid w:val="004C465D"/>
    <w:rsid w:val="004C5656"/>
    <w:rsid w:val="004C6345"/>
    <w:rsid w:val="004C6A21"/>
    <w:rsid w:val="004C7628"/>
    <w:rsid w:val="004C7A97"/>
    <w:rsid w:val="004D002F"/>
    <w:rsid w:val="004D016D"/>
    <w:rsid w:val="004D041F"/>
    <w:rsid w:val="004D0663"/>
    <w:rsid w:val="004D0E71"/>
    <w:rsid w:val="004D1860"/>
    <w:rsid w:val="004D1A6E"/>
    <w:rsid w:val="004D1C07"/>
    <w:rsid w:val="004D247A"/>
    <w:rsid w:val="004D2485"/>
    <w:rsid w:val="004D34D0"/>
    <w:rsid w:val="004D3A00"/>
    <w:rsid w:val="004D3B9B"/>
    <w:rsid w:val="004D3E60"/>
    <w:rsid w:val="004D50A6"/>
    <w:rsid w:val="004D50F6"/>
    <w:rsid w:val="004D5136"/>
    <w:rsid w:val="004D5159"/>
    <w:rsid w:val="004D5A7B"/>
    <w:rsid w:val="004D5BB9"/>
    <w:rsid w:val="004D5CBB"/>
    <w:rsid w:val="004D6205"/>
    <w:rsid w:val="004D6BA9"/>
    <w:rsid w:val="004D6EBA"/>
    <w:rsid w:val="004D733C"/>
    <w:rsid w:val="004E0C59"/>
    <w:rsid w:val="004E12E1"/>
    <w:rsid w:val="004E1EE3"/>
    <w:rsid w:val="004E2117"/>
    <w:rsid w:val="004E2197"/>
    <w:rsid w:val="004E2BB8"/>
    <w:rsid w:val="004E2EEA"/>
    <w:rsid w:val="004E3755"/>
    <w:rsid w:val="004E410B"/>
    <w:rsid w:val="004E673A"/>
    <w:rsid w:val="004E6DC5"/>
    <w:rsid w:val="004E71F0"/>
    <w:rsid w:val="004E7277"/>
    <w:rsid w:val="004F0567"/>
    <w:rsid w:val="004F0D04"/>
    <w:rsid w:val="004F1C8D"/>
    <w:rsid w:val="004F29CF"/>
    <w:rsid w:val="004F2A7A"/>
    <w:rsid w:val="004F300A"/>
    <w:rsid w:val="004F33D1"/>
    <w:rsid w:val="004F3467"/>
    <w:rsid w:val="004F3D44"/>
    <w:rsid w:val="004F4982"/>
    <w:rsid w:val="004F4C50"/>
    <w:rsid w:val="004F525A"/>
    <w:rsid w:val="004F53C2"/>
    <w:rsid w:val="004F580A"/>
    <w:rsid w:val="004F5C99"/>
    <w:rsid w:val="004F5ECA"/>
    <w:rsid w:val="004F6025"/>
    <w:rsid w:val="004F6B6C"/>
    <w:rsid w:val="004F735F"/>
    <w:rsid w:val="004F73A2"/>
    <w:rsid w:val="004F77AE"/>
    <w:rsid w:val="00500DD8"/>
    <w:rsid w:val="00500FC4"/>
    <w:rsid w:val="00501064"/>
    <w:rsid w:val="005012C8"/>
    <w:rsid w:val="00501C96"/>
    <w:rsid w:val="005020C9"/>
    <w:rsid w:val="00502BED"/>
    <w:rsid w:val="00504531"/>
    <w:rsid w:val="00504543"/>
    <w:rsid w:val="0050455A"/>
    <w:rsid w:val="00504796"/>
    <w:rsid w:val="005048BA"/>
    <w:rsid w:val="00505F63"/>
    <w:rsid w:val="00506341"/>
    <w:rsid w:val="005063FE"/>
    <w:rsid w:val="0050718B"/>
    <w:rsid w:val="0050787A"/>
    <w:rsid w:val="00507F93"/>
    <w:rsid w:val="00507FEC"/>
    <w:rsid w:val="005101D0"/>
    <w:rsid w:val="00510451"/>
    <w:rsid w:val="0051067A"/>
    <w:rsid w:val="00511024"/>
    <w:rsid w:val="00511509"/>
    <w:rsid w:val="00511510"/>
    <w:rsid w:val="00511574"/>
    <w:rsid w:val="00512A86"/>
    <w:rsid w:val="00512EBC"/>
    <w:rsid w:val="00513092"/>
    <w:rsid w:val="0051343D"/>
    <w:rsid w:val="005136BF"/>
    <w:rsid w:val="00513AE3"/>
    <w:rsid w:val="00513C2F"/>
    <w:rsid w:val="00514239"/>
    <w:rsid w:val="00514991"/>
    <w:rsid w:val="0051507D"/>
    <w:rsid w:val="0051538C"/>
    <w:rsid w:val="005155BD"/>
    <w:rsid w:val="005159F4"/>
    <w:rsid w:val="00515AE1"/>
    <w:rsid w:val="00515B9B"/>
    <w:rsid w:val="0051605B"/>
    <w:rsid w:val="00516374"/>
    <w:rsid w:val="005163EF"/>
    <w:rsid w:val="00517078"/>
    <w:rsid w:val="005172E6"/>
    <w:rsid w:val="00517D3F"/>
    <w:rsid w:val="00517ECD"/>
    <w:rsid w:val="00517FD6"/>
    <w:rsid w:val="005201E1"/>
    <w:rsid w:val="0052039C"/>
    <w:rsid w:val="00521A1D"/>
    <w:rsid w:val="00522657"/>
    <w:rsid w:val="0052273F"/>
    <w:rsid w:val="00522965"/>
    <w:rsid w:val="005229D6"/>
    <w:rsid w:val="00522B22"/>
    <w:rsid w:val="00522B9B"/>
    <w:rsid w:val="00522CDC"/>
    <w:rsid w:val="00522D73"/>
    <w:rsid w:val="00523555"/>
    <w:rsid w:val="005238AD"/>
    <w:rsid w:val="00524020"/>
    <w:rsid w:val="005248C9"/>
    <w:rsid w:val="005249FD"/>
    <w:rsid w:val="00524A6D"/>
    <w:rsid w:val="00525E20"/>
    <w:rsid w:val="00526116"/>
    <w:rsid w:val="00526A06"/>
    <w:rsid w:val="00526AD6"/>
    <w:rsid w:val="00527215"/>
    <w:rsid w:val="00527381"/>
    <w:rsid w:val="00527BB9"/>
    <w:rsid w:val="00530152"/>
    <w:rsid w:val="00530745"/>
    <w:rsid w:val="00530921"/>
    <w:rsid w:val="00530D1E"/>
    <w:rsid w:val="00530DE2"/>
    <w:rsid w:val="00531474"/>
    <w:rsid w:val="00531C0E"/>
    <w:rsid w:val="005321D7"/>
    <w:rsid w:val="005321E4"/>
    <w:rsid w:val="00532263"/>
    <w:rsid w:val="00532C37"/>
    <w:rsid w:val="00532DA5"/>
    <w:rsid w:val="00533232"/>
    <w:rsid w:val="005336EC"/>
    <w:rsid w:val="00533AA9"/>
    <w:rsid w:val="00533DEF"/>
    <w:rsid w:val="005340E6"/>
    <w:rsid w:val="00534E0E"/>
    <w:rsid w:val="00535125"/>
    <w:rsid w:val="005356E0"/>
    <w:rsid w:val="00535F7E"/>
    <w:rsid w:val="0053633C"/>
    <w:rsid w:val="00536886"/>
    <w:rsid w:val="00536AA9"/>
    <w:rsid w:val="00536CE6"/>
    <w:rsid w:val="005370AC"/>
    <w:rsid w:val="005372BE"/>
    <w:rsid w:val="0053766D"/>
    <w:rsid w:val="0053798D"/>
    <w:rsid w:val="00537F20"/>
    <w:rsid w:val="0054011D"/>
    <w:rsid w:val="0054079A"/>
    <w:rsid w:val="0054091E"/>
    <w:rsid w:val="00540C7B"/>
    <w:rsid w:val="00541771"/>
    <w:rsid w:val="0054184F"/>
    <w:rsid w:val="00541CB1"/>
    <w:rsid w:val="00541EF2"/>
    <w:rsid w:val="00541FA0"/>
    <w:rsid w:val="0054295E"/>
    <w:rsid w:val="005431A2"/>
    <w:rsid w:val="00543BA8"/>
    <w:rsid w:val="00543BD5"/>
    <w:rsid w:val="00544240"/>
    <w:rsid w:val="00544BFE"/>
    <w:rsid w:val="00545243"/>
    <w:rsid w:val="005454E8"/>
    <w:rsid w:val="0054554A"/>
    <w:rsid w:val="00545C5B"/>
    <w:rsid w:val="0054648E"/>
    <w:rsid w:val="00546544"/>
    <w:rsid w:val="005465FB"/>
    <w:rsid w:val="00546CCE"/>
    <w:rsid w:val="00546D78"/>
    <w:rsid w:val="0055058E"/>
    <w:rsid w:val="005508D3"/>
    <w:rsid w:val="005513B3"/>
    <w:rsid w:val="00551636"/>
    <w:rsid w:val="005516D2"/>
    <w:rsid w:val="005517C5"/>
    <w:rsid w:val="00551CB4"/>
    <w:rsid w:val="00552401"/>
    <w:rsid w:val="00552ACB"/>
    <w:rsid w:val="00552E6F"/>
    <w:rsid w:val="00554822"/>
    <w:rsid w:val="00554B88"/>
    <w:rsid w:val="00554F71"/>
    <w:rsid w:val="00555099"/>
    <w:rsid w:val="0055530A"/>
    <w:rsid w:val="00555416"/>
    <w:rsid w:val="00555DA5"/>
    <w:rsid w:val="0055757A"/>
    <w:rsid w:val="00557E52"/>
    <w:rsid w:val="005600DA"/>
    <w:rsid w:val="0056028D"/>
    <w:rsid w:val="00560C3B"/>
    <w:rsid w:val="00561005"/>
    <w:rsid w:val="0056124E"/>
    <w:rsid w:val="00561719"/>
    <w:rsid w:val="00562710"/>
    <w:rsid w:val="00562BCA"/>
    <w:rsid w:val="0056456B"/>
    <w:rsid w:val="00564846"/>
    <w:rsid w:val="00564C67"/>
    <w:rsid w:val="00564F4F"/>
    <w:rsid w:val="00565006"/>
    <w:rsid w:val="00565BB6"/>
    <w:rsid w:val="00565F6D"/>
    <w:rsid w:val="005660B3"/>
    <w:rsid w:val="005663FF"/>
    <w:rsid w:val="00566BFB"/>
    <w:rsid w:val="00566D92"/>
    <w:rsid w:val="005671C5"/>
    <w:rsid w:val="00567327"/>
    <w:rsid w:val="00567565"/>
    <w:rsid w:val="00567751"/>
    <w:rsid w:val="00567A16"/>
    <w:rsid w:val="005700A3"/>
    <w:rsid w:val="005703E2"/>
    <w:rsid w:val="00570836"/>
    <w:rsid w:val="00570B13"/>
    <w:rsid w:val="00570D87"/>
    <w:rsid w:val="00571518"/>
    <w:rsid w:val="005717E2"/>
    <w:rsid w:val="005718EF"/>
    <w:rsid w:val="00571C19"/>
    <w:rsid w:val="00571E6E"/>
    <w:rsid w:val="00572090"/>
    <w:rsid w:val="005722DE"/>
    <w:rsid w:val="00572A34"/>
    <w:rsid w:val="00572EDD"/>
    <w:rsid w:val="00572F04"/>
    <w:rsid w:val="00573288"/>
    <w:rsid w:val="005744BD"/>
    <w:rsid w:val="00574C6D"/>
    <w:rsid w:val="0057543A"/>
    <w:rsid w:val="005756C1"/>
    <w:rsid w:val="005756CA"/>
    <w:rsid w:val="00575B02"/>
    <w:rsid w:val="005761BB"/>
    <w:rsid w:val="00576342"/>
    <w:rsid w:val="005766EF"/>
    <w:rsid w:val="00576807"/>
    <w:rsid w:val="00576C7E"/>
    <w:rsid w:val="00576E25"/>
    <w:rsid w:val="00577138"/>
    <w:rsid w:val="00577536"/>
    <w:rsid w:val="00577605"/>
    <w:rsid w:val="00577861"/>
    <w:rsid w:val="00577A74"/>
    <w:rsid w:val="00577AA3"/>
    <w:rsid w:val="00577E11"/>
    <w:rsid w:val="00580140"/>
    <w:rsid w:val="005802F2"/>
    <w:rsid w:val="00580E1C"/>
    <w:rsid w:val="00580FBD"/>
    <w:rsid w:val="0058123C"/>
    <w:rsid w:val="00581809"/>
    <w:rsid w:val="00581876"/>
    <w:rsid w:val="005821D7"/>
    <w:rsid w:val="005827CB"/>
    <w:rsid w:val="00582AB7"/>
    <w:rsid w:val="00582FD4"/>
    <w:rsid w:val="00583153"/>
    <w:rsid w:val="0058375A"/>
    <w:rsid w:val="00583FD6"/>
    <w:rsid w:val="005843DE"/>
    <w:rsid w:val="00584615"/>
    <w:rsid w:val="0058567A"/>
    <w:rsid w:val="00586113"/>
    <w:rsid w:val="0058624C"/>
    <w:rsid w:val="00586302"/>
    <w:rsid w:val="00586AED"/>
    <w:rsid w:val="00586D19"/>
    <w:rsid w:val="00587293"/>
    <w:rsid w:val="005872A2"/>
    <w:rsid w:val="00587BDE"/>
    <w:rsid w:val="00587D21"/>
    <w:rsid w:val="00590062"/>
    <w:rsid w:val="00590329"/>
    <w:rsid w:val="005909EA"/>
    <w:rsid w:val="005913CC"/>
    <w:rsid w:val="00591570"/>
    <w:rsid w:val="005915DC"/>
    <w:rsid w:val="00591739"/>
    <w:rsid w:val="005919CC"/>
    <w:rsid w:val="005921F5"/>
    <w:rsid w:val="0059285E"/>
    <w:rsid w:val="0059373A"/>
    <w:rsid w:val="005948D0"/>
    <w:rsid w:val="005950A5"/>
    <w:rsid w:val="0059517C"/>
    <w:rsid w:val="005951F6"/>
    <w:rsid w:val="005966E3"/>
    <w:rsid w:val="005A03FF"/>
    <w:rsid w:val="005A08EE"/>
    <w:rsid w:val="005A0B45"/>
    <w:rsid w:val="005A0B91"/>
    <w:rsid w:val="005A1C3F"/>
    <w:rsid w:val="005A21EE"/>
    <w:rsid w:val="005A317E"/>
    <w:rsid w:val="005A34C1"/>
    <w:rsid w:val="005A3A76"/>
    <w:rsid w:val="005A4476"/>
    <w:rsid w:val="005A4816"/>
    <w:rsid w:val="005A4A1D"/>
    <w:rsid w:val="005A4EFA"/>
    <w:rsid w:val="005A50C1"/>
    <w:rsid w:val="005A542E"/>
    <w:rsid w:val="005A5D2E"/>
    <w:rsid w:val="005A5D89"/>
    <w:rsid w:val="005A5DF7"/>
    <w:rsid w:val="005A657F"/>
    <w:rsid w:val="005A6E7F"/>
    <w:rsid w:val="005A7183"/>
    <w:rsid w:val="005A7F9A"/>
    <w:rsid w:val="005B077A"/>
    <w:rsid w:val="005B07C2"/>
    <w:rsid w:val="005B081C"/>
    <w:rsid w:val="005B0A8F"/>
    <w:rsid w:val="005B14C8"/>
    <w:rsid w:val="005B187D"/>
    <w:rsid w:val="005B2646"/>
    <w:rsid w:val="005B29BC"/>
    <w:rsid w:val="005B2E4A"/>
    <w:rsid w:val="005B3764"/>
    <w:rsid w:val="005B3818"/>
    <w:rsid w:val="005B3CD8"/>
    <w:rsid w:val="005B45E0"/>
    <w:rsid w:val="005B5691"/>
    <w:rsid w:val="005B5998"/>
    <w:rsid w:val="005B64FF"/>
    <w:rsid w:val="005B68AD"/>
    <w:rsid w:val="005B6AA8"/>
    <w:rsid w:val="005B76F2"/>
    <w:rsid w:val="005B7C96"/>
    <w:rsid w:val="005C04FF"/>
    <w:rsid w:val="005C176C"/>
    <w:rsid w:val="005C18DD"/>
    <w:rsid w:val="005C1EAC"/>
    <w:rsid w:val="005C20B8"/>
    <w:rsid w:val="005C21BB"/>
    <w:rsid w:val="005C21CD"/>
    <w:rsid w:val="005C2773"/>
    <w:rsid w:val="005C3CC5"/>
    <w:rsid w:val="005C4447"/>
    <w:rsid w:val="005C52E0"/>
    <w:rsid w:val="005C6170"/>
    <w:rsid w:val="005C634F"/>
    <w:rsid w:val="005C67C1"/>
    <w:rsid w:val="005C6CA7"/>
    <w:rsid w:val="005C72AB"/>
    <w:rsid w:val="005C73A7"/>
    <w:rsid w:val="005C73EA"/>
    <w:rsid w:val="005C763C"/>
    <w:rsid w:val="005C796C"/>
    <w:rsid w:val="005C7E1C"/>
    <w:rsid w:val="005D104B"/>
    <w:rsid w:val="005D1152"/>
    <w:rsid w:val="005D1F39"/>
    <w:rsid w:val="005D2359"/>
    <w:rsid w:val="005D300A"/>
    <w:rsid w:val="005D32FD"/>
    <w:rsid w:val="005D34CE"/>
    <w:rsid w:val="005D3C0C"/>
    <w:rsid w:val="005D438E"/>
    <w:rsid w:val="005D46E5"/>
    <w:rsid w:val="005D4944"/>
    <w:rsid w:val="005D53C0"/>
    <w:rsid w:val="005D61A0"/>
    <w:rsid w:val="005D61AA"/>
    <w:rsid w:val="005D66C7"/>
    <w:rsid w:val="005D6B6B"/>
    <w:rsid w:val="005D70C8"/>
    <w:rsid w:val="005D763C"/>
    <w:rsid w:val="005D77AA"/>
    <w:rsid w:val="005D7AF8"/>
    <w:rsid w:val="005D7F27"/>
    <w:rsid w:val="005E0783"/>
    <w:rsid w:val="005E0E6B"/>
    <w:rsid w:val="005E1037"/>
    <w:rsid w:val="005E137A"/>
    <w:rsid w:val="005E1852"/>
    <w:rsid w:val="005E21A4"/>
    <w:rsid w:val="005E2572"/>
    <w:rsid w:val="005E2842"/>
    <w:rsid w:val="005E2B62"/>
    <w:rsid w:val="005E2C61"/>
    <w:rsid w:val="005E3100"/>
    <w:rsid w:val="005E3602"/>
    <w:rsid w:val="005E47EC"/>
    <w:rsid w:val="005E4C41"/>
    <w:rsid w:val="005E4EE6"/>
    <w:rsid w:val="005E55F9"/>
    <w:rsid w:val="005E74FC"/>
    <w:rsid w:val="005E758F"/>
    <w:rsid w:val="005F035D"/>
    <w:rsid w:val="005F0E80"/>
    <w:rsid w:val="005F0FB9"/>
    <w:rsid w:val="005F111D"/>
    <w:rsid w:val="005F1290"/>
    <w:rsid w:val="005F186A"/>
    <w:rsid w:val="005F1BDE"/>
    <w:rsid w:val="005F1C65"/>
    <w:rsid w:val="005F1D82"/>
    <w:rsid w:val="005F1FC8"/>
    <w:rsid w:val="005F2068"/>
    <w:rsid w:val="005F237B"/>
    <w:rsid w:val="005F2462"/>
    <w:rsid w:val="005F2C38"/>
    <w:rsid w:val="005F3662"/>
    <w:rsid w:val="005F3C65"/>
    <w:rsid w:val="005F4406"/>
    <w:rsid w:val="005F455E"/>
    <w:rsid w:val="005F4D06"/>
    <w:rsid w:val="005F4FD3"/>
    <w:rsid w:val="005F52CB"/>
    <w:rsid w:val="005F56D1"/>
    <w:rsid w:val="005F5B28"/>
    <w:rsid w:val="005F5CD4"/>
    <w:rsid w:val="005F672F"/>
    <w:rsid w:val="005F7A02"/>
    <w:rsid w:val="005F7BD7"/>
    <w:rsid w:val="005F7D02"/>
    <w:rsid w:val="006006BF"/>
    <w:rsid w:val="00600A90"/>
    <w:rsid w:val="0060182A"/>
    <w:rsid w:val="006021F0"/>
    <w:rsid w:val="0060274C"/>
    <w:rsid w:val="00602D6B"/>
    <w:rsid w:val="00602F48"/>
    <w:rsid w:val="00603967"/>
    <w:rsid w:val="00603996"/>
    <w:rsid w:val="00604512"/>
    <w:rsid w:val="00604A2D"/>
    <w:rsid w:val="006053E1"/>
    <w:rsid w:val="0060576F"/>
    <w:rsid w:val="00605A35"/>
    <w:rsid w:val="00605EF3"/>
    <w:rsid w:val="00607137"/>
    <w:rsid w:val="00607356"/>
    <w:rsid w:val="00610394"/>
    <w:rsid w:val="006110C4"/>
    <w:rsid w:val="00611170"/>
    <w:rsid w:val="006119AC"/>
    <w:rsid w:val="00611F6E"/>
    <w:rsid w:val="00612760"/>
    <w:rsid w:val="006129AB"/>
    <w:rsid w:val="00612FE9"/>
    <w:rsid w:val="006131EE"/>
    <w:rsid w:val="00614596"/>
    <w:rsid w:val="006156D0"/>
    <w:rsid w:val="00615770"/>
    <w:rsid w:val="0061591E"/>
    <w:rsid w:val="0061628F"/>
    <w:rsid w:val="0061661C"/>
    <w:rsid w:val="00616751"/>
    <w:rsid w:val="006169E2"/>
    <w:rsid w:val="00616BBE"/>
    <w:rsid w:val="0061738C"/>
    <w:rsid w:val="0061798A"/>
    <w:rsid w:val="00620340"/>
    <w:rsid w:val="0062039F"/>
    <w:rsid w:val="0062046F"/>
    <w:rsid w:val="006209C6"/>
    <w:rsid w:val="00620A7E"/>
    <w:rsid w:val="00620DAE"/>
    <w:rsid w:val="00620F7A"/>
    <w:rsid w:val="006217CB"/>
    <w:rsid w:val="00621925"/>
    <w:rsid w:val="00621ADF"/>
    <w:rsid w:val="00621D7E"/>
    <w:rsid w:val="0062236C"/>
    <w:rsid w:val="00622390"/>
    <w:rsid w:val="00622493"/>
    <w:rsid w:val="00623553"/>
    <w:rsid w:val="00624492"/>
    <w:rsid w:val="00624641"/>
    <w:rsid w:val="006249DE"/>
    <w:rsid w:val="006249ED"/>
    <w:rsid w:val="00625655"/>
    <w:rsid w:val="00625CF6"/>
    <w:rsid w:val="0062668D"/>
    <w:rsid w:val="006267EC"/>
    <w:rsid w:val="00627BED"/>
    <w:rsid w:val="00627C80"/>
    <w:rsid w:val="00627F10"/>
    <w:rsid w:val="00627F17"/>
    <w:rsid w:val="00630318"/>
    <w:rsid w:val="00630810"/>
    <w:rsid w:val="00630C32"/>
    <w:rsid w:val="0063135F"/>
    <w:rsid w:val="00631DAD"/>
    <w:rsid w:val="00631E3C"/>
    <w:rsid w:val="00631E4E"/>
    <w:rsid w:val="006325C3"/>
    <w:rsid w:val="00632856"/>
    <w:rsid w:val="00632B8D"/>
    <w:rsid w:val="00632F04"/>
    <w:rsid w:val="00633FDA"/>
    <w:rsid w:val="0063404A"/>
    <w:rsid w:val="0063459E"/>
    <w:rsid w:val="00634C1B"/>
    <w:rsid w:val="00634DF1"/>
    <w:rsid w:val="00635107"/>
    <w:rsid w:val="006351B8"/>
    <w:rsid w:val="006356DA"/>
    <w:rsid w:val="00635711"/>
    <w:rsid w:val="00635DD7"/>
    <w:rsid w:val="006364AD"/>
    <w:rsid w:val="00636533"/>
    <w:rsid w:val="00636661"/>
    <w:rsid w:val="00636E0B"/>
    <w:rsid w:val="006373E0"/>
    <w:rsid w:val="006374BF"/>
    <w:rsid w:val="006375D6"/>
    <w:rsid w:val="0063777F"/>
    <w:rsid w:val="00640159"/>
    <w:rsid w:val="00640418"/>
    <w:rsid w:val="00640553"/>
    <w:rsid w:val="0064070C"/>
    <w:rsid w:val="00640B65"/>
    <w:rsid w:val="00640F36"/>
    <w:rsid w:val="00641190"/>
    <w:rsid w:val="00641BF7"/>
    <w:rsid w:val="00641D0F"/>
    <w:rsid w:val="00641EB0"/>
    <w:rsid w:val="00642293"/>
    <w:rsid w:val="00642910"/>
    <w:rsid w:val="00642B39"/>
    <w:rsid w:val="006431D5"/>
    <w:rsid w:val="006433FF"/>
    <w:rsid w:val="00643946"/>
    <w:rsid w:val="006440CA"/>
    <w:rsid w:val="006444CC"/>
    <w:rsid w:val="00644859"/>
    <w:rsid w:val="00644902"/>
    <w:rsid w:val="006451D1"/>
    <w:rsid w:val="00645677"/>
    <w:rsid w:val="0064597D"/>
    <w:rsid w:val="00645E14"/>
    <w:rsid w:val="00645E90"/>
    <w:rsid w:val="0064620E"/>
    <w:rsid w:val="0064628F"/>
    <w:rsid w:val="00646563"/>
    <w:rsid w:val="006467A4"/>
    <w:rsid w:val="006473E8"/>
    <w:rsid w:val="00650574"/>
    <w:rsid w:val="00650B01"/>
    <w:rsid w:val="00650CF6"/>
    <w:rsid w:val="00651280"/>
    <w:rsid w:val="006518A4"/>
    <w:rsid w:val="00651AB4"/>
    <w:rsid w:val="00652980"/>
    <w:rsid w:val="00653057"/>
    <w:rsid w:val="0065354D"/>
    <w:rsid w:val="00654C71"/>
    <w:rsid w:val="00655986"/>
    <w:rsid w:val="00656310"/>
    <w:rsid w:val="00656345"/>
    <w:rsid w:val="0065714A"/>
    <w:rsid w:val="006577CE"/>
    <w:rsid w:val="00657A72"/>
    <w:rsid w:val="00657E4F"/>
    <w:rsid w:val="0066040D"/>
    <w:rsid w:val="006604B2"/>
    <w:rsid w:val="0066095F"/>
    <w:rsid w:val="00660B17"/>
    <w:rsid w:val="00660CC8"/>
    <w:rsid w:val="00660CCC"/>
    <w:rsid w:val="0066177F"/>
    <w:rsid w:val="00661A75"/>
    <w:rsid w:val="00662523"/>
    <w:rsid w:val="006628F7"/>
    <w:rsid w:val="00663509"/>
    <w:rsid w:val="0066354B"/>
    <w:rsid w:val="00663B1C"/>
    <w:rsid w:val="00664191"/>
    <w:rsid w:val="0066428A"/>
    <w:rsid w:val="0066429B"/>
    <w:rsid w:val="00664997"/>
    <w:rsid w:val="00664B84"/>
    <w:rsid w:val="0066512A"/>
    <w:rsid w:val="0066535D"/>
    <w:rsid w:val="006655D3"/>
    <w:rsid w:val="006655D9"/>
    <w:rsid w:val="006657E7"/>
    <w:rsid w:val="006658AD"/>
    <w:rsid w:val="00665EFC"/>
    <w:rsid w:val="00666244"/>
    <w:rsid w:val="006665AB"/>
    <w:rsid w:val="0066692E"/>
    <w:rsid w:val="00667163"/>
    <w:rsid w:val="00667431"/>
    <w:rsid w:val="00667AAB"/>
    <w:rsid w:val="0067086E"/>
    <w:rsid w:val="0067093E"/>
    <w:rsid w:val="00670C08"/>
    <w:rsid w:val="00670C0B"/>
    <w:rsid w:val="00670C63"/>
    <w:rsid w:val="00671148"/>
    <w:rsid w:val="0067151A"/>
    <w:rsid w:val="00671794"/>
    <w:rsid w:val="00671DD7"/>
    <w:rsid w:val="006723EA"/>
    <w:rsid w:val="006729B2"/>
    <w:rsid w:val="0067335A"/>
    <w:rsid w:val="00673CBC"/>
    <w:rsid w:val="006747DD"/>
    <w:rsid w:val="00674B0B"/>
    <w:rsid w:val="00674F82"/>
    <w:rsid w:val="00675203"/>
    <w:rsid w:val="006752E4"/>
    <w:rsid w:val="00675CCF"/>
    <w:rsid w:val="00675F1E"/>
    <w:rsid w:val="0067657C"/>
    <w:rsid w:val="00677F53"/>
    <w:rsid w:val="006802F3"/>
    <w:rsid w:val="00680C6D"/>
    <w:rsid w:val="00680DB8"/>
    <w:rsid w:val="006812D2"/>
    <w:rsid w:val="00681564"/>
    <w:rsid w:val="00681A72"/>
    <w:rsid w:val="00681B2B"/>
    <w:rsid w:val="00681E74"/>
    <w:rsid w:val="00682059"/>
    <w:rsid w:val="006821B4"/>
    <w:rsid w:val="0068279B"/>
    <w:rsid w:val="00682AE6"/>
    <w:rsid w:val="00683214"/>
    <w:rsid w:val="006832CA"/>
    <w:rsid w:val="00683B57"/>
    <w:rsid w:val="00683F65"/>
    <w:rsid w:val="006842CE"/>
    <w:rsid w:val="00684A62"/>
    <w:rsid w:val="00684E66"/>
    <w:rsid w:val="0068505E"/>
    <w:rsid w:val="006854E5"/>
    <w:rsid w:val="0068554A"/>
    <w:rsid w:val="00685616"/>
    <w:rsid w:val="00685B4A"/>
    <w:rsid w:val="006860FC"/>
    <w:rsid w:val="006863E7"/>
    <w:rsid w:val="00686407"/>
    <w:rsid w:val="00686501"/>
    <w:rsid w:val="006865E3"/>
    <w:rsid w:val="00686CE9"/>
    <w:rsid w:val="006877CA"/>
    <w:rsid w:val="006900CA"/>
    <w:rsid w:val="006903AF"/>
    <w:rsid w:val="00690A30"/>
    <w:rsid w:val="00690E84"/>
    <w:rsid w:val="00691228"/>
    <w:rsid w:val="00691EAF"/>
    <w:rsid w:val="00691F1C"/>
    <w:rsid w:val="00692DF3"/>
    <w:rsid w:val="00693220"/>
    <w:rsid w:val="0069364F"/>
    <w:rsid w:val="00693747"/>
    <w:rsid w:val="0069435F"/>
    <w:rsid w:val="006947E9"/>
    <w:rsid w:val="00695BB0"/>
    <w:rsid w:val="00695F4C"/>
    <w:rsid w:val="00696234"/>
    <w:rsid w:val="0069685E"/>
    <w:rsid w:val="006968B3"/>
    <w:rsid w:val="00696B34"/>
    <w:rsid w:val="00697D04"/>
    <w:rsid w:val="006A0505"/>
    <w:rsid w:val="006A0ABE"/>
    <w:rsid w:val="006A0C91"/>
    <w:rsid w:val="006A1A19"/>
    <w:rsid w:val="006A1A4C"/>
    <w:rsid w:val="006A1BBE"/>
    <w:rsid w:val="006A1DA6"/>
    <w:rsid w:val="006A2CB8"/>
    <w:rsid w:val="006A2DE2"/>
    <w:rsid w:val="006A2F56"/>
    <w:rsid w:val="006A3664"/>
    <w:rsid w:val="006A3940"/>
    <w:rsid w:val="006A42BE"/>
    <w:rsid w:val="006A481C"/>
    <w:rsid w:val="006A4C4E"/>
    <w:rsid w:val="006A4EDE"/>
    <w:rsid w:val="006A4FEA"/>
    <w:rsid w:val="006A518C"/>
    <w:rsid w:val="006A52AE"/>
    <w:rsid w:val="006A549A"/>
    <w:rsid w:val="006A586F"/>
    <w:rsid w:val="006A5A96"/>
    <w:rsid w:val="006A6357"/>
    <w:rsid w:val="006A676A"/>
    <w:rsid w:val="006A692D"/>
    <w:rsid w:val="006A6B54"/>
    <w:rsid w:val="006A6D6B"/>
    <w:rsid w:val="006A6F60"/>
    <w:rsid w:val="006A761E"/>
    <w:rsid w:val="006A77A3"/>
    <w:rsid w:val="006A7ACF"/>
    <w:rsid w:val="006B0040"/>
    <w:rsid w:val="006B0E4C"/>
    <w:rsid w:val="006B1075"/>
    <w:rsid w:val="006B23AB"/>
    <w:rsid w:val="006B26BB"/>
    <w:rsid w:val="006B2F65"/>
    <w:rsid w:val="006B314C"/>
    <w:rsid w:val="006B3976"/>
    <w:rsid w:val="006B4876"/>
    <w:rsid w:val="006B48EA"/>
    <w:rsid w:val="006B4FE2"/>
    <w:rsid w:val="006B54DA"/>
    <w:rsid w:val="006B5604"/>
    <w:rsid w:val="006B5867"/>
    <w:rsid w:val="006B5E4C"/>
    <w:rsid w:val="006B62D4"/>
    <w:rsid w:val="006B6B8A"/>
    <w:rsid w:val="006B6F03"/>
    <w:rsid w:val="006B6FB4"/>
    <w:rsid w:val="006B7985"/>
    <w:rsid w:val="006C0457"/>
    <w:rsid w:val="006C09DE"/>
    <w:rsid w:val="006C2D40"/>
    <w:rsid w:val="006C2FB0"/>
    <w:rsid w:val="006C303E"/>
    <w:rsid w:val="006C35C0"/>
    <w:rsid w:val="006C3627"/>
    <w:rsid w:val="006C40E4"/>
    <w:rsid w:val="006C4188"/>
    <w:rsid w:val="006C539E"/>
    <w:rsid w:val="006C5823"/>
    <w:rsid w:val="006C5B01"/>
    <w:rsid w:val="006C5B5C"/>
    <w:rsid w:val="006C603D"/>
    <w:rsid w:val="006C6054"/>
    <w:rsid w:val="006C663B"/>
    <w:rsid w:val="006C6921"/>
    <w:rsid w:val="006C6B6C"/>
    <w:rsid w:val="006C7214"/>
    <w:rsid w:val="006C7874"/>
    <w:rsid w:val="006C7B0E"/>
    <w:rsid w:val="006C7C72"/>
    <w:rsid w:val="006C7F64"/>
    <w:rsid w:val="006D0CB1"/>
    <w:rsid w:val="006D1143"/>
    <w:rsid w:val="006D16B8"/>
    <w:rsid w:val="006D1C03"/>
    <w:rsid w:val="006D2780"/>
    <w:rsid w:val="006D36FE"/>
    <w:rsid w:val="006D3CD3"/>
    <w:rsid w:val="006D418A"/>
    <w:rsid w:val="006D437D"/>
    <w:rsid w:val="006D4805"/>
    <w:rsid w:val="006D49C1"/>
    <w:rsid w:val="006D4CB3"/>
    <w:rsid w:val="006D4EDA"/>
    <w:rsid w:val="006D5730"/>
    <w:rsid w:val="006D5A16"/>
    <w:rsid w:val="006D5A55"/>
    <w:rsid w:val="006D5E5F"/>
    <w:rsid w:val="006D6AC2"/>
    <w:rsid w:val="006D70BA"/>
    <w:rsid w:val="006D714C"/>
    <w:rsid w:val="006D7C14"/>
    <w:rsid w:val="006D7FAE"/>
    <w:rsid w:val="006E00AD"/>
    <w:rsid w:val="006E04D7"/>
    <w:rsid w:val="006E0A53"/>
    <w:rsid w:val="006E0E23"/>
    <w:rsid w:val="006E1343"/>
    <w:rsid w:val="006E137E"/>
    <w:rsid w:val="006E143B"/>
    <w:rsid w:val="006E158E"/>
    <w:rsid w:val="006E198E"/>
    <w:rsid w:val="006E1A32"/>
    <w:rsid w:val="006E218E"/>
    <w:rsid w:val="006E2346"/>
    <w:rsid w:val="006E28DF"/>
    <w:rsid w:val="006E2C0C"/>
    <w:rsid w:val="006E33F4"/>
    <w:rsid w:val="006E35E0"/>
    <w:rsid w:val="006E37F4"/>
    <w:rsid w:val="006E3DBC"/>
    <w:rsid w:val="006E4965"/>
    <w:rsid w:val="006E4C10"/>
    <w:rsid w:val="006E531F"/>
    <w:rsid w:val="006E5745"/>
    <w:rsid w:val="006E5B04"/>
    <w:rsid w:val="006E6BDD"/>
    <w:rsid w:val="006E6D8A"/>
    <w:rsid w:val="006E70A7"/>
    <w:rsid w:val="006E70CF"/>
    <w:rsid w:val="006E7187"/>
    <w:rsid w:val="006E7520"/>
    <w:rsid w:val="006F0193"/>
    <w:rsid w:val="006F0377"/>
    <w:rsid w:val="006F08B6"/>
    <w:rsid w:val="006F133F"/>
    <w:rsid w:val="006F1489"/>
    <w:rsid w:val="006F1D89"/>
    <w:rsid w:val="006F1EEC"/>
    <w:rsid w:val="006F1F14"/>
    <w:rsid w:val="006F20B8"/>
    <w:rsid w:val="006F2244"/>
    <w:rsid w:val="006F2F49"/>
    <w:rsid w:val="006F31C6"/>
    <w:rsid w:val="006F3CB2"/>
    <w:rsid w:val="006F4812"/>
    <w:rsid w:val="006F48FA"/>
    <w:rsid w:val="006F4C7A"/>
    <w:rsid w:val="006F4DDC"/>
    <w:rsid w:val="006F5093"/>
    <w:rsid w:val="006F5194"/>
    <w:rsid w:val="006F583E"/>
    <w:rsid w:val="006F58B2"/>
    <w:rsid w:val="006F5C48"/>
    <w:rsid w:val="006F5C9F"/>
    <w:rsid w:val="006F5E96"/>
    <w:rsid w:val="006F68BD"/>
    <w:rsid w:val="006F68E8"/>
    <w:rsid w:val="006F7BB6"/>
    <w:rsid w:val="006F7CA9"/>
    <w:rsid w:val="007004C1"/>
    <w:rsid w:val="0070071B"/>
    <w:rsid w:val="00700C1C"/>
    <w:rsid w:val="00702233"/>
    <w:rsid w:val="00702B3E"/>
    <w:rsid w:val="007031B7"/>
    <w:rsid w:val="007042ED"/>
    <w:rsid w:val="00704DCF"/>
    <w:rsid w:val="00704F88"/>
    <w:rsid w:val="00705E1B"/>
    <w:rsid w:val="00706697"/>
    <w:rsid w:val="00706CE2"/>
    <w:rsid w:val="00707CE1"/>
    <w:rsid w:val="00707DB7"/>
    <w:rsid w:val="0071000B"/>
    <w:rsid w:val="00710411"/>
    <w:rsid w:val="00711BB1"/>
    <w:rsid w:val="00711F27"/>
    <w:rsid w:val="0071200F"/>
    <w:rsid w:val="007126AE"/>
    <w:rsid w:val="00713233"/>
    <w:rsid w:val="00714270"/>
    <w:rsid w:val="007144A2"/>
    <w:rsid w:val="00714B04"/>
    <w:rsid w:val="00715160"/>
    <w:rsid w:val="00715BFB"/>
    <w:rsid w:val="00716EF1"/>
    <w:rsid w:val="00716F3E"/>
    <w:rsid w:val="00717347"/>
    <w:rsid w:val="00717EB7"/>
    <w:rsid w:val="00721380"/>
    <w:rsid w:val="0072141B"/>
    <w:rsid w:val="0072166B"/>
    <w:rsid w:val="00721D94"/>
    <w:rsid w:val="00721F8F"/>
    <w:rsid w:val="007220D3"/>
    <w:rsid w:val="0072214A"/>
    <w:rsid w:val="0072249F"/>
    <w:rsid w:val="00722663"/>
    <w:rsid w:val="007231F3"/>
    <w:rsid w:val="00724BBC"/>
    <w:rsid w:val="007260D6"/>
    <w:rsid w:val="007262F5"/>
    <w:rsid w:val="00726735"/>
    <w:rsid w:val="00727CC3"/>
    <w:rsid w:val="00727EF6"/>
    <w:rsid w:val="00730878"/>
    <w:rsid w:val="00731140"/>
    <w:rsid w:val="00731758"/>
    <w:rsid w:val="00731BE3"/>
    <w:rsid w:val="00732515"/>
    <w:rsid w:val="0073264D"/>
    <w:rsid w:val="00732E36"/>
    <w:rsid w:val="00732FE1"/>
    <w:rsid w:val="00733588"/>
    <w:rsid w:val="00733660"/>
    <w:rsid w:val="00733B78"/>
    <w:rsid w:val="00733C43"/>
    <w:rsid w:val="00733CEE"/>
    <w:rsid w:val="0073556E"/>
    <w:rsid w:val="00735575"/>
    <w:rsid w:val="00735716"/>
    <w:rsid w:val="00735B1C"/>
    <w:rsid w:val="00735DD5"/>
    <w:rsid w:val="007360B2"/>
    <w:rsid w:val="007367E9"/>
    <w:rsid w:val="00736B55"/>
    <w:rsid w:val="00736B7B"/>
    <w:rsid w:val="00736F14"/>
    <w:rsid w:val="00737386"/>
    <w:rsid w:val="00737A6D"/>
    <w:rsid w:val="00737D09"/>
    <w:rsid w:val="00737F74"/>
    <w:rsid w:val="0074051B"/>
    <w:rsid w:val="007406CD"/>
    <w:rsid w:val="00740810"/>
    <w:rsid w:val="00740D92"/>
    <w:rsid w:val="00740EFB"/>
    <w:rsid w:val="007418E1"/>
    <w:rsid w:val="007419C3"/>
    <w:rsid w:val="00741AAC"/>
    <w:rsid w:val="007424E9"/>
    <w:rsid w:val="007427BD"/>
    <w:rsid w:val="007430DA"/>
    <w:rsid w:val="007432F1"/>
    <w:rsid w:val="007437F3"/>
    <w:rsid w:val="00744D4B"/>
    <w:rsid w:val="0074518D"/>
    <w:rsid w:val="007452B0"/>
    <w:rsid w:val="0074543E"/>
    <w:rsid w:val="00745A0F"/>
    <w:rsid w:val="00745A7C"/>
    <w:rsid w:val="00745DD5"/>
    <w:rsid w:val="0074625F"/>
    <w:rsid w:val="00746793"/>
    <w:rsid w:val="00747F2E"/>
    <w:rsid w:val="00750573"/>
    <w:rsid w:val="00750B49"/>
    <w:rsid w:val="00751A40"/>
    <w:rsid w:val="00752387"/>
    <w:rsid w:val="00752683"/>
    <w:rsid w:val="0075276D"/>
    <w:rsid w:val="00752D16"/>
    <w:rsid w:val="0075322C"/>
    <w:rsid w:val="00753E7D"/>
    <w:rsid w:val="00753F4E"/>
    <w:rsid w:val="007541D9"/>
    <w:rsid w:val="00754522"/>
    <w:rsid w:val="0075456A"/>
    <w:rsid w:val="00754A76"/>
    <w:rsid w:val="00754E84"/>
    <w:rsid w:val="0075580D"/>
    <w:rsid w:val="0075598D"/>
    <w:rsid w:val="00755B09"/>
    <w:rsid w:val="00756062"/>
    <w:rsid w:val="007560F2"/>
    <w:rsid w:val="0075675B"/>
    <w:rsid w:val="0075691D"/>
    <w:rsid w:val="00756969"/>
    <w:rsid w:val="00756C1C"/>
    <w:rsid w:val="0075754B"/>
    <w:rsid w:val="00757840"/>
    <w:rsid w:val="00757B30"/>
    <w:rsid w:val="00757C93"/>
    <w:rsid w:val="00757D04"/>
    <w:rsid w:val="00757D4E"/>
    <w:rsid w:val="00760511"/>
    <w:rsid w:val="00760772"/>
    <w:rsid w:val="00760D8F"/>
    <w:rsid w:val="00760E6A"/>
    <w:rsid w:val="00761CEA"/>
    <w:rsid w:val="00761FDA"/>
    <w:rsid w:val="00762ABC"/>
    <w:rsid w:val="00762DAB"/>
    <w:rsid w:val="00763101"/>
    <w:rsid w:val="0076341E"/>
    <w:rsid w:val="007634CC"/>
    <w:rsid w:val="0076399B"/>
    <w:rsid w:val="007649A1"/>
    <w:rsid w:val="00764D76"/>
    <w:rsid w:val="007650D8"/>
    <w:rsid w:val="007651C6"/>
    <w:rsid w:val="00765C19"/>
    <w:rsid w:val="00766189"/>
    <w:rsid w:val="007662D3"/>
    <w:rsid w:val="007662F6"/>
    <w:rsid w:val="007665BC"/>
    <w:rsid w:val="00766A17"/>
    <w:rsid w:val="007670DE"/>
    <w:rsid w:val="007674B3"/>
    <w:rsid w:val="007674FE"/>
    <w:rsid w:val="00767B51"/>
    <w:rsid w:val="00767CD1"/>
    <w:rsid w:val="00767F34"/>
    <w:rsid w:val="007700C6"/>
    <w:rsid w:val="00770547"/>
    <w:rsid w:val="00770A4A"/>
    <w:rsid w:val="00771807"/>
    <w:rsid w:val="00771D29"/>
    <w:rsid w:val="00772054"/>
    <w:rsid w:val="00772945"/>
    <w:rsid w:val="00772B3A"/>
    <w:rsid w:val="00772C60"/>
    <w:rsid w:val="00772E33"/>
    <w:rsid w:val="007730D5"/>
    <w:rsid w:val="0077324A"/>
    <w:rsid w:val="007737D0"/>
    <w:rsid w:val="00773AD9"/>
    <w:rsid w:val="00773DBF"/>
    <w:rsid w:val="00774408"/>
    <w:rsid w:val="00774862"/>
    <w:rsid w:val="00774D5C"/>
    <w:rsid w:val="00775235"/>
    <w:rsid w:val="00775B94"/>
    <w:rsid w:val="007760BF"/>
    <w:rsid w:val="00776299"/>
    <w:rsid w:val="00776B74"/>
    <w:rsid w:val="007779A8"/>
    <w:rsid w:val="00777A3B"/>
    <w:rsid w:val="00780250"/>
    <w:rsid w:val="00781170"/>
    <w:rsid w:val="007815E6"/>
    <w:rsid w:val="007824D1"/>
    <w:rsid w:val="00782684"/>
    <w:rsid w:val="0078289A"/>
    <w:rsid w:val="00782B1B"/>
    <w:rsid w:val="00783258"/>
    <w:rsid w:val="00783958"/>
    <w:rsid w:val="00783F09"/>
    <w:rsid w:val="00784B01"/>
    <w:rsid w:val="00784C43"/>
    <w:rsid w:val="00784F28"/>
    <w:rsid w:val="007850B5"/>
    <w:rsid w:val="00785CA1"/>
    <w:rsid w:val="00785FE9"/>
    <w:rsid w:val="007864B3"/>
    <w:rsid w:val="007869EE"/>
    <w:rsid w:val="00786FF5"/>
    <w:rsid w:val="007870D3"/>
    <w:rsid w:val="007872A9"/>
    <w:rsid w:val="007876FA"/>
    <w:rsid w:val="00790A2D"/>
    <w:rsid w:val="00790C68"/>
    <w:rsid w:val="0079102F"/>
    <w:rsid w:val="0079190E"/>
    <w:rsid w:val="00791B99"/>
    <w:rsid w:val="00791D02"/>
    <w:rsid w:val="00791F8B"/>
    <w:rsid w:val="00792828"/>
    <w:rsid w:val="00792983"/>
    <w:rsid w:val="0079381A"/>
    <w:rsid w:val="007940A4"/>
    <w:rsid w:val="00794138"/>
    <w:rsid w:val="0079452C"/>
    <w:rsid w:val="007945F2"/>
    <w:rsid w:val="007950F3"/>
    <w:rsid w:val="007951DE"/>
    <w:rsid w:val="007955C2"/>
    <w:rsid w:val="007971FD"/>
    <w:rsid w:val="00797501"/>
    <w:rsid w:val="00797931"/>
    <w:rsid w:val="00797B1F"/>
    <w:rsid w:val="007A01FD"/>
    <w:rsid w:val="007A04A1"/>
    <w:rsid w:val="007A0ECF"/>
    <w:rsid w:val="007A0F60"/>
    <w:rsid w:val="007A14F9"/>
    <w:rsid w:val="007A1AF4"/>
    <w:rsid w:val="007A1CF9"/>
    <w:rsid w:val="007A2226"/>
    <w:rsid w:val="007A258D"/>
    <w:rsid w:val="007A264F"/>
    <w:rsid w:val="007A2993"/>
    <w:rsid w:val="007A2A5F"/>
    <w:rsid w:val="007A2CFF"/>
    <w:rsid w:val="007A30C8"/>
    <w:rsid w:val="007A357F"/>
    <w:rsid w:val="007A37CE"/>
    <w:rsid w:val="007A37DB"/>
    <w:rsid w:val="007A38DA"/>
    <w:rsid w:val="007A3D87"/>
    <w:rsid w:val="007A3E8C"/>
    <w:rsid w:val="007A4B16"/>
    <w:rsid w:val="007A4D01"/>
    <w:rsid w:val="007A5ABA"/>
    <w:rsid w:val="007A6473"/>
    <w:rsid w:val="007A671D"/>
    <w:rsid w:val="007A6864"/>
    <w:rsid w:val="007A6C75"/>
    <w:rsid w:val="007B0388"/>
    <w:rsid w:val="007B0669"/>
    <w:rsid w:val="007B07E8"/>
    <w:rsid w:val="007B0E5D"/>
    <w:rsid w:val="007B1127"/>
    <w:rsid w:val="007B122E"/>
    <w:rsid w:val="007B1C5F"/>
    <w:rsid w:val="007B205C"/>
    <w:rsid w:val="007B2B61"/>
    <w:rsid w:val="007B2EE0"/>
    <w:rsid w:val="007B3247"/>
    <w:rsid w:val="007B356A"/>
    <w:rsid w:val="007B3D3E"/>
    <w:rsid w:val="007B49B1"/>
    <w:rsid w:val="007B4D7A"/>
    <w:rsid w:val="007B4EC6"/>
    <w:rsid w:val="007B4EF9"/>
    <w:rsid w:val="007B5ACE"/>
    <w:rsid w:val="007B5D3C"/>
    <w:rsid w:val="007B63FA"/>
    <w:rsid w:val="007B6FE4"/>
    <w:rsid w:val="007B77BA"/>
    <w:rsid w:val="007C04EE"/>
    <w:rsid w:val="007C0529"/>
    <w:rsid w:val="007C1079"/>
    <w:rsid w:val="007C1209"/>
    <w:rsid w:val="007C1C25"/>
    <w:rsid w:val="007C201D"/>
    <w:rsid w:val="007C2253"/>
    <w:rsid w:val="007C23C8"/>
    <w:rsid w:val="007C2583"/>
    <w:rsid w:val="007C27B1"/>
    <w:rsid w:val="007C2E2F"/>
    <w:rsid w:val="007C2EC6"/>
    <w:rsid w:val="007C36CF"/>
    <w:rsid w:val="007C36DA"/>
    <w:rsid w:val="007C407F"/>
    <w:rsid w:val="007C4093"/>
    <w:rsid w:val="007C41D8"/>
    <w:rsid w:val="007C44E4"/>
    <w:rsid w:val="007C4E74"/>
    <w:rsid w:val="007C5112"/>
    <w:rsid w:val="007C5523"/>
    <w:rsid w:val="007C626C"/>
    <w:rsid w:val="007C6402"/>
    <w:rsid w:val="007C6BD2"/>
    <w:rsid w:val="007C6DE5"/>
    <w:rsid w:val="007C6E8F"/>
    <w:rsid w:val="007C778F"/>
    <w:rsid w:val="007D01FC"/>
    <w:rsid w:val="007D029D"/>
    <w:rsid w:val="007D0779"/>
    <w:rsid w:val="007D0B4D"/>
    <w:rsid w:val="007D0F04"/>
    <w:rsid w:val="007D19FC"/>
    <w:rsid w:val="007D1D49"/>
    <w:rsid w:val="007D1FAB"/>
    <w:rsid w:val="007D1FE2"/>
    <w:rsid w:val="007D2112"/>
    <w:rsid w:val="007D2888"/>
    <w:rsid w:val="007D2AF3"/>
    <w:rsid w:val="007D2C3D"/>
    <w:rsid w:val="007D38EC"/>
    <w:rsid w:val="007D3FD3"/>
    <w:rsid w:val="007D4993"/>
    <w:rsid w:val="007D4CCB"/>
    <w:rsid w:val="007D5512"/>
    <w:rsid w:val="007D573F"/>
    <w:rsid w:val="007D65AF"/>
    <w:rsid w:val="007D6C42"/>
    <w:rsid w:val="007D6C6E"/>
    <w:rsid w:val="007D7843"/>
    <w:rsid w:val="007D7B63"/>
    <w:rsid w:val="007D7F80"/>
    <w:rsid w:val="007E0EDB"/>
    <w:rsid w:val="007E1602"/>
    <w:rsid w:val="007E1DC4"/>
    <w:rsid w:val="007E22A6"/>
    <w:rsid w:val="007E2AD7"/>
    <w:rsid w:val="007E3488"/>
    <w:rsid w:val="007E3E80"/>
    <w:rsid w:val="007E4405"/>
    <w:rsid w:val="007E48BD"/>
    <w:rsid w:val="007E4C86"/>
    <w:rsid w:val="007E50CC"/>
    <w:rsid w:val="007E57DF"/>
    <w:rsid w:val="007E5B71"/>
    <w:rsid w:val="007E6564"/>
    <w:rsid w:val="007E67B6"/>
    <w:rsid w:val="007E6B11"/>
    <w:rsid w:val="007E6BB6"/>
    <w:rsid w:val="007E74BA"/>
    <w:rsid w:val="007E752A"/>
    <w:rsid w:val="007F0A50"/>
    <w:rsid w:val="007F0F25"/>
    <w:rsid w:val="007F0F33"/>
    <w:rsid w:val="007F1C61"/>
    <w:rsid w:val="007F1D87"/>
    <w:rsid w:val="007F1F63"/>
    <w:rsid w:val="007F2738"/>
    <w:rsid w:val="007F2941"/>
    <w:rsid w:val="007F2D01"/>
    <w:rsid w:val="007F2E7A"/>
    <w:rsid w:val="007F3497"/>
    <w:rsid w:val="007F52AA"/>
    <w:rsid w:val="007F58E4"/>
    <w:rsid w:val="007F5D72"/>
    <w:rsid w:val="007F6992"/>
    <w:rsid w:val="007F6DEA"/>
    <w:rsid w:val="007F6FFE"/>
    <w:rsid w:val="007F7D9F"/>
    <w:rsid w:val="008004B3"/>
    <w:rsid w:val="008004F8"/>
    <w:rsid w:val="00800974"/>
    <w:rsid w:val="00800B90"/>
    <w:rsid w:val="0080199B"/>
    <w:rsid w:val="008031A6"/>
    <w:rsid w:val="00803761"/>
    <w:rsid w:val="00805357"/>
    <w:rsid w:val="00805629"/>
    <w:rsid w:val="00806020"/>
    <w:rsid w:val="00806536"/>
    <w:rsid w:val="00806613"/>
    <w:rsid w:val="008067E3"/>
    <w:rsid w:val="00806FAE"/>
    <w:rsid w:val="00807A22"/>
    <w:rsid w:val="00807A47"/>
    <w:rsid w:val="00807AEC"/>
    <w:rsid w:val="00807B3A"/>
    <w:rsid w:val="008108AC"/>
    <w:rsid w:val="00810D5C"/>
    <w:rsid w:val="008123CD"/>
    <w:rsid w:val="00813A4A"/>
    <w:rsid w:val="00813B43"/>
    <w:rsid w:val="008141BF"/>
    <w:rsid w:val="00814397"/>
    <w:rsid w:val="008143BB"/>
    <w:rsid w:val="008147A0"/>
    <w:rsid w:val="0081565D"/>
    <w:rsid w:val="0081589D"/>
    <w:rsid w:val="0081637D"/>
    <w:rsid w:val="008167D4"/>
    <w:rsid w:val="00816C1E"/>
    <w:rsid w:val="00816ED4"/>
    <w:rsid w:val="00817AAF"/>
    <w:rsid w:val="00820455"/>
    <w:rsid w:val="00820CC8"/>
    <w:rsid w:val="0082114F"/>
    <w:rsid w:val="008215DC"/>
    <w:rsid w:val="008221FA"/>
    <w:rsid w:val="00822247"/>
    <w:rsid w:val="0082308F"/>
    <w:rsid w:val="00823DFE"/>
    <w:rsid w:val="00823FE4"/>
    <w:rsid w:val="0082566A"/>
    <w:rsid w:val="0082573F"/>
    <w:rsid w:val="008258E8"/>
    <w:rsid w:val="00825F7C"/>
    <w:rsid w:val="008265A0"/>
    <w:rsid w:val="008269A1"/>
    <w:rsid w:val="00827482"/>
    <w:rsid w:val="008275BE"/>
    <w:rsid w:val="00827727"/>
    <w:rsid w:val="00827B81"/>
    <w:rsid w:val="00827E39"/>
    <w:rsid w:val="00830478"/>
    <w:rsid w:val="00830AFC"/>
    <w:rsid w:val="00830B8A"/>
    <w:rsid w:val="008311B0"/>
    <w:rsid w:val="008312D8"/>
    <w:rsid w:val="008313CC"/>
    <w:rsid w:val="00831499"/>
    <w:rsid w:val="00831A06"/>
    <w:rsid w:val="0083208D"/>
    <w:rsid w:val="00832629"/>
    <w:rsid w:val="00832889"/>
    <w:rsid w:val="008333D3"/>
    <w:rsid w:val="008333FB"/>
    <w:rsid w:val="0083405A"/>
    <w:rsid w:val="008351AD"/>
    <w:rsid w:val="008351E5"/>
    <w:rsid w:val="00835317"/>
    <w:rsid w:val="008354FB"/>
    <w:rsid w:val="008356D5"/>
    <w:rsid w:val="00835F3F"/>
    <w:rsid w:val="0083653D"/>
    <w:rsid w:val="0083686C"/>
    <w:rsid w:val="00836D0D"/>
    <w:rsid w:val="008370CC"/>
    <w:rsid w:val="008373B9"/>
    <w:rsid w:val="00837D2C"/>
    <w:rsid w:val="00837E30"/>
    <w:rsid w:val="008413F5"/>
    <w:rsid w:val="0084176B"/>
    <w:rsid w:val="00841EA8"/>
    <w:rsid w:val="008420EF"/>
    <w:rsid w:val="00842742"/>
    <w:rsid w:val="00842911"/>
    <w:rsid w:val="00842B0F"/>
    <w:rsid w:val="00842FD2"/>
    <w:rsid w:val="00843992"/>
    <w:rsid w:val="00843A54"/>
    <w:rsid w:val="00844CAF"/>
    <w:rsid w:val="0084514E"/>
    <w:rsid w:val="00845D65"/>
    <w:rsid w:val="00846010"/>
    <w:rsid w:val="0084607E"/>
    <w:rsid w:val="0084613C"/>
    <w:rsid w:val="00846502"/>
    <w:rsid w:val="0084673C"/>
    <w:rsid w:val="008468F8"/>
    <w:rsid w:val="0084693F"/>
    <w:rsid w:val="00846F2C"/>
    <w:rsid w:val="00847639"/>
    <w:rsid w:val="00847938"/>
    <w:rsid w:val="00850519"/>
    <w:rsid w:val="00850F1C"/>
    <w:rsid w:val="0085133E"/>
    <w:rsid w:val="0085308D"/>
    <w:rsid w:val="00853455"/>
    <w:rsid w:val="008544BD"/>
    <w:rsid w:val="0085481A"/>
    <w:rsid w:val="00854F49"/>
    <w:rsid w:val="00855003"/>
    <w:rsid w:val="00855720"/>
    <w:rsid w:val="00855F94"/>
    <w:rsid w:val="00856201"/>
    <w:rsid w:val="00856236"/>
    <w:rsid w:val="00857045"/>
    <w:rsid w:val="00857378"/>
    <w:rsid w:val="00857935"/>
    <w:rsid w:val="008579B0"/>
    <w:rsid w:val="00860AD9"/>
    <w:rsid w:val="008610B9"/>
    <w:rsid w:val="00861868"/>
    <w:rsid w:val="00861AA9"/>
    <w:rsid w:val="00861B31"/>
    <w:rsid w:val="00861E1B"/>
    <w:rsid w:val="008620FD"/>
    <w:rsid w:val="0086210E"/>
    <w:rsid w:val="00862506"/>
    <w:rsid w:val="008625F5"/>
    <w:rsid w:val="008633AC"/>
    <w:rsid w:val="00863EBB"/>
    <w:rsid w:val="0086478D"/>
    <w:rsid w:val="00864EE9"/>
    <w:rsid w:val="00865A98"/>
    <w:rsid w:val="0086653C"/>
    <w:rsid w:val="00866CDE"/>
    <w:rsid w:val="00866ECA"/>
    <w:rsid w:val="008674E8"/>
    <w:rsid w:val="0086775D"/>
    <w:rsid w:val="0086775E"/>
    <w:rsid w:val="00867E06"/>
    <w:rsid w:val="00870A68"/>
    <w:rsid w:val="00871269"/>
    <w:rsid w:val="008712BB"/>
    <w:rsid w:val="008717DA"/>
    <w:rsid w:val="00871DBC"/>
    <w:rsid w:val="00872340"/>
    <w:rsid w:val="00872801"/>
    <w:rsid w:val="008729AB"/>
    <w:rsid w:val="00872DB3"/>
    <w:rsid w:val="00872F68"/>
    <w:rsid w:val="008730F2"/>
    <w:rsid w:val="008733FA"/>
    <w:rsid w:val="00873C05"/>
    <w:rsid w:val="00873C95"/>
    <w:rsid w:val="00873ECC"/>
    <w:rsid w:val="00873FE6"/>
    <w:rsid w:val="00874226"/>
    <w:rsid w:val="0087454F"/>
    <w:rsid w:val="00874F26"/>
    <w:rsid w:val="00874FB1"/>
    <w:rsid w:val="008750F6"/>
    <w:rsid w:val="00875EF8"/>
    <w:rsid w:val="00876C7D"/>
    <w:rsid w:val="00876CC3"/>
    <w:rsid w:val="00876F80"/>
    <w:rsid w:val="00877BD6"/>
    <w:rsid w:val="008808F1"/>
    <w:rsid w:val="00880A44"/>
    <w:rsid w:val="00880B5D"/>
    <w:rsid w:val="00880B67"/>
    <w:rsid w:val="00880C88"/>
    <w:rsid w:val="00880CB2"/>
    <w:rsid w:val="00881334"/>
    <w:rsid w:val="008816FA"/>
    <w:rsid w:val="008827A9"/>
    <w:rsid w:val="00882AAD"/>
    <w:rsid w:val="00883C6B"/>
    <w:rsid w:val="00884007"/>
    <w:rsid w:val="0088436E"/>
    <w:rsid w:val="00884A47"/>
    <w:rsid w:val="00884FBB"/>
    <w:rsid w:val="00885A61"/>
    <w:rsid w:val="00885C71"/>
    <w:rsid w:val="00885D15"/>
    <w:rsid w:val="00885E9E"/>
    <w:rsid w:val="00886643"/>
    <w:rsid w:val="00886875"/>
    <w:rsid w:val="008868CF"/>
    <w:rsid w:val="008869B6"/>
    <w:rsid w:val="00886C4E"/>
    <w:rsid w:val="00886CCA"/>
    <w:rsid w:val="00886D6A"/>
    <w:rsid w:val="0088781C"/>
    <w:rsid w:val="0088789D"/>
    <w:rsid w:val="00887BAC"/>
    <w:rsid w:val="00890197"/>
    <w:rsid w:val="00890271"/>
    <w:rsid w:val="008902B4"/>
    <w:rsid w:val="00890C80"/>
    <w:rsid w:val="0089139F"/>
    <w:rsid w:val="00891EAA"/>
    <w:rsid w:val="008928E7"/>
    <w:rsid w:val="00893252"/>
    <w:rsid w:val="008938D9"/>
    <w:rsid w:val="00893AB8"/>
    <w:rsid w:val="00894214"/>
    <w:rsid w:val="0089421B"/>
    <w:rsid w:val="00894741"/>
    <w:rsid w:val="008952EE"/>
    <w:rsid w:val="00895675"/>
    <w:rsid w:val="00895ADE"/>
    <w:rsid w:val="00895BAF"/>
    <w:rsid w:val="00895D17"/>
    <w:rsid w:val="00896188"/>
    <w:rsid w:val="00896263"/>
    <w:rsid w:val="00896432"/>
    <w:rsid w:val="008967CD"/>
    <w:rsid w:val="00897503"/>
    <w:rsid w:val="00897A3A"/>
    <w:rsid w:val="00897C2F"/>
    <w:rsid w:val="00897ED7"/>
    <w:rsid w:val="008A1428"/>
    <w:rsid w:val="008A18D4"/>
    <w:rsid w:val="008A1AD3"/>
    <w:rsid w:val="008A1E09"/>
    <w:rsid w:val="008A23F7"/>
    <w:rsid w:val="008A249A"/>
    <w:rsid w:val="008A2523"/>
    <w:rsid w:val="008A2952"/>
    <w:rsid w:val="008A2A6A"/>
    <w:rsid w:val="008A2DB7"/>
    <w:rsid w:val="008A388D"/>
    <w:rsid w:val="008A42E6"/>
    <w:rsid w:val="008A4D6F"/>
    <w:rsid w:val="008A4D96"/>
    <w:rsid w:val="008A4DCC"/>
    <w:rsid w:val="008A508A"/>
    <w:rsid w:val="008A52A6"/>
    <w:rsid w:val="008A56EA"/>
    <w:rsid w:val="008A636D"/>
    <w:rsid w:val="008A6BCB"/>
    <w:rsid w:val="008A7630"/>
    <w:rsid w:val="008A7735"/>
    <w:rsid w:val="008A7D92"/>
    <w:rsid w:val="008B06DA"/>
    <w:rsid w:val="008B0B9D"/>
    <w:rsid w:val="008B0C1D"/>
    <w:rsid w:val="008B1843"/>
    <w:rsid w:val="008B188F"/>
    <w:rsid w:val="008B19C8"/>
    <w:rsid w:val="008B1AC4"/>
    <w:rsid w:val="008B23C4"/>
    <w:rsid w:val="008B354F"/>
    <w:rsid w:val="008B38B7"/>
    <w:rsid w:val="008B3A6F"/>
    <w:rsid w:val="008B402A"/>
    <w:rsid w:val="008B40C9"/>
    <w:rsid w:val="008B4363"/>
    <w:rsid w:val="008B4740"/>
    <w:rsid w:val="008B47DA"/>
    <w:rsid w:val="008B5D44"/>
    <w:rsid w:val="008B5FF1"/>
    <w:rsid w:val="008B601A"/>
    <w:rsid w:val="008B620B"/>
    <w:rsid w:val="008B6348"/>
    <w:rsid w:val="008B670C"/>
    <w:rsid w:val="008B695C"/>
    <w:rsid w:val="008B6DF3"/>
    <w:rsid w:val="008B73E0"/>
    <w:rsid w:val="008B760F"/>
    <w:rsid w:val="008B7897"/>
    <w:rsid w:val="008B795B"/>
    <w:rsid w:val="008B7C9E"/>
    <w:rsid w:val="008C041C"/>
    <w:rsid w:val="008C06D5"/>
    <w:rsid w:val="008C10B1"/>
    <w:rsid w:val="008C1342"/>
    <w:rsid w:val="008C1DCF"/>
    <w:rsid w:val="008C2857"/>
    <w:rsid w:val="008C2966"/>
    <w:rsid w:val="008C2A77"/>
    <w:rsid w:val="008C2B17"/>
    <w:rsid w:val="008C319E"/>
    <w:rsid w:val="008C4180"/>
    <w:rsid w:val="008C4371"/>
    <w:rsid w:val="008C4678"/>
    <w:rsid w:val="008C4EA7"/>
    <w:rsid w:val="008C5E46"/>
    <w:rsid w:val="008C63D0"/>
    <w:rsid w:val="008C6F04"/>
    <w:rsid w:val="008D03E2"/>
    <w:rsid w:val="008D1236"/>
    <w:rsid w:val="008D1510"/>
    <w:rsid w:val="008D1579"/>
    <w:rsid w:val="008D1746"/>
    <w:rsid w:val="008D1952"/>
    <w:rsid w:val="008D1E09"/>
    <w:rsid w:val="008D2CDC"/>
    <w:rsid w:val="008D2DBF"/>
    <w:rsid w:val="008D34B8"/>
    <w:rsid w:val="008D37D7"/>
    <w:rsid w:val="008D3D61"/>
    <w:rsid w:val="008D41BF"/>
    <w:rsid w:val="008D4C13"/>
    <w:rsid w:val="008D4FB5"/>
    <w:rsid w:val="008D5018"/>
    <w:rsid w:val="008D5A33"/>
    <w:rsid w:val="008D606B"/>
    <w:rsid w:val="008D619D"/>
    <w:rsid w:val="008D6B66"/>
    <w:rsid w:val="008D6B6F"/>
    <w:rsid w:val="008D6FD7"/>
    <w:rsid w:val="008D730F"/>
    <w:rsid w:val="008E11A7"/>
    <w:rsid w:val="008E1814"/>
    <w:rsid w:val="008E1CD2"/>
    <w:rsid w:val="008E22A2"/>
    <w:rsid w:val="008E2A39"/>
    <w:rsid w:val="008E2D8E"/>
    <w:rsid w:val="008E2E34"/>
    <w:rsid w:val="008E33D0"/>
    <w:rsid w:val="008E402E"/>
    <w:rsid w:val="008E46E6"/>
    <w:rsid w:val="008E4A0B"/>
    <w:rsid w:val="008E50F8"/>
    <w:rsid w:val="008E638F"/>
    <w:rsid w:val="008E69E9"/>
    <w:rsid w:val="008E79F6"/>
    <w:rsid w:val="008F015F"/>
    <w:rsid w:val="008F070F"/>
    <w:rsid w:val="008F114D"/>
    <w:rsid w:val="008F1312"/>
    <w:rsid w:val="008F1C81"/>
    <w:rsid w:val="008F25D0"/>
    <w:rsid w:val="008F2A94"/>
    <w:rsid w:val="008F2E34"/>
    <w:rsid w:val="008F2E85"/>
    <w:rsid w:val="008F32C8"/>
    <w:rsid w:val="008F336A"/>
    <w:rsid w:val="008F4697"/>
    <w:rsid w:val="008F500B"/>
    <w:rsid w:val="008F5201"/>
    <w:rsid w:val="008F5893"/>
    <w:rsid w:val="008F5B3A"/>
    <w:rsid w:val="008F5C49"/>
    <w:rsid w:val="008F5D97"/>
    <w:rsid w:val="008F74CD"/>
    <w:rsid w:val="009008D5"/>
    <w:rsid w:val="00901E48"/>
    <w:rsid w:val="00902A59"/>
    <w:rsid w:val="00904667"/>
    <w:rsid w:val="00904AB2"/>
    <w:rsid w:val="00904ABC"/>
    <w:rsid w:val="00904CE2"/>
    <w:rsid w:val="0090557F"/>
    <w:rsid w:val="009057D6"/>
    <w:rsid w:val="00905919"/>
    <w:rsid w:val="00905BD3"/>
    <w:rsid w:val="0090662C"/>
    <w:rsid w:val="00906BBD"/>
    <w:rsid w:val="00906C29"/>
    <w:rsid w:val="00906E8A"/>
    <w:rsid w:val="00907245"/>
    <w:rsid w:val="009106EC"/>
    <w:rsid w:val="009112BA"/>
    <w:rsid w:val="00911BAD"/>
    <w:rsid w:val="00911EC5"/>
    <w:rsid w:val="009128AE"/>
    <w:rsid w:val="009131DB"/>
    <w:rsid w:val="00913474"/>
    <w:rsid w:val="0091348A"/>
    <w:rsid w:val="009139AB"/>
    <w:rsid w:val="00913D56"/>
    <w:rsid w:val="0091483F"/>
    <w:rsid w:val="00914B82"/>
    <w:rsid w:val="00915516"/>
    <w:rsid w:val="00915A97"/>
    <w:rsid w:val="00915B99"/>
    <w:rsid w:val="0091616E"/>
    <w:rsid w:val="00916596"/>
    <w:rsid w:val="0091663C"/>
    <w:rsid w:val="00916B71"/>
    <w:rsid w:val="00916FE8"/>
    <w:rsid w:val="00917E53"/>
    <w:rsid w:val="00920164"/>
    <w:rsid w:val="00920590"/>
    <w:rsid w:val="00920BC3"/>
    <w:rsid w:val="00920EE1"/>
    <w:rsid w:val="00921F41"/>
    <w:rsid w:val="00921FF0"/>
    <w:rsid w:val="009227AF"/>
    <w:rsid w:val="00923170"/>
    <w:rsid w:val="009234A2"/>
    <w:rsid w:val="0092364D"/>
    <w:rsid w:val="009239E5"/>
    <w:rsid w:val="00924B6C"/>
    <w:rsid w:val="00925238"/>
    <w:rsid w:val="00925311"/>
    <w:rsid w:val="0092571B"/>
    <w:rsid w:val="0092608B"/>
    <w:rsid w:val="00927957"/>
    <w:rsid w:val="0093008E"/>
    <w:rsid w:val="009300C2"/>
    <w:rsid w:val="00930214"/>
    <w:rsid w:val="0093051B"/>
    <w:rsid w:val="00930588"/>
    <w:rsid w:val="00930EA0"/>
    <w:rsid w:val="00931275"/>
    <w:rsid w:val="00931A2B"/>
    <w:rsid w:val="00931D73"/>
    <w:rsid w:val="009326C3"/>
    <w:rsid w:val="0093276A"/>
    <w:rsid w:val="0093276B"/>
    <w:rsid w:val="00932E37"/>
    <w:rsid w:val="009331E6"/>
    <w:rsid w:val="00933203"/>
    <w:rsid w:val="0093371F"/>
    <w:rsid w:val="00933846"/>
    <w:rsid w:val="00933DDA"/>
    <w:rsid w:val="009363A3"/>
    <w:rsid w:val="009368BB"/>
    <w:rsid w:val="00936968"/>
    <w:rsid w:val="00936E73"/>
    <w:rsid w:val="00937234"/>
    <w:rsid w:val="009375EA"/>
    <w:rsid w:val="00937691"/>
    <w:rsid w:val="00937756"/>
    <w:rsid w:val="00937951"/>
    <w:rsid w:val="00937997"/>
    <w:rsid w:val="00937CC4"/>
    <w:rsid w:val="00937FFE"/>
    <w:rsid w:val="0094029C"/>
    <w:rsid w:val="009402AF"/>
    <w:rsid w:val="009402BB"/>
    <w:rsid w:val="00940AF4"/>
    <w:rsid w:val="009415D5"/>
    <w:rsid w:val="009415FF"/>
    <w:rsid w:val="009417D5"/>
    <w:rsid w:val="0094189B"/>
    <w:rsid w:val="00941EA9"/>
    <w:rsid w:val="009426DE"/>
    <w:rsid w:val="0094283F"/>
    <w:rsid w:val="00943021"/>
    <w:rsid w:val="00943D86"/>
    <w:rsid w:val="00944491"/>
    <w:rsid w:val="009446E9"/>
    <w:rsid w:val="00944990"/>
    <w:rsid w:val="00944E7E"/>
    <w:rsid w:val="00945246"/>
    <w:rsid w:val="009452FA"/>
    <w:rsid w:val="00945868"/>
    <w:rsid w:val="009458C3"/>
    <w:rsid w:val="00946195"/>
    <w:rsid w:val="009461F6"/>
    <w:rsid w:val="0094625C"/>
    <w:rsid w:val="009462D1"/>
    <w:rsid w:val="009465BE"/>
    <w:rsid w:val="0094736C"/>
    <w:rsid w:val="009478E6"/>
    <w:rsid w:val="00947C7B"/>
    <w:rsid w:val="00947E03"/>
    <w:rsid w:val="00947E14"/>
    <w:rsid w:val="009502D0"/>
    <w:rsid w:val="00950344"/>
    <w:rsid w:val="009504AB"/>
    <w:rsid w:val="0095067A"/>
    <w:rsid w:val="00950D3A"/>
    <w:rsid w:val="0095204E"/>
    <w:rsid w:val="009521FF"/>
    <w:rsid w:val="00953689"/>
    <w:rsid w:val="00953C90"/>
    <w:rsid w:val="0095412A"/>
    <w:rsid w:val="00954919"/>
    <w:rsid w:val="00954941"/>
    <w:rsid w:val="009549E6"/>
    <w:rsid w:val="0095577E"/>
    <w:rsid w:val="009557BC"/>
    <w:rsid w:val="00955B12"/>
    <w:rsid w:val="00955E84"/>
    <w:rsid w:val="009565B6"/>
    <w:rsid w:val="00956D1D"/>
    <w:rsid w:val="00957118"/>
    <w:rsid w:val="0095728C"/>
    <w:rsid w:val="009577B2"/>
    <w:rsid w:val="00960323"/>
    <w:rsid w:val="009603A6"/>
    <w:rsid w:val="0096099C"/>
    <w:rsid w:val="00960FA1"/>
    <w:rsid w:val="00961761"/>
    <w:rsid w:val="0096194B"/>
    <w:rsid w:val="00961D45"/>
    <w:rsid w:val="00962C22"/>
    <w:rsid w:val="0096343F"/>
    <w:rsid w:val="00963AD1"/>
    <w:rsid w:val="00964697"/>
    <w:rsid w:val="0096484F"/>
    <w:rsid w:val="00964921"/>
    <w:rsid w:val="009650BE"/>
    <w:rsid w:val="009655AF"/>
    <w:rsid w:val="00966639"/>
    <w:rsid w:val="0096667A"/>
    <w:rsid w:val="0096674E"/>
    <w:rsid w:val="00966D09"/>
    <w:rsid w:val="00966D2F"/>
    <w:rsid w:val="00967404"/>
    <w:rsid w:val="00967F32"/>
    <w:rsid w:val="00970B4E"/>
    <w:rsid w:val="00970D7A"/>
    <w:rsid w:val="00970EB9"/>
    <w:rsid w:val="00971310"/>
    <w:rsid w:val="00971327"/>
    <w:rsid w:val="00971D1B"/>
    <w:rsid w:val="00972376"/>
    <w:rsid w:val="009730BF"/>
    <w:rsid w:val="00973D4C"/>
    <w:rsid w:val="00973E9D"/>
    <w:rsid w:val="0097496B"/>
    <w:rsid w:val="009756B7"/>
    <w:rsid w:val="00975748"/>
    <w:rsid w:val="00975AA8"/>
    <w:rsid w:val="009760B1"/>
    <w:rsid w:val="0097622B"/>
    <w:rsid w:val="0097635A"/>
    <w:rsid w:val="0097694A"/>
    <w:rsid w:val="00976C41"/>
    <w:rsid w:val="0097713D"/>
    <w:rsid w:val="00977908"/>
    <w:rsid w:val="00977A69"/>
    <w:rsid w:val="0098169D"/>
    <w:rsid w:val="00982C81"/>
    <w:rsid w:val="00982E20"/>
    <w:rsid w:val="00983761"/>
    <w:rsid w:val="00983DF8"/>
    <w:rsid w:val="00984008"/>
    <w:rsid w:val="009841FF"/>
    <w:rsid w:val="009847E1"/>
    <w:rsid w:val="00984CF0"/>
    <w:rsid w:val="00985240"/>
    <w:rsid w:val="009859A7"/>
    <w:rsid w:val="00985AA3"/>
    <w:rsid w:val="00986454"/>
    <w:rsid w:val="009864CB"/>
    <w:rsid w:val="00986689"/>
    <w:rsid w:val="00986CAA"/>
    <w:rsid w:val="0098717B"/>
    <w:rsid w:val="00987992"/>
    <w:rsid w:val="00987F72"/>
    <w:rsid w:val="00990041"/>
    <w:rsid w:val="0099025C"/>
    <w:rsid w:val="00990925"/>
    <w:rsid w:val="009915CE"/>
    <w:rsid w:val="00991DFE"/>
    <w:rsid w:val="00991EE8"/>
    <w:rsid w:val="00992E7C"/>
    <w:rsid w:val="00992EC5"/>
    <w:rsid w:val="0099380D"/>
    <w:rsid w:val="009939CE"/>
    <w:rsid w:val="00993B62"/>
    <w:rsid w:val="00993D4F"/>
    <w:rsid w:val="00993D96"/>
    <w:rsid w:val="0099491C"/>
    <w:rsid w:val="009954CF"/>
    <w:rsid w:val="009957F6"/>
    <w:rsid w:val="00996125"/>
    <w:rsid w:val="00996155"/>
    <w:rsid w:val="00996B23"/>
    <w:rsid w:val="00997715"/>
    <w:rsid w:val="00997790"/>
    <w:rsid w:val="00997914"/>
    <w:rsid w:val="009A0262"/>
    <w:rsid w:val="009A079A"/>
    <w:rsid w:val="009A0DC1"/>
    <w:rsid w:val="009A0E60"/>
    <w:rsid w:val="009A1010"/>
    <w:rsid w:val="009A1CE5"/>
    <w:rsid w:val="009A1ED3"/>
    <w:rsid w:val="009A2358"/>
    <w:rsid w:val="009A282C"/>
    <w:rsid w:val="009A2F2A"/>
    <w:rsid w:val="009A2F32"/>
    <w:rsid w:val="009A3240"/>
    <w:rsid w:val="009A3884"/>
    <w:rsid w:val="009A3A34"/>
    <w:rsid w:val="009A3E76"/>
    <w:rsid w:val="009A41DB"/>
    <w:rsid w:val="009A44A6"/>
    <w:rsid w:val="009A45E4"/>
    <w:rsid w:val="009A4F81"/>
    <w:rsid w:val="009A551C"/>
    <w:rsid w:val="009A62D1"/>
    <w:rsid w:val="009A6BC3"/>
    <w:rsid w:val="009A6C07"/>
    <w:rsid w:val="009A6EAB"/>
    <w:rsid w:val="009A6FA1"/>
    <w:rsid w:val="009A7A4C"/>
    <w:rsid w:val="009A7F60"/>
    <w:rsid w:val="009B0BC6"/>
    <w:rsid w:val="009B0C60"/>
    <w:rsid w:val="009B0CE6"/>
    <w:rsid w:val="009B1071"/>
    <w:rsid w:val="009B1551"/>
    <w:rsid w:val="009B18ED"/>
    <w:rsid w:val="009B2F36"/>
    <w:rsid w:val="009B328B"/>
    <w:rsid w:val="009B33B9"/>
    <w:rsid w:val="009B3458"/>
    <w:rsid w:val="009B35BF"/>
    <w:rsid w:val="009B3637"/>
    <w:rsid w:val="009B369E"/>
    <w:rsid w:val="009B42E7"/>
    <w:rsid w:val="009B4539"/>
    <w:rsid w:val="009B4898"/>
    <w:rsid w:val="009B4E63"/>
    <w:rsid w:val="009B5896"/>
    <w:rsid w:val="009B5E94"/>
    <w:rsid w:val="009B6230"/>
    <w:rsid w:val="009B70BA"/>
    <w:rsid w:val="009B72C5"/>
    <w:rsid w:val="009C0400"/>
    <w:rsid w:val="009C0917"/>
    <w:rsid w:val="009C0A78"/>
    <w:rsid w:val="009C0CC9"/>
    <w:rsid w:val="009C18E5"/>
    <w:rsid w:val="009C1B22"/>
    <w:rsid w:val="009C2428"/>
    <w:rsid w:val="009C2493"/>
    <w:rsid w:val="009C25E9"/>
    <w:rsid w:val="009C2DCF"/>
    <w:rsid w:val="009C2FD7"/>
    <w:rsid w:val="009C2FF3"/>
    <w:rsid w:val="009C311B"/>
    <w:rsid w:val="009C3816"/>
    <w:rsid w:val="009C410C"/>
    <w:rsid w:val="009C411B"/>
    <w:rsid w:val="009C4583"/>
    <w:rsid w:val="009C47B0"/>
    <w:rsid w:val="009C49BF"/>
    <w:rsid w:val="009C4B7B"/>
    <w:rsid w:val="009C4C28"/>
    <w:rsid w:val="009C54DC"/>
    <w:rsid w:val="009C55AF"/>
    <w:rsid w:val="009C5A05"/>
    <w:rsid w:val="009C6209"/>
    <w:rsid w:val="009C67C3"/>
    <w:rsid w:val="009C6873"/>
    <w:rsid w:val="009C6A26"/>
    <w:rsid w:val="009C6CAE"/>
    <w:rsid w:val="009C6D6E"/>
    <w:rsid w:val="009C7363"/>
    <w:rsid w:val="009C73C8"/>
    <w:rsid w:val="009D000B"/>
    <w:rsid w:val="009D00BC"/>
    <w:rsid w:val="009D07E3"/>
    <w:rsid w:val="009D0BF2"/>
    <w:rsid w:val="009D0C13"/>
    <w:rsid w:val="009D0F68"/>
    <w:rsid w:val="009D120B"/>
    <w:rsid w:val="009D18BC"/>
    <w:rsid w:val="009D19D6"/>
    <w:rsid w:val="009D1CBD"/>
    <w:rsid w:val="009D2397"/>
    <w:rsid w:val="009D264B"/>
    <w:rsid w:val="009D3127"/>
    <w:rsid w:val="009D3D43"/>
    <w:rsid w:val="009D3FCA"/>
    <w:rsid w:val="009D415D"/>
    <w:rsid w:val="009D45C5"/>
    <w:rsid w:val="009D4A9E"/>
    <w:rsid w:val="009D5399"/>
    <w:rsid w:val="009D606F"/>
    <w:rsid w:val="009D6F01"/>
    <w:rsid w:val="009D710E"/>
    <w:rsid w:val="009D7D4D"/>
    <w:rsid w:val="009D7EC4"/>
    <w:rsid w:val="009E040A"/>
    <w:rsid w:val="009E0B4E"/>
    <w:rsid w:val="009E1210"/>
    <w:rsid w:val="009E1D77"/>
    <w:rsid w:val="009E21EA"/>
    <w:rsid w:val="009E268F"/>
    <w:rsid w:val="009E269F"/>
    <w:rsid w:val="009E2BFC"/>
    <w:rsid w:val="009E3038"/>
    <w:rsid w:val="009E3AB3"/>
    <w:rsid w:val="009E47DE"/>
    <w:rsid w:val="009E4BF6"/>
    <w:rsid w:val="009E501E"/>
    <w:rsid w:val="009E5040"/>
    <w:rsid w:val="009E5D43"/>
    <w:rsid w:val="009E5F5E"/>
    <w:rsid w:val="009E60C8"/>
    <w:rsid w:val="009E6A01"/>
    <w:rsid w:val="009E6FAD"/>
    <w:rsid w:val="009F0285"/>
    <w:rsid w:val="009F06DB"/>
    <w:rsid w:val="009F07E7"/>
    <w:rsid w:val="009F09EE"/>
    <w:rsid w:val="009F0EF8"/>
    <w:rsid w:val="009F12D4"/>
    <w:rsid w:val="009F17E1"/>
    <w:rsid w:val="009F2132"/>
    <w:rsid w:val="009F39A5"/>
    <w:rsid w:val="009F3CE8"/>
    <w:rsid w:val="009F4DE8"/>
    <w:rsid w:val="009F5445"/>
    <w:rsid w:val="009F614E"/>
    <w:rsid w:val="009F6439"/>
    <w:rsid w:val="009F694B"/>
    <w:rsid w:val="009F794E"/>
    <w:rsid w:val="009F7E4E"/>
    <w:rsid w:val="00A00172"/>
    <w:rsid w:val="00A0064C"/>
    <w:rsid w:val="00A01858"/>
    <w:rsid w:val="00A01CAC"/>
    <w:rsid w:val="00A024D6"/>
    <w:rsid w:val="00A04249"/>
    <w:rsid w:val="00A043B6"/>
    <w:rsid w:val="00A049E0"/>
    <w:rsid w:val="00A04BB3"/>
    <w:rsid w:val="00A04CEF"/>
    <w:rsid w:val="00A04D89"/>
    <w:rsid w:val="00A05E82"/>
    <w:rsid w:val="00A06D86"/>
    <w:rsid w:val="00A078FB"/>
    <w:rsid w:val="00A07AE7"/>
    <w:rsid w:val="00A07D2C"/>
    <w:rsid w:val="00A10122"/>
    <w:rsid w:val="00A104C5"/>
    <w:rsid w:val="00A105EE"/>
    <w:rsid w:val="00A10620"/>
    <w:rsid w:val="00A1188D"/>
    <w:rsid w:val="00A12176"/>
    <w:rsid w:val="00A121F9"/>
    <w:rsid w:val="00A12EE3"/>
    <w:rsid w:val="00A131DC"/>
    <w:rsid w:val="00A134F0"/>
    <w:rsid w:val="00A13C5F"/>
    <w:rsid w:val="00A13D17"/>
    <w:rsid w:val="00A13F9E"/>
    <w:rsid w:val="00A1461A"/>
    <w:rsid w:val="00A151CF"/>
    <w:rsid w:val="00A153BE"/>
    <w:rsid w:val="00A154E0"/>
    <w:rsid w:val="00A1554C"/>
    <w:rsid w:val="00A15A4E"/>
    <w:rsid w:val="00A15F56"/>
    <w:rsid w:val="00A15FC2"/>
    <w:rsid w:val="00A1613A"/>
    <w:rsid w:val="00A1670D"/>
    <w:rsid w:val="00A170F3"/>
    <w:rsid w:val="00A1718E"/>
    <w:rsid w:val="00A20297"/>
    <w:rsid w:val="00A2120E"/>
    <w:rsid w:val="00A21295"/>
    <w:rsid w:val="00A217B1"/>
    <w:rsid w:val="00A2187B"/>
    <w:rsid w:val="00A219BE"/>
    <w:rsid w:val="00A219C4"/>
    <w:rsid w:val="00A21C77"/>
    <w:rsid w:val="00A21D31"/>
    <w:rsid w:val="00A22AB5"/>
    <w:rsid w:val="00A23225"/>
    <w:rsid w:val="00A237B2"/>
    <w:rsid w:val="00A23B81"/>
    <w:rsid w:val="00A241B1"/>
    <w:rsid w:val="00A24702"/>
    <w:rsid w:val="00A25998"/>
    <w:rsid w:val="00A25D72"/>
    <w:rsid w:val="00A2653F"/>
    <w:rsid w:val="00A26564"/>
    <w:rsid w:val="00A2671B"/>
    <w:rsid w:val="00A269D9"/>
    <w:rsid w:val="00A26B31"/>
    <w:rsid w:val="00A26DE0"/>
    <w:rsid w:val="00A26FA8"/>
    <w:rsid w:val="00A274E6"/>
    <w:rsid w:val="00A275E8"/>
    <w:rsid w:val="00A27668"/>
    <w:rsid w:val="00A27E67"/>
    <w:rsid w:val="00A30269"/>
    <w:rsid w:val="00A3079E"/>
    <w:rsid w:val="00A314EB"/>
    <w:rsid w:val="00A32413"/>
    <w:rsid w:val="00A3262D"/>
    <w:rsid w:val="00A3275A"/>
    <w:rsid w:val="00A32905"/>
    <w:rsid w:val="00A32FB7"/>
    <w:rsid w:val="00A3315C"/>
    <w:rsid w:val="00A331F9"/>
    <w:rsid w:val="00A33235"/>
    <w:rsid w:val="00A339C2"/>
    <w:rsid w:val="00A33BC4"/>
    <w:rsid w:val="00A34762"/>
    <w:rsid w:val="00A35440"/>
    <w:rsid w:val="00A35DD9"/>
    <w:rsid w:val="00A36429"/>
    <w:rsid w:val="00A3645A"/>
    <w:rsid w:val="00A36A94"/>
    <w:rsid w:val="00A36BFD"/>
    <w:rsid w:val="00A373A2"/>
    <w:rsid w:val="00A4027C"/>
    <w:rsid w:val="00A417AD"/>
    <w:rsid w:val="00A41A44"/>
    <w:rsid w:val="00A424B4"/>
    <w:rsid w:val="00A429D9"/>
    <w:rsid w:val="00A42FF1"/>
    <w:rsid w:val="00A43052"/>
    <w:rsid w:val="00A43814"/>
    <w:rsid w:val="00A44285"/>
    <w:rsid w:val="00A442CA"/>
    <w:rsid w:val="00A44417"/>
    <w:rsid w:val="00A4445D"/>
    <w:rsid w:val="00A44795"/>
    <w:rsid w:val="00A45824"/>
    <w:rsid w:val="00A45D8D"/>
    <w:rsid w:val="00A45E3B"/>
    <w:rsid w:val="00A460DC"/>
    <w:rsid w:val="00A464C0"/>
    <w:rsid w:val="00A4661F"/>
    <w:rsid w:val="00A46AFC"/>
    <w:rsid w:val="00A46D7E"/>
    <w:rsid w:val="00A47241"/>
    <w:rsid w:val="00A472AA"/>
    <w:rsid w:val="00A4742B"/>
    <w:rsid w:val="00A47762"/>
    <w:rsid w:val="00A47CF4"/>
    <w:rsid w:val="00A506C8"/>
    <w:rsid w:val="00A50B17"/>
    <w:rsid w:val="00A50E17"/>
    <w:rsid w:val="00A51092"/>
    <w:rsid w:val="00A51626"/>
    <w:rsid w:val="00A516AA"/>
    <w:rsid w:val="00A51B28"/>
    <w:rsid w:val="00A52355"/>
    <w:rsid w:val="00A523C2"/>
    <w:rsid w:val="00A53546"/>
    <w:rsid w:val="00A54198"/>
    <w:rsid w:val="00A54465"/>
    <w:rsid w:val="00A54D64"/>
    <w:rsid w:val="00A55C6E"/>
    <w:rsid w:val="00A55EC9"/>
    <w:rsid w:val="00A56C2C"/>
    <w:rsid w:val="00A56C39"/>
    <w:rsid w:val="00A56CDC"/>
    <w:rsid w:val="00A57D98"/>
    <w:rsid w:val="00A600CC"/>
    <w:rsid w:val="00A60A5B"/>
    <w:rsid w:val="00A613D2"/>
    <w:rsid w:val="00A61768"/>
    <w:rsid w:val="00A619F6"/>
    <w:rsid w:val="00A61EC3"/>
    <w:rsid w:val="00A61F18"/>
    <w:rsid w:val="00A61F49"/>
    <w:rsid w:val="00A6250B"/>
    <w:rsid w:val="00A625E2"/>
    <w:rsid w:val="00A626BB"/>
    <w:rsid w:val="00A62EE2"/>
    <w:rsid w:val="00A62F20"/>
    <w:rsid w:val="00A6300D"/>
    <w:rsid w:val="00A6375F"/>
    <w:rsid w:val="00A6394C"/>
    <w:rsid w:val="00A639C0"/>
    <w:rsid w:val="00A63F87"/>
    <w:rsid w:val="00A644E2"/>
    <w:rsid w:val="00A64764"/>
    <w:rsid w:val="00A648FE"/>
    <w:rsid w:val="00A649BF"/>
    <w:rsid w:val="00A65414"/>
    <w:rsid w:val="00A65804"/>
    <w:rsid w:val="00A65838"/>
    <w:rsid w:val="00A67010"/>
    <w:rsid w:val="00A671B6"/>
    <w:rsid w:val="00A67376"/>
    <w:rsid w:val="00A705EF"/>
    <w:rsid w:val="00A707A1"/>
    <w:rsid w:val="00A70E33"/>
    <w:rsid w:val="00A71DD3"/>
    <w:rsid w:val="00A71EF1"/>
    <w:rsid w:val="00A72073"/>
    <w:rsid w:val="00A7291A"/>
    <w:rsid w:val="00A73572"/>
    <w:rsid w:val="00A73850"/>
    <w:rsid w:val="00A73D3F"/>
    <w:rsid w:val="00A745E9"/>
    <w:rsid w:val="00A7491A"/>
    <w:rsid w:val="00A74DB9"/>
    <w:rsid w:val="00A7631F"/>
    <w:rsid w:val="00A76AD3"/>
    <w:rsid w:val="00A76F97"/>
    <w:rsid w:val="00A777D4"/>
    <w:rsid w:val="00A77991"/>
    <w:rsid w:val="00A77BFB"/>
    <w:rsid w:val="00A807E1"/>
    <w:rsid w:val="00A8101E"/>
    <w:rsid w:val="00A81894"/>
    <w:rsid w:val="00A81DF1"/>
    <w:rsid w:val="00A822F7"/>
    <w:rsid w:val="00A827A4"/>
    <w:rsid w:val="00A8311B"/>
    <w:rsid w:val="00A83120"/>
    <w:rsid w:val="00A833BD"/>
    <w:rsid w:val="00A83491"/>
    <w:rsid w:val="00A83718"/>
    <w:rsid w:val="00A839C0"/>
    <w:rsid w:val="00A84E58"/>
    <w:rsid w:val="00A853CF"/>
    <w:rsid w:val="00A85471"/>
    <w:rsid w:val="00A85A4E"/>
    <w:rsid w:val="00A85DD5"/>
    <w:rsid w:val="00A85F44"/>
    <w:rsid w:val="00A86195"/>
    <w:rsid w:val="00A8674A"/>
    <w:rsid w:val="00A86933"/>
    <w:rsid w:val="00A86DFA"/>
    <w:rsid w:val="00A86F2B"/>
    <w:rsid w:val="00A871F6"/>
    <w:rsid w:val="00A90295"/>
    <w:rsid w:val="00A903E5"/>
    <w:rsid w:val="00A9078E"/>
    <w:rsid w:val="00A9079F"/>
    <w:rsid w:val="00A907BC"/>
    <w:rsid w:val="00A91DCC"/>
    <w:rsid w:val="00A9277E"/>
    <w:rsid w:val="00A93C80"/>
    <w:rsid w:val="00A94024"/>
    <w:rsid w:val="00A9431D"/>
    <w:rsid w:val="00A952C0"/>
    <w:rsid w:val="00A953CF"/>
    <w:rsid w:val="00A95653"/>
    <w:rsid w:val="00A957FB"/>
    <w:rsid w:val="00A9651A"/>
    <w:rsid w:val="00A9698C"/>
    <w:rsid w:val="00A96E0F"/>
    <w:rsid w:val="00A96F26"/>
    <w:rsid w:val="00A97742"/>
    <w:rsid w:val="00A97F8C"/>
    <w:rsid w:val="00AA0451"/>
    <w:rsid w:val="00AA0684"/>
    <w:rsid w:val="00AA0804"/>
    <w:rsid w:val="00AA0927"/>
    <w:rsid w:val="00AA0A2F"/>
    <w:rsid w:val="00AA1265"/>
    <w:rsid w:val="00AA1941"/>
    <w:rsid w:val="00AA1DD5"/>
    <w:rsid w:val="00AA2073"/>
    <w:rsid w:val="00AA2348"/>
    <w:rsid w:val="00AA2420"/>
    <w:rsid w:val="00AA34D8"/>
    <w:rsid w:val="00AA35EB"/>
    <w:rsid w:val="00AA3792"/>
    <w:rsid w:val="00AA3F34"/>
    <w:rsid w:val="00AA3FCD"/>
    <w:rsid w:val="00AA47D1"/>
    <w:rsid w:val="00AA4B41"/>
    <w:rsid w:val="00AA5808"/>
    <w:rsid w:val="00AA590E"/>
    <w:rsid w:val="00AA5DB8"/>
    <w:rsid w:val="00AA63ED"/>
    <w:rsid w:val="00AA6E2C"/>
    <w:rsid w:val="00AA7BC8"/>
    <w:rsid w:val="00AB005E"/>
    <w:rsid w:val="00AB0573"/>
    <w:rsid w:val="00AB059B"/>
    <w:rsid w:val="00AB0A21"/>
    <w:rsid w:val="00AB0C45"/>
    <w:rsid w:val="00AB0E7A"/>
    <w:rsid w:val="00AB1838"/>
    <w:rsid w:val="00AB1A59"/>
    <w:rsid w:val="00AB1C5C"/>
    <w:rsid w:val="00AB2530"/>
    <w:rsid w:val="00AB28F0"/>
    <w:rsid w:val="00AB29A8"/>
    <w:rsid w:val="00AB29E9"/>
    <w:rsid w:val="00AB2BB1"/>
    <w:rsid w:val="00AB3382"/>
    <w:rsid w:val="00AB34C7"/>
    <w:rsid w:val="00AB3945"/>
    <w:rsid w:val="00AB4504"/>
    <w:rsid w:val="00AB45B5"/>
    <w:rsid w:val="00AB4942"/>
    <w:rsid w:val="00AB512B"/>
    <w:rsid w:val="00AB5D46"/>
    <w:rsid w:val="00AB5EE4"/>
    <w:rsid w:val="00AB688D"/>
    <w:rsid w:val="00AB6B6E"/>
    <w:rsid w:val="00AC0219"/>
    <w:rsid w:val="00AC1777"/>
    <w:rsid w:val="00AC1F40"/>
    <w:rsid w:val="00AC3243"/>
    <w:rsid w:val="00AC342A"/>
    <w:rsid w:val="00AC3915"/>
    <w:rsid w:val="00AC3D83"/>
    <w:rsid w:val="00AC416A"/>
    <w:rsid w:val="00AC452A"/>
    <w:rsid w:val="00AC52C5"/>
    <w:rsid w:val="00AC5339"/>
    <w:rsid w:val="00AC5451"/>
    <w:rsid w:val="00AC5738"/>
    <w:rsid w:val="00AC5789"/>
    <w:rsid w:val="00AC589B"/>
    <w:rsid w:val="00AC5C74"/>
    <w:rsid w:val="00AC6063"/>
    <w:rsid w:val="00AC6360"/>
    <w:rsid w:val="00AC72C0"/>
    <w:rsid w:val="00AD0396"/>
    <w:rsid w:val="00AD0B74"/>
    <w:rsid w:val="00AD0CD6"/>
    <w:rsid w:val="00AD1528"/>
    <w:rsid w:val="00AD1951"/>
    <w:rsid w:val="00AD2E43"/>
    <w:rsid w:val="00AD3902"/>
    <w:rsid w:val="00AD3969"/>
    <w:rsid w:val="00AD3C0F"/>
    <w:rsid w:val="00AD428B"/>
    <w:rsid w:val="00AD4CB8"/>
    <w:rsid w:val="00AD4E9F"/>
    <w:rsid w:val="00AD55FB"/>
    <w:rsid w:val="00AD564C"/>
    <w:rsid w:val="00AD5EE2"/>
    <w:rsid w:val="00AD6D79"/>
    <w:rsid w:val="00AD6E9C"/>
    <w:rsid w:val="00AD7218"/>
    <w:rsid w:val="00AD7E80"/>
    <w:rsid w:val="00AE043D"/>
    <w:rsid w:val="00AE0E94"/>
    <w:rsid w:val="00AE1389"/>
    <w:rsid w:val="00AE15DF"/>
    <w:rsid w:val="00AE1A76"/>
    <w:rsid w:val="00AE22F3"/>
    <w:rsid w:val="00AE2979"/>
    <w:rsid w:val="00AE2A48"/>
    <w:rsid w:val="00AE35CE"/>
    <w:rsid w:val="00AE381D"/>
    <w:rsid w:val="00AE3B0F"/>
    <w:rsid w:val="00AE3D78"/>
    <w:rsid w:val="00AE3F51"/>
    <w:rsid w:val="00AE418A"/>
    <w:rsid w:val="00AE480E"/>
    <w:rsid w:val="00AE5019"/>
    <w:rsid w:val="00AE599E"/>
    <w:rsid w:val="00AE5C16"/>
    <w:rsid w:val="00AE5E68"/>
    <w:rsid w:val="00AE62A5"/>
    <w:rsid w:val="00AE699C"/>
    <w:rsid w:val="00AE69BA"/>
    <w:rsid w:val="00AE6BD4"/>
    <w:rsid w:val="00AE702F"/>
    <w:rsid w:val="00AE7695"/>
    <w:rsid w:val="00AE76CC"/>
    <w:rsid w:val="00AF0384"/>
    <w:rsid w:val="00AF0A7F"/>
    <w:rsid w:val="00AF144A"/>
    <w:rsid w:val="00AF1969"/>
    <w:rsid w:val="00AF1F8C"/>
    <w:rsid w:val="00AF2091"/>
    <w:rsid w:val="00AF22D4"/>
    <w:rsid w:val="00AF25C1"/>
    <w:rsid w:val="00AF26B5"/>
    <w:rsid w:val="00AF2987"/>
    <w:rsid w:val="00AF2E05"/>
    <w:rsid w:val="00AF3569"/>
    <w:rsid w:val="00AF3AE3"/>
    <w:rsid w:val="00AF4678"/>
    <w:rsid w:val="00AF4A6E"/>
    <w:rsid w:val="00AF4C01"/>
    <w:rsid w:val="00AF4C96"/>
    <w:rsid w:val="00AF4D23"/>
    <w:rsid w:val="00AF5255"/>
    <w:rsid w:val="00AF5B96"/>
    <w:rsid w:val="00AF5C2E"/>
    <w:rsid w:val="00AF5DF8"/>
    <w:rsid w:val="00AF60F5"/>
    <w:rsid w:val="00AF6C0E"/>
    <w:rsid w:val="00AF6E10"/>
    <w:rsid w:val="00AF7A0F"/>
    <w:rsid w:val="00AF7C21"/>
    <w:rsid w:val="00B0032F"/>
    <w:rsid w:val="00B00CA6"/>
    <w:rsid w:val="00B00F5F"/>
    <w:rsid w:val="00B01095"/>
    <w:rsid w:val="00B0145D"/>
    <w:rsid w:val="00B0147D"/>
    <w:rsid w:val="00B01716"/>
    <w:rsid w:val="00B01D48"/>
    <w:rsid w:val="00B01EC6"/>
    <w:rsid w:val="00B02883"/>
    <w:rsid w:val="00B03894"/>
    <w:rsid w:val="00B03CB2"/>
    <w:rsid w:val="00B0407E"/>
    <w:rsid w:val="00B043DC"/>
    <w:rsid w:val="00B047C6"/>
    <w:rsid w:val="00B051A0"/>
    <w:rsid w:val="00B05EA1"/>
    <w:rsid w:val="00B05FA1"/>
    <w:rsid w:val="00B062DB"/>
    <w:rsid w:val="00B0669D"/>
    <w:rsid w:val="00B068B5"/>
    <w:rsid w:val="00B0698B"/>
    <w:rsid w:val="00B06B66"/>
    <w:rsid w:val="00B071F7"/>
    <w:rsid w:val="00B074A4"/>
    <w:rsid w:val="00B07C69"/>
    <w:rsid w:val="00B07D64"/>
    <w:rsid w:val="00B100C1"/>
    <w:rsid w:val="00B10213"/>
    <w:rsid w:val="00B1038B"/>
    <w:rsid w:val="00B10BBB"/>
    <w:rsid w:val="00B11D9A"/>
    <w:rsid w:val="00B122E1"/>
    <w:rsid w:val="00B1230B"/>
    <w:rsid w:val="00B123A0"/>
    <w:rsid w:val="00B12587"/>
    <w:rsid w:val="00B132D3"/>
    <w:rsid w:val="00B1438A"/>
    <w:rsid w:val="00B14887"/>
    <w:rsid w:val="00B14DEF"/>
    <w:rsid w:val="00B15200"/>
    <w:rsid w:val="00B15496"/>
    <w:rsid w:val="00B15DEF"/>
    <w:rsid w:val="00B16787"/>
    <w:rsid w:val="00B16E35"/>
    <w:rsid w:val="00B2018A"/>
    <w:rsid w:val="00B2048B"/>
    <w:rsid w:val="00B20696"/>
    <w:rsid w:val="00B20A71"/>
    <w:rsid w:val="00B20AE9"/>
    <w:rsid w:val="00B20E16"/>
    <w:rsid w:val="00B21BC8"/>
    <w:rsid w:val="00B21C58"/>
    <w:rsid w:val="00B228C1"/>
    <w:rsid w:val="00B22A01"/>
    <w:rsid w:val="00B22B45"/>
    <w:rsid w:val="00B22BBF"/>
    <w:rsid w:val="00B238BC"/>
    <w:rsid w:val="00B23F5A"/>
    <w:rsid w:val="00B24404"/>
    <w:rsid w:val="00B249C0"/>
    <w:rsid w:val="00B24B5B"/>
    <w:rsid w:val="00B24BE5"/>
    <w:rsid w:val="00B24ED6"/>
    <w:rsid w:val="00B251B1"/>
    <w:rsid w:val="00B27532"/>
    <w:rsid w:val="00B27C56"/>
    <w:rsid w:val="00B27F1B"/>
    <w:rsid w:val="00B3003F"/>
    <w:rsid w:val="00B30218"/>
    <w:rsid w:val="00B30F3C"/>
    <w:rsid w:val="00B311B0"/>
    <w:rsid w:val="00B31E08"/>
    <w:rsid w:val="00B31F80"/>
    <w:rsid w:val="00B32782"/>
    <w:rsid w:val="00B32D3F"/>
    <w:rsid w:val="00B32FDF"/>
    <w:rsid w:val="00B33517"/>
    <w:rsid w:val="00B3399D"/>
    <w:rsid w:val="00B345D3"/>
    <w:rsid w:val="00B348E2"/>
    <w:rsid w:val="00B34BC5"/>
    <w:rsid w:val="00B34F8C"/>
    <w:rsid w:val="00B350EF"/>
    <w:rsid w:val="00B356A0"/>
    <w:rsid w:val="00B35B4B"/>
    <w:rsid w:val="00B35DBC"/>
    <w:rsid w:val="00B36713"/>
    <w:rsid w:val="00B3672E"/>
    <w:rsid w:val="00B36889"/>
    <w:rsid w:val="00B37373"/>
    <w:rsid w:val="00B41230"/>
    <w:rsid w:val="00B41503"/>
    <w:rsid w:val="00B4199F"/>
    <w:rsid w:val="00B41CB2"/>
    <w:rsid w:val="00B41F9D"/>
    <w:rsid w:val="00B42316"/>
    <w:rsid w:val="00B42711"/>
    <w:rsid w:val="00B4297E"/>
    <w:rsid w:val="00B42AEC"/>
    <w:rsid w:val="00B43ACF"/>
    <w:rsid w:val="00B43D43"/>
    <w:rsid w:val="00B447D4"/>
    <w:rsid w:val="00B465FD"/>
    <w:rsid w:val="00B47624"/>
    <w:rsid w:val="00B47F00"/>
    <w:rsid w:val="00B50349"/>
    <w:rsid w:val="00B505B9"/>
    <w:rsid w:val="00B50BBF"/>
    <w:rsid w:val="00B5241D"/>
    <w:rsid w:val="00B52D27"/>
    <w:rsid w:val="00B53007"/>
    <w:rsid w:val="00B5366B"/>
    <w:rsid w:val="00B5386F"/>
    <w:rsid w:val="00B53C23"/>
    <w:rsid w:val="00B53F6F"/>
    <w:rsid w:val="00B540B6"/>
    <w:rsid w:val="00B542C9"/>
    <w:rsid w:val="00B5475E"/>
    <w:rsid w:val="00B5497D"/>
    <w:rsid w:val="00B54EA9"/>
    <w:rsid w:val="00B551C7"/>
    <w:rsid w:val="00B5539C"/>
    <w:rsid w:val="00B5542B"/>
    <w:rsid w:val="00B55824"/>
    <w:rsid w:val="00B563A8"/>
    <w:rsid w:val="00B57250"/>
    <w:rsid w:val="00B572E2"/>
    <w:rsid w:val="00B573E0"/>
    <w:rsid w:val="00B5746B"/>
    <w:rsid w:val="00B57DB2"/>
    <w:rsid w:val="00B60D81"/>
    <w:rsid w:val="00B61702"/>
    <w:rsid w:val="00B61EB8"/>
    <w:rsid w:val="00B626D0"/>
    <w:rsid w:val="00B62D01"/>
    <w:rsid w:val="00B62FC4"/>
    <w:rsid w:val="00B6354D"/>
    <w:rsid w:val="00B6360A"/>
    <w:rsid w:val="00B640A4"/>
    <w:rsid w:val="00B641B2"/>
    <w:rsid w:val="00B64E71"/>
    <w:rsid w:val="00B64FCE"/>
    <w:rsid w:val="00B65590"/>
    <w:rsid w:val="00B661FB"/>
    <w:rsid w:val="00B66279"/>
    <w:rsid w:val="00B66658"/>
    <w:rsid w:val="00B66672"/>
    <w:rsid w:val="00B66D41"/>
    <w:rsid w:val="00B703EC"/>
    <w:rsid w:val="00B70630"/>
    <w:rsid w:val="00B70F95"/>
    <w:rsid w:val="00B715EA"/>
    <w:rsid w:val="00B719BC"/>
    <w:rsid w:val="00B724B0"/>
    <w:rsid w:val="00B7258D"/>
    <w:rsid w:val="00B73267"/>
    <w:rsid w:val="00B73468"/>
    <w:rsid w:val="00B7369D"/>
    <w:rsid w:val="00B73D25"/>
    <w:rsid w:val="00B73E38"/>
    <w:rsid w:val="00B74946"/>
    <w:rsid w:val="00B74B4D"/>
    <w:rsid w:val="00B74CC2"/>
    <w:rsid w:val="00B75457"/>
    <w:rsid w:val="00B756CA"/>
    <w:rsid w:val="00B759C0"/>
    <w:rsid w:val="00B759CA"/>
    <w:rsid w:val="00B75D1D"/>
    <w:rsid w:val="00B75FF0"/>
    <w:rsid w:val="00B76D79"/>
    <w:rsid w:val="00B76E99"/>
    <w:rsid w:val="00B771BA"/>
    <w:rsid w:val="00B77811"/>
    <w:rsid w:val="00B77CD6"/>
    <w:rsid w:val="00B77FB3"/>
    <w:rsid w:val="00B8019C"/>
    <w:rsid w:val="00B802F5"/>
    <w:rsid w:val="00B806E7"/>
    <w:rsid w:val="00B80842"/>
    <w:rsid w:val="00B80902"/>
    <w:rsid w:val="00B809AF"/>
    <w:rsid w:val="00B80EB5"/>
    <w:rsid w:val="00B812A2"/>
    <w:rsid w:val="00B819A4"/>
    <w:rsid w:val="00B822C8"/>
    <w:rsid w:val="00B823DB"/>
    <w:rsid w:val="00B8264D"/>
    <w:rsid w:val="00B82AED"/>
    <w:rsid w:val="00B82F45"/>
    <w:rsid w:val="00B83CAE"/>
    <w:rsid w:val="00B83F0C"/>
    <w:rsid w:val="00B83F54"/>
    <w:rsid w:val="00B8401D"/>
    <w:rsid w:val="00B8511F"/>
    <w:rsid w:val="00B851F0"/>
    <w:rsid w:val="00B85376"/>
    <w:rsid w:val="00B857D2"/>
    <w:rsid w:val="00B8580F"/>
    <w:rsid w:val="00B85BC9"/>
    <w:rsid w:val="00B86111"/>
    <w:rsid w:val="00B8631D"/>
    <w:rsid w:val="00B86747"/>
    <w:rsid w:val="00B86D8C"/>
    <w:rsid w:val="00B875C1"/>
    <w:rsid w:val="00B8794C"/>
    <w:rsid w:val="00B9099D"/>
    <w:rsid w:val="00B90E09"/>
    <w:rsid w:val="00B9127B"/>
    <w:rsid w:val="00B91668"/>
    <w:rsid w:val="00B918BD"/>
    <w:rsid w:val="00B918E0"/>
    <w:rsid w:val="00B92F60"/>
    <w:rsid w:val="00B93DE2"/>
    <w:rsid w:val="00B940FA"/>
    <w:rsid w:val="00B94940"/>
    <w:rsid w:val="00B94971"/>
    <w:rsid w:val="00B951D4"/>
    <w:rsid w:val="00B95EDC"/>
    <w:rsid w:val="00B9619F"/>
    <w:rsid w:val="00B967A9"/>
    <w:rsid w:val="00B969EB"/>
    <w:rsid w:val="00B96CCF"/>
    <w:rsid w:val="00B96F48"/>
    <w:rsid w:val="00B975EE"/>
    <w:rsid w:val="00B97714"/>
    <w:rsid w:val="00B97D83"/>
    <w:rsid w:val="00BA0299"/>
    <w:rsid w:val="00BA0EB4"/>
    <w:rsid w:val="00BA10C9"/>
    <w:rsid w:val="00BA1612"/>
    <w:rsid w:val="00BA1634"/>
    <w:rsid w:val="00BA1E7A"/>
    <w:rsid w:val="00BA201D"/>
    <w:rsid w:val="00BA21FD"/>
    <w:rsid w:val="00BA2C7A"/>
    <w:rsid w:val="00BA3064"/>
    <w:rsid w:val="00BA30C6"/>
    <w:rsid w:val="00BA3215"/>
    <w:rsid w:val="00BA3351"/>
    <w:rsid w:val="00BA4337"/>
    <w:rsid w:val="00BA43B0"/>
    <w:rsid w:val="00BA4EAB"/>
    <w:rsid w:val="00BA537A"/>
    <w:rsid w:val="00BA5480"/>
    <w:rsid w:val="00BA5CB3"/>
    <w:rsid w:val="00BA61DF"/>
    <w:rsid w:val="00BA6CA4"/>
    <w:rsid w:val="00BA6EB8"/>
    <w:rsid w:val="00BA7102"/>
    <w:rsid w:val="00BA7385"/>
    <w:rsid w:val="00BB0747"/>
    <w:rsid w:val="00BB0BF3"/>
    <w:rsid w:val="00BB163F"/>
    <w:rsid w:val="00BB1722"/>
    <w:rsid w:val="00BB1A3C"/>
    <w:rsid w:val="00BB1C02"/>
    <w:rsid w:val="00BB22E4"/>
    <w:rsid w:val="00BB2A36"/>
    <w:rsid w:val="00BB3021"/>
    <w:rsid w:val="00BB3825"/>
    <w:rsid w:val="00BB383B"/>
    <w:rsid w:val="00BB394B"/>
    <w:rsid w:val="00BB4074"/>
    <w:rsid w:val="00BB43F7"/>
    <w:rsid w:val="00BB46FA"/>
    <w:rsid w:val="00BB5380"/>
    <w:rsid w:val="00BB56BE"/>
    <w:rsid w:val="00BB598D"/>
    <w:rsid w:val="00BB6FA9"/>
    <w:rsid w:val="00BB7703"/>
    <w:rsid w:val="00BB7FD7"/>
    <w:rsid w:val="00BC0087"/>
    <w:rsid w:val="00BC0327"/>
    <w:rsid w:val="00BC05F9"/>
    <w:rsid w:val="00BC06C1"/>
    <w:rsid w:val="00BC0797"/>
    <w:rsid w:val="00BC10AB"/>
    <w:rsid w:val="00BC18DC"/>
    <w:rsid w:val="00BC194B"/>
    <w:rsid w:val="00BC1B07"/>
    <w:rsid w:val="00BC2A35"/>
    <w:rsid w:val="00BC2E60"/>
    <w:rsid w:val="00BC2F8E"/>
    <w:rsid w:val="00BC320E"/>
    <w:rsid w:val="00BC47A6"/>
    <w:rsid w:val="00BC4C28"/>
    <w:rsid w:val="00BC511F"/>
    <w:rsid w:val="00BC52F1"/>
    <w:rsid w:val="00BC584A"/>
    <w:rsid w:val="00BC6C8B"/>
    <w:rsid w:val="00BC6D0A"/>
    <w:rsid w:val="00BC7656"/>
    <w:rsid w:val="00BC77AC"/>
    <w:rsid w:val="00BC7905"/>
    <w:rsid w:val="00BC7A32"/>
    <w:rsid w:val="00BC7B97"/>
    <w:rsid w:val="00BD0452"/>
    <w:rsid w:val="00BD0957"/>
    <w:rsid w:val="00BD0AE6"/>
    <w:rsid w:val="00BD0FB1"/>
    <w:rsid w:val="00BD116A"/>
    <w:rsid w:val="00BD125B"/>
    <w:rsid w:val="00BD1B29"/>
    <w:rsid w:val="00BD1F1A"/>
    <w:rsid w:val="00BD22DE"/>
    <w:rsid w:val="00BD2AC7"/>
    <w:rsid w:val="00BD2B63"/>
    <w:rsid w:val="00BD2BED"/>
    <w:rsid w:val="00BD2E37"/>
    <w:rsid w:val="00BD3899"/>
    <w:rsid w:val="00BD3A86"/>
    <w:rsid w:val="00BD41C5"/>
    <w:rsid w:val="00BD43EB"/>
    <w:rsid w:val="00BD4518"/>
    <w:rsid w:val="00BD4585"/>
    <w:rsid w:val="00BD45DF"/>
    <w:rsid w:val="00BD4F41"/>
    <w:rsid w:val="00BD4F48"/>
    <w:rsid w:val="00BD584A"/>
    <w:rsid w:val="00BD5F06"/>
    <w:rsid w:val="00BD5F89"/>
    <w:rsid w:val="00BD63D8"/>
    <w:rsid w:val="00BD7033"/>
    <w:rsid w:val="00BD716B"/>
    <w:rsid w:val="00BE011F"/>
    <w:rsid w:val="00BE0513"/>
    <w:rsid w:val="00BE0873"/>
    <w:rsid w:val="00BE09DE"/>
    <w:rsid w:val="00BE0E55"/>
    <w:rsid w:val="00BE14C4"/>
    <w:rsid w:val="00BE2085"/>
    <w:rsid w:val="00BE285A"/>
    <w:rsid w:val="00BE2DD6"/>
    <w:rsid w:val="00BE2E66"/>
    <w:rsid w:val="00BE3C79"/>
    <w:rsid w:val="00BE508B"/>
    <w:rsid w:val="00BE58D8"/>
    <w:rsid w:val="00BE5B60"/>
    <w:rsid w:val="00BE5D98"/>
    <w:rsid w:val="00BE71D3"/>
    <w:rsid w:val="00BE7904"/>
    <w:rsid w:val="00BE7DF1"/>
    <w:rsid w:val="00BE7E6B"/>
    <w:rsid w:val="00BF01C4"/>
    <w:rsid w:val="00BF058B"/>
    <w:rsid w:val="00BF13DF"/>
    <w:rsid w:val="00BF217A"/>
    <w:rsid w:val="00BF248D"/>
    <w:rsid w:val="00BF2592"/>
    <w:rsid w:val="00BF2DE6"/>
    <w:rsid w:val="00BF2F6A"/>
    <w:rsid w:val="00BF2F70"/>
    <w:rsid w:val="00BF2FCF"/>
    <w:rsid w:val="00BF30DB"/>
    <w:rsid w:val="00BF3666"/>
    <w:rsid w:val="00BF3EBD"/>
    <w:rsid w:val="00BF4CF6"/>
    <w:rsid w:val="00BF4F42"/>
    <w:rsid w:val="00BF550A"/>
    <w:rsid w:val="00BF56C1"/>
    <w:rsid w:val="00BF59EA"/>
    <w:rsid w:val="00BF63B5"/>
    <w:rsid w:val="00BF6907"/>
    <w:rsid w:val="00BF6A96"/>
    <w:rsid w:val="00BF71B3"/>
    <w:rsid w:val="00BF79D7"/>
    <w:rsid w:val="00BF7A44"/>
    <w:rsid w:val="00BF7AD0"/>
    <w:rsid w:val="00C005C7"/>
    <w:rsid w:val="00C009E8"/>
    <w:rsid w:val="00C00A3A"/>
    <w:rsid w:val="00C00DA7"/>
    <w:rsid w:val="00C00DDF"/>
    <w:rsid w:val="00C01377"/>
    <w:rsid w:val="00C01473"/>
    <w:rsid w:val="00C01800"/>
    <w:rsid w:val="00C01A57"/>
    <w:rsid w:val="00C020F1"/>
    <w:rsid w:val="00C0297C"/>
    <w:rsid w:val="00C02F76"/>
    <w:rsid w:val="00C03593"/>
    <w:rsid w:val="00C03710"/>
    <w:rsid w:val="00C037B2"/>
    <w:rsid w:val="00C03B3A"/>
    <w:rsid w:val="00C03F25"/>
    <w:rsid w:val="00C03F71"/>
    <w:rsid w:val="00C03FF1"/>
    <w:rsid w:val="00C04381"/>
    <w:rsid w:val="00C04388"/>
    <w:rsid w:val="00C04C61"/>
    <w:rsid w:val="00C053B6"/>
    <w:rsid w:val="00C054A5"/>
    <w:rsid w:val="00C0558C"/>
    <w:rsid w:val="00C05620"/>
    <w:rsid w:val="00C05958"/>
    <w:rsid w:val="00C072CB"/>
    <w:rsid w:val="00C075C7"/>
    <w:rsid w:val="00C07656"/>
    <w:rsid w:val="00C078A4"/>
    <w:rsid w:val="00C07E03"/>
    <w:rsid w:val="00C07E33"/>
    <w:rsid w:val="00C10794"/>
    <w:rsid w:val="00C10951"/>
    <w:rsid w:val="00C10EDE"/>
    <w:rsid w:val="00C11C12"/>
    <w:rsid w:val="00C12033"/>
    <w:rsid w:val="00C12262"/>
    <w:rsid w:val="00C123CF"/>
    <w:rsid w:val="00C124C1"/>
    <w:rsid w:val="00C1288B"/>
    <w:rsid w:val="00C12D65"/>
    <w:rsid w:val="00C13597"/>
    <w:rsid w:val="00C13602"/>
    <w:rsid w:val="00C13C6D"/>
    <w:rsid w:val="00C1402C"/>
    <w:rsid w:val="00C1408C"/>
    <w:rsid w:val="00C1453A"/>
    <w:rsid w:val="00C15160"/>
    <w:rsid w:val="00C152DD"/>
    <w:rsid w:val="00C154C9"/>
    <w:rsid w:val="00C1554C"/>
    <w:rsid w:val="00C15A0F"/>
    <w:rsid w:val="00C15AC1"/>
    <w:rsid w:val="00C15C3C"/>
    <w:rsid w:val="00C16C1F"/>
    <w:rsid w:val="00C16FE0"/>
    <w:rsid w:val="00C17C3D"/>
    <w:rsid w:val="00C17EC2"/>
    <w:rsid w:val="00C2032B"/>
    <w:rsid w:val="00C20387"/>
    <w:rsid w:val="00C207A9"/>
    <w:rsid w:val="00C20ECF"/>
    <w:rsid w:val="00C210FE"/>
    <w:rsid w:val="00C211D5"/>
    <w:rsid w:val="00C21ABA"/>
    <w:rsid w:val="00C21BE6"/>
    <w:rsid w:val="00C21D58"/>
    <w:rsid w:val="00C21E9E"/>
    <w:rsid w:val="00C21EFC"/>
    <w:rsid w:val="00C22180"/>
    <w:rsid w:val="00C227F9"/>
    <w:rsid w:val="00C231E0"/>
    <w:rsid w:val="00C2361F"/>
    <w:rsid w:val="00C23BB6"/>
    <w:rsid w:val="00C23D7F"/>
    <w:rsid w:val="00C23DF0"/>
    <w:rsid w:val="00C2444E"/>
    <w:rsid w:val="00C24793"/>
    <w:rsid w:val="00C247DE"/>
    <w:rsid w:val="00C24BF5"/>
    <w:rsid w:val="00C252BB"/>
    <w:rsid w:val="00C25428"/>
    <w:rsid w:val="00C2561C"/>
    <w:rsid w:val="00C2587D"/>
    <w:rsid w:val="00C25BCF"/>
    <w:rsid w:val="00C25D09"/>
    <w:rsid w:val="00C25E32"/>
    <w:rsid w:val="00C26BD9"/>
    <w:rsid w:val="00C2704F"/>
    <w:rsid w:val="00C27673"/>
    <w:rsid w:val="00C30091"/>
    <w:rsid w:val="00C30117"/>
    <w:rsid w:val="00C3163C"/>
    <w:rsid w:val="00C31CA3"/>
    <w:rsid w:val="00C31EC8"/>
    <w:rsid w:val="00C32567"/>
    <w:rsid w:val="00C327B1"/>
    <w:rsid w:val="00C32E1B"/>
    <w:rsid w:val="00C32ED8"/>
    <w:rsid w:val="00C3317D"/>
    <w:rsid w:val="00C33ACD"/>
    <w:rsid w:val="00C33B7A"/>
    <w:rsid w:val="00C340A6"/>
    <w:rsid w:val="00C342C7"/>
    <w:rsid w:val="00C343A0"/>
    <w:rsid w:val="00C34827"/>
    <w:rsid w:val="00C352C5"/>
    <w:rsid w:val="00C35796"/>
    <w:rsid w:val="00C35D5E"/>
    <w:rsid w:val="00C37EBF"/>
    <w:rsid w:val="00C4041E"/>
    <w:rsid w:val="00C40571"/>
    <w:rsid w:val="00C4114D"/>
    <w:rsid w:val="00C41462"/>
    <w:rsid w:val="00C41AC9"/>
    <w:rsid w:val="00C421D2"/>
    <w:rsid w:val="00C42BF9"/>
    <w:rsid w:val="00C43EE4"/>
    <w:rsid w:val="00C44035"/>
    <w:rsid w:val="00C440BB"/>
    <w:rsid w:val="00C442CD"/>
    <w:rsid w:val="00C447C4"/>
    <w:rsid w:val="00C447E4"/>
    <w:rsid w:val="00C44B42"/>
    <w:rsid w:val="00C453BB"/>
    <w:rsid w:val="00C454EE"/>
    <w:rsid w:val="00C45BF2"/>
    <w:rsid w:val="00C45D35"/>
    <w:rsid w:val="00C466CD"/>
    <w:rsid w:val="00C46DCB"/>
    <w:rsid w:val="00C4702E"/>
    <w:rsid w:val="00C4751D"/>
    <w:rsid w:val="00C47929"/>
    <w:rsid w:val="00C47A4F"/>
    <w:rsid w:val="00C47A96"/>
    <w:rsid w:val="00C47C0B"/>
    <w:rsid w:val="00C500F0"/>
    <w:rsid w:val="00C50322"/>
    <w:rsid w:val="00C50DA8"/>
    <w:rsid w:val="00C50DB4"/>
    <w:rsid w:val="00C50F98"/>
    <w:rsid w:val="00C51787"/>
    <w:rsid w:val="00C51D34"/>
    <w:rsid w:val="00C51FA3"/>
    <w:rsid w:val="00C520D4"/>
    <w:rsid w:val="00C5255B"/>
    <w:rsid w:val="00C52639"/>
    <w:rsid w:val="00C53669"/>
    <w:rsid w:val="00C537CE"/>
    <w:rsid w:val="00C54299"/>
    <w:rsid w:val="00C54314"/>
    <w:rsid w:val="00C543AD"/>
    <w:rsid w:val="00C54519"/>
    <w:rsid w:val="00C54919"/>
    <w:rsid w:val="00C55645"/>
    <w:rsid w:val="00C5645C"/>
    <w:rsid w:val="00C57520"/>
    <w:rsid w:val="00C577F4"/>
    <w:rsid w:val="00C578A6"/>
    <w:rsid w:val="00C57A98"/>
    <w:rsid w:val="00C60876"/>
    <w:rsid w:val="00C615B6"/>
    <w:rsid w:val="00C61EFA"/>
    <w:rsid w:val="00C6231E"/>
    <w:rsid w:val="00C6296F"/>
    <w:rsid w:val="00C62BA4"/>
    <w:rsid w:val="00C62CC7"/>
    <w:rsid w:val="00C64165"/>
    <w:rsid w:val="00C64552"/>
    <w:rsid w:val="00C6519F"/>
    <w:rsid w:val="00C65879"/>
    <w:rsid w:val="00C661A7"/>
    <w:rsid w:val="00C66252"/>
    <w:rsid w:val="00C666B0"/>
    <w:rsid w:val="00C66E4A"/>
    <w:rsid w:val="00C67080"/>
    <w:rsid w:val="00C675B1"/>
    <w:rsid w:val="00C6788A"/>
    <w:rsid w:val="00C70BE9"/>
    <w:rsid w:val="00C70D3C"/>
    <w:rsid w:val="00C7112A"/>
    <w:rsid w:val="00C71142"/>
    <w:rsid w:val="00C711C3"/>
    <w:rsid w:val="00C715EA"/>
    <w:rsid w:val="00C7176F"/>
    <w:rsid w:val="00C71932"/>
    <w:rsid w:val="00C71CED"/>
    <w:rsid w:val="00C721A1"/>
    <w:rsid w:val="00C727E4"/>
    <w:rsid w:val="00C72BB2"/>
    <w:rsid w:val="00C72CE7"/>
    <w:rsid w:val="00C735A5"/>
    <w:rsid w:val="00C74D4B"/>
    <w:rsid w:val="00C75B24"/>
    <w:rsid w:val="00C75B3C"/>
    <w:rsid w:val="00C7637E"/>
    <w:rsid w:val="00C76AB7"/>
    <w:rsid w:val="00C76DBC"/>
    <w:rsid w:val="00C7714B"/>
    <w:rsid w:val="00C77201"/>
    <w:rsid w:val="00C77751"/>
    <w:rsid w:val="00C80DD4"/>
    <w:rsid w:val="00C8133A"/>
    <w:rsid w:val="00C817AF"/>
    <w:rsid w:val="00C8283C"/>
    <w:rsid w:val="00C82AF6"/>
    <w:rsid w:val="00C83539"/>
    <w:rsid w:val="00C836BA"/>
    <w:rsid w:val="00C83A9D"/>
    <w:rsid w:val="00C83BD0"/>
    <w:rsid w:val="00C83EB0"/>
    <w:rsid w:val="00C83F7B"/>
    <w:rsid w:val="00C84191"/>
    <w:rsid w:val="00C84573"/>
    <w:rsid w:val="00C845D4"/>
    <w:rsid w:val="00C846B1"/>
    <w:rsid w:val="00C84791"/>
    <w:rsid w:val="00C85884"/>
    <w:rsid w:val="00C8610A"/>
    <w:rsid w:val="00C86155"/>
    <w:rsid w:val="00C86201"/>
    <w:rsid w:val="00C86401"/>
    <w:rsid w:val="00C86757"/>
    <w:rsid w:val="00C870CD"/>
    <w:rsid w:val="00C87ACE"/>
    <w:rsid w:val="00C87CB7"/>
    <w:rsid w:val="00C87F85"/>
    <w:rsid w:val="00C903DA"/>
    <w:rsid w:val="00C90B48"/>
    <w:rsid w:val="00C91150"/>
    <w:rsid w:val="00C913F4"/>
    <w:rsid w:val="00C915A0"/>
    <w:rsid w:val="00C91A83"/>
    <w:rsid w:val="00C91AA0"/>
    <w:rsid w:val="00C91B78"/>
    <w:rsid w:val="00C91DBB"/>
    <w:rsid w:val="00C924B4"/>
    <w:rsid w:val="00C9250F"/>
    <w:rsid w:val="00C92C0C"/>
    <w:rsid w:val="00C93031"/>
    <w:rsid w:val="00C93090"/>
    <w:rsid w:val="00C93633"/>
    <w:rsid w:val="00C9455E"/>
    <w:rsid w:val="00C945C1"/>
    <w:rsid w:val="00C94CA7"/>
    <w:rsid w:val="00C94F14"/>
    <w:rsid w:val="00C951EA"/>
    <w:rsid w:val="00C952BB"/>
    <w:rsid w:val="00C95C87"/>
    <w:rsid w:val="00C962A7"/>
    <w:rsid w:val="00C96420"/>
    <w:rsid w:val="00C96665"/>
    <w:rsid w:val="00C96A1D"/>
    <w:rsid w:val="00C96D05"/>
    <w:rsid w:val="00C977F2"/>
    <w:rsid w:val="00C978E6"/>
    <w:rsid w:val="00C9792C"/>
    <w:rsid w:val="00C97CD2"/>
    <w:rsid w:val="00CA00E5"/>
    <w:rsid w:val="00CA054F"/>
    <w:rsid w:val="00CA0B1F"/>
    <w:rsid w:val="00CA0F61"/>
    <w:rsid w:val="00CA158F"/>
    <w:rsid w:val="00CA16A8"/>
    <w:rsid w:val="00CA1AAB"/>
    <w:rsid w:val="00CA1FFA"/>
    <w:rsid w:val="00CA2B83"/>
    <w:rsid w:val="00CA320A"/>
    <w:rsid w:val="00CA4493"/>
    <w:rsid w:val="00CA491E"/>
    <w:rsid w:val="00CA4C82"/>
    <w:rsid w:val="00CA4D1D"/>
    <w:rsid w:val="00CA4E3D"/>
    <w:rsid w:val="00CA5102"/>
    <w:rsid w:val="00CA594A"/>
    <w:rsid w:val="00CA59DB"/>
    <w:rsid w:val="00CA6930"/>
    <w:rsid w:val="00CA6A2E"/>
    <w:rsid w:val="00CA6EDB"/>
    <w:rsid w:val="00CA75DF"/>
    <w:rsid w:val="00CA7EC7"/>
    <w:rsid w:val="00CB0012"/>
    <w:rsid w:val="00CB0484"/>
    <w:rsid w:val="00CB07DA"/>
    <w:rsid w:val="00CB0D8D"/>
    <w:rsid w:val="00CB13CC"/>
    <w:rsid w:val="00CB1C62"/>
    <w:rsid w:val="00CB1D51"/>
    <w:rsid w:val="00CB1DE4"/>
    <w:rsid w:val="00CB2224"/>
    <w:rsid w:val="00CB32A4"/>
    <w:rsid w:val="00CB32BB"/>
    <w:rsid w:val="00CB3352"/>
    <w:rsid w:val="00CB38D0"/>
    <w:rsid w:val="00CB3BE7"/>
    <w:rsid w:val="00CB3F40"/>
    <w:rsid w:val="00CB3F98"/>
    <w:rsid w:val="00CB4142"/>
    <w:rsid w:val="00CB428C"/>
    <w:rsid w:val="00CB4396"/>
    <w:rsid w:val="00CB44D1"/>
    <w:rsid w:val="00CB4D08"/>
    <w:rsid w:val="00CB5684"/>
    <w:rsid w:val="00CB5DE4"/>
    <w:rsid w:val="00CB6DF3"/>
    <w:rsid w:val="00CB720F"/>
    <w:rsid w:val="00CB737C"/>
    <w:rsid w:val="00CB7BA8"/>
    <w:rsid w:val="00CC09B2"/>
    <w:rsid w:val="00CC1166"/>
    <w:rsid w:val="00CC15C0"/>
    <w:rsid w:val="00CC17FE"/>
    <w:rsid w:val="00CC19CF"/>
    <w:rsid w:val="00CC1BA7"/>
    <w:rsid w:val="00CC1D26"/>
    <w:rsid w:val="00CC1D5C"/>
    <w:rsid w:val="00CC1F82"/>
    <w:rsid w:val="00CC1FFA"/>
    <w:rsid w:val="00CC3281"/>
    <w:rsid w:val="00CC42EA"/>
    <w:rsid w:val="00CC4A06"/>
    <w:rsid w:val="00CC57C4"/>
    <w:rsid w:val="00CC5929"/>
    <w:rsid w:val="00CC6FDE"/>
    <w:rsid w:val="00CD06C2"/>
    <w:rsid w:val="00CD1E79"/>
    <w:rsid w:val="00CD1FD3"/>
    <w:rsid w:val="00CD2892"/>
    <w:rsid w:val="00CD2C12"/>
    <w:rsid w:val="00CD3262"/>
    <w:rsid w:val="00CD38F4"/>
    <w:rsid w:val="00CD3E67"/>
    <w:rsid w:val="00CD4878"/>
    <w:rsid w:val="00CD4C8C"/>
    <w:rsid w:val="00CD4D9F"/>
    <w:rsid w:val="00CD4DDE"/>
    <w:rsid w:val="00CD4E94"/>
    <w:rsid w:val="00CD501A"/>
    <w:rsid w:val="00CD516A"/>
    <w:rsid w:val="00CD5182"/>
    <w:rsid w:val="00CD5F9D"/>
    <w:rsid w:val="00CD63AE"/>
    <w:rsid w:val="00CD68E0"/>
    <w:rsid w:val="00CD74FF"/>
    <w:rsid w:val="00CE0365"/>
    <w:rsid w:val="00CE04AA"/>
    <w:rsid w:val="00CE1273"/>
    <w:rsid w:val="00CE1822"/>
    <w:rsid w:val="00CE1FEB"/>
    <w:rsid w:val="00CE20D7"/>
    <w:rsid w:val="00CE2A0F"/>
    <w:rsid w:val="00CE312F"/>
    <w:rsid w:val="00CE3D2F"/>
    <w:rsid w:val="00CE4B6A"/>
    <w:rsid w:val="00CE4C50"/>
    <w:rsid w:val="00CE55F7"/>
    <w:rsid w:val="00CE5712"/>
    <w:rsid w:val="00CE5838"/>
    <w:rsid w:val="00CE5998"/>
    <w:rsid w:val="00CE5B5E"/>
    <w:rsid w:val="00CE5D2F"/>
    <w:rsid w:val="00CE6353"/>
    <w:rsid w:val="00CE63A9"/>
    <w:rsid w:val="00CE66F1"/>
    <w:rsid w:val="00CE6D85"/>
    <w:rsid w:val="00CE7762"/>
    <w:rsid w:val="00CE7D10"/>
    <w:rsid w:val="00CF0180"/>
    <w:rsid w:val="00CF065C"/>
    <w:rsid w:val="00CF06BB"/>
    <w:rsid w:val="00CF08E6"/>
    <w:rsid w:val="00CF0A8C"/>
    <w:rsid w:val="00CF0AAB"/>
    <w:rsid w:val="00CF0BC2"/>
    <w:rsid w:val="00CF108B"/>
    <w:rsid w:val="00CF1172"/>
    <w:rsid w:val="00CF165C"/>
    <w:rsid w:val="00CF2CA8"/>
    <w:rsid w:val="00CF2E60"/>
    <w:rsid w:val="00CF33CD"/>
    <w:rsid w:val="00CF3546"/>
    <w:rsid w:val="00CF3648"/>
    <w:rsid w:val="00CF3F49"/>
    <w:rsid w:val="00CF472A"/>
    <w:rsid w:val="00CF5212"/>
    <w:rsid w:val="00CF522B"/>
    <w:rsid w:val="00CF63C1"/>
    <w:rsid w:val="00CF6BCA"/>
    <w:rsid w:val="00CF7065"/>
    <w:rsid w:val="00CF7B01"/>
    <w:rsid w:val="00CF7CBE"/>
    <w:rsid w:val="00D00413"/>
    <w:rsid w:val="00D00714"/>
    <w:rsid w:val="00D00B2B"/>
    <w:rsid w:val="00D01074"/>
    <w:rsid w:val="00D011B6"/>
    <w:rsid w:val="00D0172C"/>
    <w:rsid w:val="00D01927"/>
    <w:rsid w:val="00D01C72"/>
    <w:rsid w:val="00D01C95"/>
    <w:rsid w:val="00D02D40"/>
    <w:rsid w:val="00D02DAD"/>
    <w:rsid w:val="00D04BC7"/>
    <w:rsid w:val="00D055F7"/>
    <w:rsid w:val="00D05754"/>
    <w:rsid w:val="00D058F0"/>
    <w:rsid w:val="00D05DE5"/>
    <w:rsid w:val="00D05EE0"/>
    <w:rsid w:val="00D0605A"/>
    <w:rsid w:val="00D0645D"/>
    <w:rsid w:val="00D067B0"/>
    <w:rsid w:val="00D06A41"/>
    <w:rsid w:val="00D06CDC"/>
    <w:rsid w:val="00D06F85"/>
    <w:rsid w:val="00D0732E"/>
    <w:rsid w:val="00D07E81"/>
    <w:rsid w:val="00D10266"/>
    <w:rsid w:val="00D10EDE"/>
    <w:rsid w:val="00D111D2"/>
    <w:rsid w:val="00D11E49"/>
    <w:rsid w:val="00D12518"/>
    <w:rsid w:val="00D1295E"/>
    <w:rsid w:val="00D12A1E"/>
    <w:rsid w:val="00D12DEC"/>
    <w:rsid w:val="00D1317E"/>
    <w:rsid w:val="00D13CE5"/>
    <w:rsid w:val="00D13D01"/>
    <w:rsid w:val="00D13E94"/>
    <w:rsid w:val="00D13EAF"/>
    <w:rsid w:val="00D13EB6"/>
    <w:rsid w:val="00D1442A"/>
    <w:rsid w:val="00D14813"/>
    <w:rsid w:val="00D14955"/>
    <w:rsid w:val="00D14FF5"/>
    <w:rsid w:val="00D150D1"/>
    <w:rsid w:val="00D15411"/>
    <w:rsid w:val="00D15C86"/>
    <w:rsid w:val="00D1678D"/>
    <w:rsid w:val="00D16F66"/>
    <w:rsid w:val="00D17147"/>
    <w:rsid w:val="00D1798E"/>
    <w:rsid w:val="00D20911"/>
    <w:rsid w:val="00D2095D"/>
    <w:rsid w:val="00D20C76"/>
    <w:rsid w:val="00D20C98"/>
    <w:rsid w:val="00D2141C"/>
    <w:rsid w:val="00D21B94"/>
    <w:rsid w:val="00D21CCD"/>
    <w:rsid w:val="00D21FA1"/>
    <w:rsid w:val="00D221A6"/>
    <w:rsid w:val="00D22351"/>
    <w:rsid w:val="00D225FD"/>
    <w:rsid w:val="00D228E2"/>
    <w:rsid w:val="00D22A3B"/>
    <w:rsid w:val="00D2337E"/>
    <w:rsid w:val="00D233BF"/>
    <w:rsid w:val="00D235D6"/>
    <w:rsid w:val="00D236FA"/>
    <w:rsid w:val="00D23D79"/>
    <w:rsid w:val="00D240F5"/>
    <w:rsid w:val="00D248BA"/>
    <w:rsid w:val="00D249F0"/>
    <w:rsid w:val="00D24EF9"/>
    <w:rsid w:val="00D24FCB"/>
    <w:rsid w:val="00D25282"/>
    <w:rsid w:val="00D258D2"/>
    <w:rsid w:val="00D2606A"/>
    <w:rsid w:val="00D2643E"/>
    <w:rsid w:val="00D2683D"/>
    <w:rsid w:val="00D26A61"/>
    <w:rsid w:val="00D26B96"/>
    <w:rsid w:val="00D27257"/>
    <w:rsid w:val="00D30029"/>
    <w:rsid w:val="00D3028D"/>
    <w:rsid w:val="00D3034E"/>
    <w:rsid w:val="00D3058F"/>
    <w:rsid w:val="00D30AEC"/>
    <w:rsid w:val="00D30BA9"/>
    <w:rsid w:val="00D30ED7"/>
    <w:rsid w:val="00D31113"/>
    <w:rsid w:val="00D318E2"/>
    <w:rsid w:val="00D31EB0"/>
    <w:rsid w:val="00D3208E"/>
    <w:rsid w:val="00D320C9"/>
    <w:rsid w:val="00D32A26"/>
    <w:rsid w:val="00D332A6"/>
    <w:rsid w:val="00D33782"/>
    <w:rsid w:val="00D351A7"/>
    <w:rsid w:val="00D35E39"/>
    <w:rsid w:val="00D368E4"/>
    <w:rsid w:val="00D36BA3"/>
    <w:rsid w:val="00D36F23"/>
    <w:rsid w:val="00D370F5"/>
    <w:rsid w:val="00D3744B"/>
    <w:rsid w:val="00D37519"/>
    <w:rsid w:val="00D4004D"/>
    <w:rsid w:val="00D40A24"/>
    <w:rsid w:val="00D40A58"/>
    <w:rsid w:val="00D40B21"/>
    <w:rsid w:val="00D40BF1"/>
    <w:rsid w:val="00D41C45"/>
    <w:rsid w:val="00D4232F"/>
    <w:rsid w:val="00D42EB1"/>
    <w:rsid w:val="00D42F1B"/>
    <w:rsid w:val="00D4316E"/>
    <w:rsid w:val="00D43D75"/>
    <w:rsid w:val="00D442F1"/>
    <w:rsid w:val="00D447E9"/>
    <w:rsid w:val="00D44D4B"/>
    <w:rsid w:val="00D454E8"/>
    <w:rsid w:val="00D4558A"/>
    <w:rsid w:val="00D456D4"/>
    <w:rsid w:val="00D45898"/>
    <w:rsid w:val="00D45FF3"/>
    <w:rsid w:val="00D46BB9"/>
    <w:rsid w:val="00D46FF9"/>
    <w:rsid w:val="00D47948"/>
    <w:rsid w:val="00D5014B"/>
    <w:rsid w:val="00D5055E"/>
    <w:rsid w:val="00D506F7"/>
    <w:rsid w:val="00D50A67"/>
    <w:rsid w:val="00D50BE9"/>
    <w:rsid w:val="00D50E35"/>
    <w:rsid w:val="00D50FB8"/>
    <w:rsid w:val="00D5172B"/>
    <w:rsid w:val="00D52B57"/>
    <w:rsid w:val="00D52FFB"/>
    <w:rsid w:val="00D53908"/>
    <w:rsid w:val="00D54000"/>
    <w:rsid w:val="00D540F9"/>
    <w:rsid w:val="00D5440E"/>
    <w:rsid w:val="00D5506E"/>
    <w:rsid w:val="00D5538E"/>
    <w:rsid w:val="00D55406"/>
    <w:rsid w:val="00D55824"/>
    <w:rsid w:val="00D55AC1"/>
    <w:rsid w:val="00D5698C"/>
    <w:rsid w:val="00D56EB3"/>
    <w:rsid w:val="00D57253"/>
    <w:rsid w:val="00D57546"/>
    <w:rsid w:val="00D60816"/>
    <w:rsid w:val="00D608D0"/>
    <w:rsid w:val="00D60A1A"/>
    <w:rsid w:val="00D60BE2"/>
    <w:rsid w:val="00D60C79"/>
    <w:rsid w:val="00D616E3"/>
    <w:rsid w:val="00D61854"/>
    <w:rsid w:val="00D62031"/>
    <w:rsid w:val="00D6209F"/>
    <w:rsid w:val="00D6250D"/>
    <w:rsid w:val="00D62D59"/>
    <w:rsid w:val="00D631B5"/>
    <w:rsid w:val="00D64811"/>
    <w:rsid w:val="00D648D4"/>
    <w:rsid w:val="00D64C7E"/>
    <w:rsid w:val="00D64F80"/>
    <w:rsid w:val="00D65B1C"/>
    <w:rsid w:val="00D65D77"/>
    <w:rsid w:val="00D661C0"/>
    <w:rsid w:val="00D66264"/>
    <w:rsid w:val="00D664D0"/>
    <w:rsid w:val="00D67425"/>
    <w:rsid w:val="00D67D31"/>
    <w:rsid w:val="00D67DD0"/>
    <w:rsid w:val="00D703C2"/>
    <w:rsid w:val="00D70426"/>
    <w:rsid w:val="00D70CB1"/>
    <w:rsid w:val="00D7106A"/>
    <w:rsid w:val="00D71285"/>
    <w:rsid w:val="00D718E3"/>
    <w:rsid w:val="00D722DC"/>
    <w:rsid w:val="00D72311"/>
    <w:rsid w:val="00D728FC"/>
    <w:rsid w:val="00D733C5"/>
    <w:rsid w:val="00D73C39"/>
    <w:rsid w:val="00D74384"/>
    <w:rsid w:val="00D74799"/>
    <w:rsid w:val="00D758C1"/>
    <w:rsid w:val="00D75AAB"/>
    <w:rsid w:val="00D75C86"/>
    <w:rsid w:val="00D762EB"/>
    <w:rsid w:val="00D7666E"/>
    <w:rsid w:val="00D77245"/>
    <w:rsid w:val="00D772E1"/>
    <w:rsid w:val="00D7737C"/>
    <w:rsid w:val="00D8065A"/>
    <w:rsid w:val="00D80796"/>
    <w:rsid w:val="00D81A98"/>
    <w:rsid w:val="00D81F83"/>
    <w:rsid w:val="00D82735"/>
    <w:rsid w:val="00D82E5E"/>
    <w:rsid w:val="00D83755"/>
    <w:rsid w:val="00D83DC0"/>
    <w:rsid w:val="00D84397"/>
    <w:rsid w:val="00D84833"/>
    <w:rsid w:val="00D84D92"/>
    <w:rsid w:val="00D84EDC"/>
    <w:rsid w:val="00D857B0"/>
    <w:rsid w:val="00D8588B"/>
    <w:rsid w:val="00D863CC"/>
    <w:rsid w:val="00D867FE"/>
    <w:rsid w:val="00D8769F"/>
    <w:rsid w:val="00D87E13"/>
    <w:rsid w:val="00D87F11"/>
    <w:rsid w:val="00D90CD8"/>
    <w:rsid w:val="00D9138D"/>
    <w:rsid w:val="00D91901"/>
    <w:rsid w:val="00D91D85"/>
    <w:rsid w:val="00D92071"/>
    <w:rsid w:val="00D92C3F"/>
    <w:rsid w:val="00D92E10"/>
    <w:rsid w:val="00D92E5C"/>
    <w:rsid w:val="00D937A1"/>
    <w:rsid w:val="00D9491B"/>
    <w:rsid w:val="00D95129"/>
    <w:rsid w:val="00D953D9"/>
    <w:rsid w:val="00D95C71"/>
    <w:rsid w:val="00D9607D"/>
    <w:rsid w:val="00D96621"/>
    <w:rsid w:val="00D96A24"/>
    <w:rsid w:val="00D96DD0"/>
    <w:rsid w:val="00D97146"/>
    <w:rsid w:val="00D97665"/>
    <w:rsid w:val="00DA00EB"/>
    <w:rsid w:val="00DA015B"/>
    <w:rsid w:val="00DA0412"/>
    <w:rsid w:val="00DA0CB9"/>
    <w:rsid w:val="00DA1119"/>
    <w:rsid w:val="00DA127A"/>
    <w:rsid w:val="00DA1980"/>
    <w:rsid w:val="00DA1F5A"/>
    <w:rsid w:val="00DA26F9"/>
    <w:rsid w:val="00DA2775"/>
    <w:rsid w:val="00DA3064"/>
    <w:rsid w:val="00DA363E"/>
    <w:rsid w:val="00DA37DB"/>
    <w:rsid w:val="00DA4F0F"/>
    <w:rsid w:val="00DA4F1C"/>
    <w:rsid w:val="00DA524D"/>
    <w:rsid w:val="00DA55C9"/>
    <w:rsid w:val="00DA6194"/>
    <w:rsid w:val="00DA639E"/>
    <w:rsid w:val="00DA718F"/>
    <w:rsid w:val="00DA7934"/>
    <w:rsid w:val="00DA7A4B"/>
    <w:rsid w:val="00DA7AAC"/>
    <w:rsid w:val="00DA7FFA"/>
    <w:rsid w:val="00DB00E5"/>
    <w:rsid w:val="00DB02AB"/>
    <w:rsid w:val="00DB0605"/>
    <w:rsid w:val="00DB0B6E"/>
    <w:rsid w:val="00DB1156"/>
    <w:rsid w:val="00DB168A"/>
    <w:rsid w:val="00DB1C43"/>
    <w:rsid w:val="00DB1CD9"/>
    <w:rsid w:val="00DB248A"/>
    <w:rsid w:val="00DB288D"/>
    <w:rsid w:val="00DB2E10"/>
    <w:rsid w:val="00DB3388"/>
    <w:rsid w:val="00DB351F"/>
    <w:rsid w:val="00DB3644"/>
    <w:rsid w:val="00DB419A"/>
    <w:rsid w:val="00DB430A"/>
    <w:rsid w:val="00DB4F26"/>
    <w:rsid w:val="00DB5042"/>
    <w:rsid w:val="00DB5BFB"/>
    <w:rsid w:val="00DB6137"/>
    <w:rsid w:val="00DB669A"/>
    <w:rsid w:val="00DB6FF0"/>
    <w:rsid w:val="00DB71A2"/>
    <w:rsid w:val="00DB7CD7"/>
    <w:rsid w:val="00DC0A77"/>
    <w:rsid w:val="00DC1206"/>
    <w:rsid w:val="00DC1E4F"/>
    <w:rsid w:val="00DC3961"/>
    <w:rsid w:val="00DC3CCE"/>
    <w:rsid w:val="00DC4190"/>
    <w:rsid w:val="00DC4B6B"/>
    <w:rsid w:val="00DC4D53"/>
    <w:rsid w:val="00DC5171"/>
    <w:rsid w:val="00DC5EDC"/>
    <w:rsid w:val="00DC5F59"/>
    <w:rsid w:val="00DC67EA"/>
    <w:rsid w:val="00DC7240"/>
    <w:rsid w:val="00DC7576"/>
    <w:rsid w:val="00DC757A"/>
    <w:rsid w:val="00DC7643"/>
    <w:rsid w:val="00DD05EB"/>
    <w:rsid w:val="00DD0BFC"/>
    <w:rsid w:val="00DD1589"/>
    <w:rsid w:val="00DD1777"/>
    <w:rsid w:val="00DD1AF0"/>
    <w:rsid w:val="00DD1C5C"/>
    <w:rsid w:val="00DD25C8"/>
    <w:rsid w:val="00DD2A15"/>
    <w:rsid w:val="00DD2A29"/>
    <w:rsid w:val="00DD37E8"/>
    <w:rsid w:val="00DD38D0"/>
    <w:rsid w:val="00DD3CB4"/>
    <w:rsid w:val="00DD43CD"/>
    <w:rsid w:val="00DD4986"/>
    <w:rsid w:val="00DD580C"/>
    <w:rsid w:val="00DD5929"/>
    <w:rsid w:val="00DD5947"/>
    <w:rsid w:val="00DD5CCE"/>
    <w:rsid w:val="00DD695E"/>
    <w:rsid w:val="00DD77ED"/>
    <w:rsid w:val="00DE02DD"/>
    <w:rsid w:val="00DE0903"/>
    <w:rsid w:val="00DE0980"/>
    <w:rsid w:val="00DE0D35"/>
    <w:rsid w:val="00DE0E8C"/>
    <w:rsid w:val="00DE0F76"/>
    <w:rsid w:val="00DE16B2"/>
    <w:rsid w:val="00DE1965"/>
    <w:rsid w:val="00DE1B2F"/>
    <w:rsid w:val="00DE1E11"/>
    <w:rsid w:val="00DE24CB"/>
    <w:rsid w:val="00DE3ABC"/>
    <w:rsid w:val="00DE4594"/>
    <w:rsid w:val="00DE5222"/>
    <w:rsid w:val="00DE5845"/>
    <w:rsid w:val="00DE5859"/>
    <w:rsid w:val="00DE60DA"/>
    <w:rsid w:val="00DE60E8"/>
    <w:rsid w:val="00DE631A"/>
    <w:rsid w:val="00DE64F6"/>
    <w:rsid w:val="00DE67C5"/>
    <w:rsid w:val="00DE698D"/>
    <w:rsid w:val="00DE6E67"/>
    <w:rsid w:val="00DE6F56"/>
    <w:rsid w:val="00DE6F63"/>
    <w:rsid w:val="00DE739F"/>
    <w:rsid w:val="00DF0FC7"/>
    <w:rsid w:val="00DF13BF"/>
    <w:rsid w:val="00DF157C"/>
    <w:rsid w:val="00DF2127"/>
    <w:rsid w:val="00DF2700"/>
    <w:rsid w:val="00DF2A39"/>
    <w:rsid w:val="00DF2ACD"/>
    <w:rsid w:val="00DF2B7D"/>
    <w:rsid w:val="00DF2F98"/>
    <w:rsid w:val="00DF2FBF"/>
    <w:rsid w:val="00DF39AF"/>
    <w:rsid w:val="00DF3CB8"/>
    <w:rsid w:val="00DF3FAF"/>
    <w:rsid w:val="00DF45A0"/>
    <w:rsid w:val="00DF529C"/>
    <w:rsid w:val="00DF55E2"/>
    <w:rsid w:val="00DF5667"/>
    <w:rsid w:val="00DF59AC"/>
    <w:rsid w:val="00DF5DE8"/>
    <w:rsid w:val="00DF729C"/>
    <w:rsid w:val="00DF7EE3"/>
    <w:rsid w:val="00E01057"/>
    <w:rsid w:val="00E01326"/>
    <w:rsid w:val="00E01D29"/>
    <w:rsid w:val="00E0211B"/>
    <w:rsid w:val="00E02613"/>
    <w:rsid w:val="00E02BD5"/>
    <w:rsid w:val="00E0366D"/>
    <w:rsid w:val="00E03EA4"/>
    <w:rsid w:val="00E04185"/>
    <w:rsid w:val="00E048D3"/>
    <w:rsid w:val="00E0536F"/>
    <w:rsid w:val="00E05C67"/>
    <w:rsid w:val="00E05F17"/>
    <w:rsid w:val="00E05F86"/>
    <w:rsid w:val="00E06011"/>
    <w:rsid w:val="00E062A6"/>
    <w:rsid w:val="00E072EB"/>
    <w:rsid w:val="00E07EFC"/>
    <w:rsid w:val="00E103E4"/>
    <w:rsid w:val="00E105EE"/>
    <w:rsid w:val="00E10887"/>
    <w:rsid w:val="00E10B79"/>
    <w:rsid w:val="00E10C8B"/>
    <w:rsid w:val="00E10ECD"/>
    <w:rsid w:val="00E112F7"/>
    <w:rsid w:val="00E11392"/>
    <w:rsid w:val="00E1270B"/>
    <w:rsid w:val="00E1280F"/>
    <w:rsid w:val="00E12A7F"/>
    <w:rsid w:val="00E12D10"/>
    <w:rsid w:val="00E13134"/>
    <w:rsid w:val="00E13463"/>
    <w:rsid w:val="00E135A9"/>
    <w:rsid w:val="00E13A1A"/>
    <w:rsid w:val="00E13F45"/>
    <w:rsid w:val="00E14827"/>
    <w:rsid w:val="00E148A5"/>
    <w:rsid w:val="00E14CA0"/>
    <w:rsid w:val="00E15141"/>
    <w:rsid w:val="00E1621C"/>
    <w:rsid w:val="00E1628E"/>
    <w:rsid w:val="00E1679F"/>
    <w:rsid w:val="00E16A0F"/>
    <w:rsid w:val="00E16A41"/>
    <w:rsid w:val="00E16B1C"/>
    <w:rsid w:val="00E173EA"/>
    <w:rsid w:val="00E17FBC"/>
    <w:rsid w:val="00E17FDC"/>
    <w:rsid w:val="00E20A8D"/>
    <w:rsid w:val="00E214CE"/>
    <w:rsid w:val="00E21E0A"/>
    <w:rsid w:val="00E234BB"/>
    <w:rsid w:val="00E23D6B"/>
    <w:rsid w:val="00E25317"/>
    <w:rsid w:val="00E2559A"/>
    <w:rsid w:val="00E25C49"/>
    <w:rsid w:val="00E25CB9"/>
    <w:rsid w:val="00E25ECE"/>
    <w:rsid w:val="00E26599"/>
    <w:rsid w:val="00E265CB"/>
    <w:rsid w:val="00E265F7"/>
    <w:rsid w:val="00E2680C"/>
    <w:rsid w:val="00E275AD"/>
    <w:rsid w:val="00E27B45"/>
    <w:rsid w:val="00E302A4"/>
    <w:rsid w:val="00E30C12"/>
    <w:rsid w:val="00E30E8F"/>
    <w:rsid w:val="00E31921"/>
    <w:rsid w:val="00E31DE8"/>
    <w:rsid w:val="00E31DF7"/>
    <w:rsid w:val="00E31EE7"/>
    <w:rsid w:val="00E31FAE"/>
    <w:rsid w:val="00E32547"/>
    <w:rsid w:val="00E32789"/>
    <w:rsid w:val="00E33274"/>
    <w:rsid w:val="00E33345"/>
    <w:rsid w:val="00E33F40"/>
    <w:rsid w:val="00E34EE6"/>
    <w:rsid w:val="00E35C09"/>
    <w:rsid w:val="00E35D10"/>
    <w:rsid w:val="00E363E5"/>
    <w:rsid w:val="00E36647"/>
    <w:rsid w:val="00E36786"/>
    <w:rsid w:val="00E36FD4"/>
    <w:rsid w:val="00E37595"/>
    <w:rsid w:val="00E40082"/>
    <w:rsid w:val="00E40A1B"/>
    <w:rsid w:val="00E40C83"/>
    <w:rsid w:val="00E40EEB"/>
    <w:rsid w:val="00E42515"/>
    <w:rsid w:val="00E42C5E"/>
    <w:rsid w:val="00E42D07"/>
    <w:rsid w:val="00E44712"/>
    <w:rsid w:val="00E4525F"/>
    <w:rsid w:val="00E45416"/>
    <w:rsid w:val="00E45DC5"/>
    <w:rsid w:val="00E45E97"/>
    <w:rsid w:val="00E45FBF"/>
    <w:rsid w:val="00E47041"/>
    <w:rsid w:val="00E476DB"/>
    <w:rsid w:val="00E47A94"/>
    <w:rsid w:val="00E47D9E"/>
    <w:rsid w:val="00E5024E"/>
    <w:rsid w:val="00E502AD"/>
    <w:rsid w:val="00E5141C"/>
    <w:rsid w:val="00E516E3"/>
    <w:rsid w:val="00E51783"/>
    <w:rsid w:val="00E5244A"/>
    <w:rsid w:val="00E52C0A"/>
    <w:rsid w:val="00E5358C"/>
    <w:rsid w:val="00E537A2"/>
    <w:rsid w:val="00E53FC9"/>
    <w:rsid w:val="00E53FF9"/>
    <w:rsid w:val="00E54269"/>
    <w:rsid w:val="00E543BD"/>
    <w:rsid w:val="00E5519C"/>
    <w:rsid w:val="00E55A42"/>
    <w:rsid w:val="00E55E4C"/>
    <w:rsid w:val="00E56281"/>
    <w:rsid w:val="00E56378"/>
    <w:rsid w:val="00E57666"/>
    <w:rsid w:val="00E578F8"/>
    <w:rsid w:val="00E57CE8"/>
    <w:rsid w:val="00E6020F"/>
    <w:rsid w:val="00E613FA"/>
    <w:rsid w:val="00E61E23"/>
    <w:rsid w:val="00E6200C"/>
    <w:rsid w:val="00E6203B"/>
    <w:rsid w:val="00E6287E"/>
    <w:rsid w:val="00E6300B"/>
    <w:rsid w:val="00E63379"/>
    <w:rsid w:val="00E63E7E"/>
    <w:rsid w:val="00E6416A"/>
    <w:rsid w:val="00E642F4"/>
    <w:rsid w:val="00E6534C"/>
    <w:rsid w:val="00E65C75"/>
    <w:rsid w:val="00E661C5"/>
    <w:rsid w:val="00E66708"/>
    <w:rsid w:val="00E670C7"/>
    <w:rsid w:val="00E671FD"/>
    <w:rsid w:val="00E67237"/>
    <w:rsid w:val="00E6746F"/>
    <w:rsid w:val="00E67A42"/>
    <w:rsid w:val="00E67D2E"/>
    <w:rsid w:val="00E7028C"/>
    <w:rsid w:val="00E71CF6"/>
    <w:rsid w:val="00E722CE"/>
    <w:rsid w:val="00E72531"/>
    <w:rsid w:val="00E7279D"/>
    <w:rsid w:val="00E735C0"/>
    <w:rsid w:val="00E73EDF"/>
    <w:rsid w:val="00E743AA"/>
    <w:rsid w:val="00E74852"/>
    <w:rsid w:val="00E74E88"/>
    <w:rsid w:val="00E75937"/>
    <w:rsid w:val="00E75D0E"/>
    <w:rsid w:val="00E76149"/>
    <w:rsid w:val="00E7620F"/>
    <w:rsid w:val="00E7648B"/>
    <w:rsid w:val="00E76A6D"/>
    <w:rsid w:val="00E76C90"/>
    <w:rsid w:val="00E772BF"/>
    <w:rsid w:val="00E774F5"/>
    <w:rsid w:val="00E77E75"/>
    <w:rsid w:val="00E80311"/>
    <w:rsid w:val="00E80413"/>
    <w:rsid w:val="00E80602"/>
    <w:rsid w:val="00E80626"/>
    <w:rsid w:val="00E807F0"/>
    <w:rsid w:val="00E8123E"/>
    <w:rsid w:val="00E812DA"/>
    <w:rsid w:val="00E813CB"/>
    <w:rsid w:val="00E8180F"/>
    <w:rsid w:val="00E8299B"/>
    <w:rsid w:val="00E82A10"/>
    <w:rsid w:val="00E82DC6"/>
    <w:rsid w:val="00E83528"/>
    <w:rsid w:val="00E844D8"/>
    <w:rsid w:val="00E84784"/>
    <w:rsid w:val="00E84CCD"/>
    <w:rsid w:val="00E86520"/>
    <w:rsid w:val="00E868F5"/>
    <w:rsid w:val="00E86E8B"/>
    <w:rsid w:val="00E8752A"/>
    <w:rsid w:val="00E9016C"/>
    <w:rsid w:val="00E901E1"/>
    <w:rsid w:val="00E90456"/>
    <w:rsid w:val="00E9045E"/>
    <w:rsid w:val="00E9058E"/>
    <w:rsid w:val="00E906B0"/>
    <w:rsid w:val="00E90843"/>
    <w:rsid w:val="00E909B6"/>
    <w:rsid w:val="00E90B49"/>
    <w:rsid w:val="00E9104C"/>
    <w:rsid w:val="00E91E44"/>
    <w:rsid w:val="00E91F11"/>
    <w:rsid w:val="00E92011"/>
    <w:rsid w:val="00E92173"/>
    <w:rsid w:val="00E92709"/>
    <w:rsid w:val="00E92977"/>
    <w:rsid w:val="00E92D20"/>
    <w:rsid w:val="00E92D6F"/>
    <w:rsid w:val="00E93B3A"/>
    <w:rsid w:val="00E9409F"/>
    <w:rsid w:val="00E94577"/>
    <w:rsid w:val="00E94608"/>
    <w:rsid w:val="00E951A2"/>
    <w:rsid w:val="00E964B5"/>
    <w:rsid w:val="00E96D94"/>
    <w:rsid w:val="00E96F4D"/>
    <w:rsid w:val="00E972F3"/>
    <w:rsid w:val="00E978F9"/>
    <w:rsid w:val="00E979DE"/>
    <w:rsid w:val="00E97A42"/>
    <w:rsid w:val="00E97EBE"/>
    <w:rsid w:val="00EA068C"/>
    <w:rsid w:val="00EA0E2E"/>
    <w:rsid w:val="00EA10D2"/>
    <w:rsid w:val="00EA1379"/>
    <w:rsid w:val="00EA151D"/>
    <w:rsid w:val="00EA156A"/>
    <w:rsid w:val="00EA19E3"/>
    <w:rsid w:val="00EA1EA0"/>
    <w:rsid w:val="00EA276D"/>
    <w:rsid w:val="00EA280D"/>
    <w:rsid w:val="00EA290A"/>
    <w:rsid w:val="00EA307B"/>
    <w:rsid w:val="00EA325B"/>
    <w:rsid w:val="00EA35DD"/>
    <w:rsid w:val="00EA39AC"/>
    <w:rsid w:val="00EA3AA2"/>
    <w:rsid w:val="00EA3B38"/>
    <w:rsid w:val="00EA3C6D"/>
    <w:rsid w:val="00EA4DAC"/>
    <w:rsid w:val="00EA5406"/>
    <w:rsid w:val="00EA5C37"/>
    <w:rsid w:val="00EA5EF8"/>
    <w:rsid w:val="00EA703E"/>
    <w:rsid w:val="00EA734F"/>
    <w:rsid w:val="00EA7B26"/>
    <w:rsid w:val="00EA7FA1"/>
    <w:rsid w:val="00EB0B3C"/>
    <w:rsid w:val="00EB0CCC"/>
    <w:rsid w:val="00EB0EA6"/>
    <w:rsid w:val="00EB1B43"/>
    <w:rsid w:val="00EB1F81"/>
    <w:rsid w:val="00EB28D0"/>
    <w:rsid w:val="00EB2A94"/>
    <w:rsid w:val="00EB36A0"/>
    <w:rsid w:val="00EB37CE"/>
    <w:rsid w:val="00EB3CE2"/>
    <w:rsid w:val="00EB3ED5"/>
    <w:rsid w:val="00EB46EF"/>
    <w:rsid w:val="00EB508C"/>
    <w:rsid w:val="00EB52A0"/>
    <w:rsid w:val="00EB538A"/>
    <w:rsid w:val="00EB5684"/>
    <w:rsid w:val="00EB59EA"/>
    <w:rsid w:val="00EB5C86"/>
    <w:rsid w:val="00EB60DD"/>
    <w:rsid w:val="00EB61EF"/>
    <w:rsid w:val="00EB664F"/>
    <w:rsid w:val="00EB677C"/>
    <w:rsid w:val="00EB7104"/>
    <w:rsid w:val="00EB7205"/>
    <w:rsid w:val="00EB7371"/>
    <w:rsid w:val="00EB7ED2"/>
    <w:rsid w:val="00EC0388"/>
    <w:rsid w:val="00EC044F"/>
    <w:rsid w:val="00EC108A"/>
    <w:rsid w:val="00EC1308"/>
    <w:rsid w:val="00EC1D24"/>
    <w:rsid w:val="00EC22F5"/>
    <w:rsid w:val="00EC2364"/>
    <w:rsid w:val="00EC23FC"/>
    <w:rsid w:val="00EC2C21"/>
    <w:rsid w:val="00EC2C42"/>
    <w:rsid w:val="00EC2EF1"/>
    <w:rsid w:val="00EC316F"/>
    <w:rsid w:val="00EC39E8"/>
    <w:rsid w:val="00EC44DA"/>
    <w:rsid w:val="00EC495E"/>
    <w:rsid w:val="00EC50A3"/>
    <w:rsid w:val="00EC5204"/>
    <w:rsid w:val="00EC5834"/>
    <w:rsid w:val="00EC5D52"/>
    <w:rsid w:val="00EC5EDE"/>
    <w:rsid w:val="00EC5F73"/>
    <w:rsid w:val="00EC5F8B"/>
    <w:rsid w:val="00EC6906"/>
    <w:rsid w:val="00EC702E"/>
    <w:rsid w:val="00EC7549"/>
    <w:rsid w:val="00EC79CF"/>
    <w:rsid w:val="00EC7FD1"/>
    <w:rsid w:val="00ED0E1E"/>
    <w:rsid w:val="00ED1668"/>
    <w:rsid w:val="00ED1BF8"/>
    <w:rsid w:val="00ED1D57"/>
    <w:rsid w:val="00ED1D9F"/>
    <w:rsid w:val="00ED1FC4"/>
    <w:rsid w:val="00ED22F3"/>
    <w:rsid w:val="00ED3396"/>
    <w:rsid w:val="00ED3B88"/>
    <w:rsid w:val="00ED3C00"/>
    <w:rsid w:val="00ED3D61"/>
    <w:rsid w:val="00ED3ED7"/>
    <w:rsid w:val="00ED42A6"/>
    <w:rsid w:val="00ED4E96"/>
    <w:rsid w:val="00ED53E1"/>
    <w:rsid w:val="00ED55B4"/>
    <w:rsid w:val="00ED5D00"/>
    <w:rsid w:val="00ED6040"/>
    <w:rsid w:val="00ED60C9"/>
    <w:rsid w:val="00ED64F4"/>
    <w:rsid w:val="00ED6876"/>
    <w:rsid w:val="00ED6980"/>
    <w:rsid w:val="00ED69A3"/>
    <w:rsid w:val="00ED6CFC"/>
    <w:rsid w:val="00ED7191"/>
    <w:rsid w:val="00ED760D"/>
    <w:rsid w:val="00ED7C24"/>
    <w:rsid w:val="00ED7D65"/>
    <w:rsid w:val="00EE0A25"/>
    <w:rsid w:val="00EE0BFA"/>
    <w:rsid w:val="00EE0DC5"/>
    <w:rsid w:val="00EE0F24"/>
    <w:rsid w:val="00EE13E8"/>
    <w:rsid w:val="00EE1CFA"/>
    <w:rsid w:val="00EE1F7A"/>
    <w:rsid w:val="00EE3201"/>
    <w:rsid w:val="00EE3609"/>
    <w:rsid w:val="00EE3C1F"/>
    <w:rsid w:val="00EE3C2A"/>
    <w:rsid w:val="00EE3F0C"/>
    <w:rsid w:val="00EE47F3"/>
    <w:rsid w:val="00EE4F01"/>
    <w:rsid w:val="00EE5553"/>
    <w:rsid w:val="00EE57E0"/>
    <w:rsid w:val="00EE5AC9"/>
    <w:rsid w:val="00EE6930"/>
    <w:rsid w:val="00EE6BE5"/>
    <w:rsid w:val="00EE7263"/>
    <w:rsid w:val="00EF05DA"/>
    <w:rsid w:val="00EF0D4F"/>
    <w:rsid w:val="00EF105D"/>
    <w:rsid w:val="00EF3141"/>
    <w:rsid w:val="00EF33DC"/>
    <w:rsid w:val="00EF3C99"/>
    <w:rsid w:val="00EF45D7"/>
    <w:rsid w:val="00EF47EA"/>
    <w:rsid w:val="00EF484B"/>
    <w:rsid w:val="00EF497F"/>
    <w:rsid w:val="00EF4E01"/>
    <w:rsid w:val="00EF55AD"/>
    <w:rsid w:val="00EF5704"/>
    <w:rsid w:val="00EF6A3C"/>
    <w:rsid w:val="00EF6D3E"/>
    <w:rsid w:val="00F00177"/>
    <w:rsid w:val="00F00826"/>
    <w:rsid w:val="00F00963"/>
    <w:rsid w:val="00F010BC"/>
    <w:rsid w:val="00F01335"/>
    <w:rsid w:val="00F018ED"/>
    <w:rsid w:val="00F01CF6"/>
    <w:rsid w:val="00F021B3"/>
    <w:rsid w:val="00F025C3"/>
    <w:rsid w:val="00F02E3B"/>
    <w:rsid w:val="00F03C53"/>
    <w:rsid w:val="00F042FF"/>
    <w:rsid w:val="00F0635C"/>
    <w:rsid w:val="00F064BB"/>
    <w:rsid w:val="00F06578"/>
    <w:rsid w:val="00F066F4"/>
    <w:rsid w:val="00F0692E"/>
    <w:rsid w:val="00F07227"/>
    <w:rsid w:val="00F07442"/>
    <w:rsid w:val="00F076FC"/>
    <w:rsid w:val="00F07AF5"/>
    <w:rsid w:val="00F07C82"/>
    <w:rsid w:val="00F07CA0"/>
    <w:rsid w:val="00F10076"/>
    <w:rsid w:val="00F1054D"/>
    <w:rsid w:val="00F10B27"/>
    <w:rsid w:val="00F10BF3"/>
    <w:rsid w:val="00F10D89"/>
    <w:rsid w:val="00F111BD"/>
    <w:rsid w:val="00F111D6"/>
    <w:rsid w:val="00F11492"/>
    <w:rsid w:val="00F11683"/>
    <w:rsid w:val="00F11914"/>
    <w:rsid w:val="00F12079"/>
    <w:rsid w:val="00F12434"/>
    <w:rsid w:val="00F12B10"/>
    <w:rsid w:val="00F130A1"/>
    <w:rsid w:val="00F130D4"/>
    <w:rsid w:val="00F13717"/>
    <w:rsid w:val="00F1386A"/>
    <w:rsid w:val="00F13D1C"/>
    <w:rsid w:val="00F13E81"/>
    <w:rsid w:val="00F13EC8"/>
    <w:rsid w:val="00F142D1"/>
    <w:rsid w:val="00F149AD"/>
    <w:rsid w:val="00F14C6A"/>
    <w:rsid w:val="00F15321"/>
    <w:rsid w:val="00F154C7"/>
    <w:rsid w:val="00F1596A"/>
    <w:rsid w:val="00F15F7A"/>
    <w:rsid w:val="00F15FA9"/>
    <w:rsid w:val="00F17AF2"/>
    <w:rsid w:val="00F20CF2"/>
    <w:rsid w:val="00F21635"/>
    <w:rsid w:val="00F21E7B"/>
    <w:rsid w:val="00F21F5E"/>
    <w:rsid w:val="00F22F9E"/>
    <w:rsid w:val="00F2309F"/>
    <w:rsid w:val="00F233B0"/>
    <w:rsid w:val="00F2352A"/>
    <w:rsid w:val="00F23C3E"/>
    <w:rsid w:val="00F249A3"/>
    <w:rsid w:val="00F24F08"/>
    <w:rsid w:val="00F251B6"/>
    <w:rsid w:val="00F2522D"/>
    <w:rsid w:val="00F25498"/>
    <w:rsid w:val="00F25677"/>
    <w:rsid w:val="00F25AF2"/>
    <w:rsid w:val="00F2637A"/>
    <w:rsid w:val="00F2653B"/>
    <w:rsid w:val="00F268E0"/>
    <w:rsid w:val="00F2720F"/>
    <w:rsid w:val="00F27DF7"/>
    <w:rsid w:val="00F3025C"/>
    <w:rsid w:val="00F30905"/>
    <w:rsid w:val="00F30CAC"/>
    <w:rsid w:val="00F30E18"/>
    <w:rsid w:val="00F30F20"/>
    <w:rsid w:val="00F31E5E"/>
    <w:rsid w:val="00F31FF2"/>
    <w:rsid w:val="00F32A3C"/>
    <w:rsid w:val="00F32D96"/>
    <w:rsid w:val="00F32F91"/>
    <w:rsid w:val="00F33637"/>
    <w:rsid w:val="00F350DA"/>
    <w:rsid w:val="00F35283"/>
    <w:rsid w:val="00F354DA"/>
    <w:rsid w:val="00F356AE"/>
    <w:rsid w:val="00F35902"/>
    <w:rsid w:val="00F35FF7"/>
    <w:rsid w:val="00F362E5"/>
    <w:rsid w:val="00F37765"/>
    <w:rsid w:val="00F40146"/>
    <w:rsid w:val="00F41043"/>
    <w:rsid w:val="00F41314"/>
    <w:rsid w:val="00F41732"/>
    <w:rsid w:val="00F41991"/>
    <w:rsid w:val="00F41BD9"/>
    <w:rsid w:val="00F436B3"/>
    <w:rsid w:val="00F438A8"/>
    <w:rsid w:val="00F439A4"/>
    <w:rsid w:val="00F43C17"/>
    <w:rsid w:val="00F43EA5"/>
    <w:rsid w:val="00F44E85"/>
    <w:rsid w:val="00F4545E"/>
    <w:rsid w:val="00F46751"/>
    <w:rsid w:val="00F46B81"/>
    <w:rsid w:val="00F46CB7"/>
    <w:rsid w:val="00F46D81"/>
    <w:rsid w:val="00F46F46"/>
    <w:rsid w:val="00F473FE"/>
    <w:rsid w:val="00F474CC"/>
    <w:rsid w:val="00F475BD"/>
    <w:rsid w:val="00F478FE"/>
    <w:rsid w:val="00F47CBB"/>
    <w:rsid w:val="00F47D7E"/>
    <w:rsid w:val="00F500FF"/>
    <w:rsid w:val="00F5021D"/>
    <w:rsid w:val="00F512B1"/>
    <w:rsid w:val="00F51483"/>
    <w:rsid w:val="00F5163F"/>
    <w:rsid w:val="00F519AB"/>
    <w:rsid w:val="00F5205D"/>
    <w:rsid w:val="00F520EC"/>
    <w:rsid w:val="00F521CA"/>
    <w:rsid w:val="00F524C2"/>
    <w:rsid w:val="00F5336E"/>
    <w:rsid w:val="00F5343E"/>
    <w:rsid w:val="00F53556"/>
    <w:rsid w:val="00F535FD"/>
    <w:rsid w:val="00F53978"/>
    <w:rsid w:val="00F53B68"/>
    <w:rsid w:val="00F54295"/>
    <w:rsid w:val="00F54412"/>
    <w:rsid w:val="00F54E7F"/>
    <w:rsid w:val="00F550D4"/>
    <w:rsid w:val="00F55401"/>
    <w:rsid w:val="00F55876"/>
    <w:rsid w:val="00F55BE0"/>
    <w:rsid w:val="00F56205"/>
    <w:rsid w:val="00F56449"/>
    <w:rsid w:val="00F56B70"/>
    <w:rsid w:val="00F56C93"/>
    <w:rsid w:val="00F60215"/>
    <w:rsid w:val="00F6107A"/>
    <w:rsid w:val="00F6122F"/>
    <w:rsid w:val="00F61918"/>
    <w:rsid w:val="00F61C97"/>
    <w:rsid w:val="00F62313"/>
    <w:rsid w:val="00F62AE7"/>
    <w:rsid w:val="00F630A0"/>
    <w:rsid w:val="00F63196"/>
    <w:rsid w:val="00F635E5"/>
    <w:rsid w:val="00F63BB1"/>
    <w:rsid w:val="00F6406E"/>
    <w:rsid w:val="00F6429C"/>
    <w:rsid w:val="00F644C2"/>
    <w:rsid w:val="00F64B3B"/>
    <w:rsid w:val="00F65D84"/>
    <w:rsid w:val="00F669A7"/>
    <w:rsid w:val="00F66F3F"/>
    <w:rsid w:val="00F67221"/>
    <w:rsid w:val="00F67439"/>
    <w:rsid w:val="00F6776A"/>
    <w:rsid w:val="00F678E9"/>
    <w:rsid w:val="00F67A67"/>
    <w:rsid w:val="00F67BB3"/>
    <w:rsid w:val="00F67F98"/>
    <w:rsid w:val="00F702BA"/>
    <w:rsid w:val="00F7039F"/>
    <w:rsid w:val="00F703AA"/>
    <w:rsid w:val="00F70402"/>
    <w:rsid w:val="00F70615"/>
    <w:rsid w:val="00F707AB"/>
    <w:rsid w:val="00F707C6"/>
    <w:rsid w:val="00F70DCF"/>
    <w:rsid w:val="00F70F18"/>
    <w:rsid w:val="00F71108"/>
    <w:rsid w:val="00F7148E"/>
    <w:rsid w:val="00F7171C"/>
    <w:rsid w:val="00F71E6E"/>
    <w:rsid w:val="00F727F3"/>
    <w:rsid w:val="00F72A2A"/>
    <w:rsid w:val="00F736E8"/>
    <w:rsid w:val="00F742D7"/>
    <w:rsid w:val="00F753D5"/>
    <w:rsid w:val="00F75799"/>
    <w:rsid w:val="00F75BC3"/>
    <w:rsid w:val="00F76534"/>
    <w:rsid w:val="00F77297"/>
    <w:rsid w:val="00F81075"/>
    <w:rsid w:val="00F8206D"/>
    <w:rsid w:val="00F824A5"/>
    <w:rsid w:val="00F824E6"/>
    <w:rsid w:val="00F8332B"/>
    <w:rsid w:val="00F83D34"/>
    <w:rsid w:val="00F84239"/>
    <w:rsid w:val="00F85171"/>
    <w:rsid w:val="00F851C5"/>
    <w:rsid w:val="00F8555A"/>
    <w:rsid w:val="00F85D16"/>
    <w:rsid w:val="00F866F8"/>
    <w:rsid w:val="00F86718"/>
    <w:rsid w:val="00F86970"/>
    <w:rsid w:val="00F86E94"/>
    <w:rsid w:val="00F87438"/>
    <w:rsid w:val="00F87943"/>
    <w:rsid w:val="00F90102"/>
    <w:rsid w:val="00F906AA"/>
    <w:rsid w:val="00F9084D"/>
    <w:rsid w:val="00F90AA4"/>
    <w:rsid w:val="00F90F61"/>
    <w:rsid w:val="00F90F73"/>
    <w:rsid w:val="00F91202"/>
    <w:rsid w:val="00F9120A"/>
    <w:rsid w:val="00F9139F"/>
    <w:rsid w:val="00F91642"/>
    <w:rsid w:val="00F91C76"/>
    <w:rsid w:val="00F91C93"/>
    <w:rsid w:val="00F92090"/>
    <w:rsid w:val="00F93151"/>
    <w:rsid w:val="00F934BC"/>
    <w:rsid w:val="00F937EC"/>
    <w:rsid w:val="00F93BC4"/>
    <w:rsid w:val="00F947BE"/>
    <w:rsid w:val="00F95D8B"/>
    <w:rsid w:val="00F9663C"/>
    <w:rsid w:val="00FA039A"/>
    <w:rsid w:val="00FA1578"/>
    <w:rsid w:val="00FA1731"/>
    <w:rsid w:val="00FA1C60"/>
    <w:rsid w:val="00FA2A7C"/>
    <w:rsid w:val="00FA2B26"/>
    <w:rsid w:val="00FA3150"/>
    <w:rsid w:val="00FA326B"/>
    <w:rsid w:val="00FA33E7"/>
    <w:rsid w:val="00FA3E17"/>
    <w:rsid w:val="00FA445E"/>
    <w:rsid w:val="00FA49C3"/>
    <w:rsid w:val="00FA4B23"/>
    <w:rsid w:val="00FA529E"/>
    <w:rsid w:val="00FA5A08"/>
    <w:rsid w:val="00FA5D0C"/>
    <w:rsid w:val="00FA654C"/>
    <w:rsid w:val="00FA70E6"/>
    <w:rsid w:val="00FA71E1"/>
    <w:rsid w:val="00FA721C"/>
    <w:rsid w:val="00FA75AC"/>
    <w:rsid w:val="00FA7A83"/>
    <w:rsid w:val="00FA7FE7"/>
    <w:rsid w:val="00FB0582"/>
    <w:rsid w:val="00FB070D"/>
    <w:rsid w:val="00FB0760"/>
    <w:rsid w:val="00FB0DBD"/>
    <w:rsid w:val="00FB0F0B"/>
    <w:rsid w:val="00FB101E"/>
    <w:rsid w:val="00FB10CD"/>
    <w:rsid w:val="00FB1361"/>
    <w:rsid w:val="00FB19C4"/>
    <w:rsid w:val="00FB1C21"/>
    <w:rsid w:val="00FB1EC7"/>
    <w:rsid w:val="00FB2195"/>
    <w:rsid w:val="00FB2501"/>
    <w:rsid w:val="00FB27D4"/>
    <w:rsid w:val="00FB29E0"/>
    <w:rsid w:val="00FB2D59"/>
    <w:rsid w:val="00FB34A3"/>
    <w:rsid w:val="00FB3AA2"/>
    <w:rsid w:val="00FB4AA4"/>
    <w:rsid w:val="00FB4ADC"/>
    <w:rsid w:val="00FB4F88"/>
    <w:rsid w:val="00FB4FE3"/>
    <w:rsid w:val="00FB5376"/>
    <w:rsid w:val="00FB5983"/>
    <w:rsid w:val="00FB5CBA"/>
    <w:rsid w:val="00FB67DD"/>
    <w:rsid w:val="00FC02A7"/>
    <w:rsid w:val="00FC0CCA"/>
    <w:rsid w:val="00FC107B"/>
    <w:rsid w:val="00FC1417"/>
    <w:rsid w:val="00FC19CE"/>
    <w:rsid w:val="00FC1AE7"/>
    <w:rsid w:val="00FC1D47"/>
    <w:rsid w:val="00FC1E49"/>
    <w:rsid w:val="00FC2418"/>
    <w:rsid w:val="00FC267E"/>
    <w:rsid w:val="00FC2C39"/>
    <w:rsid w:val="00FC2CCA"/>
    <w:rsid w:val="00FC3354"/>
    <w:rsid w:val="00FC3795"/>
    <w:rsid w:val="00FC37BF"/>
    <w:rsid w:val="00FC39AB"/>
    <w:rsid w:val="00FC4335"/>
    <w:rsid w:val="00FC43DA"/>
    <w:rsid w:val="00FC51F5"/>
    <w:rsid w:val="00FC542B"/>
    <w:rsid w:val="00FC59E7"/>
    <w:rsid w:val="00FC5F08"/>
    <w:rsid w:val="00FC602F"/>
    <w:rsid w:val="00FC6247"/>
    <w:rsid w:val="00FC69AA"/>
    <w:rsid w:val="00FC70A9"/>
    <w:rsid w:val="00FC74BD"/>
    <w:rsid w:val="00FC7902"/>
    <w:rsid w:val="00FC7905"/>
    <w:rsid w:val="00FC7908"/>
    <w:rsid w:val="00FD0BD4"/>
    <w:rsid w:val="00FD0EBF"/>
    <w:rsid w:val="00FD1363"/>
    <w:rsid w:val="00FD140D"/>
    <w:rsid w:val="00FD17F9"/>
    <w:rsid w:val="00FD1CB2"/>
    <w:rsid w:val="00FD2682"/>
    <w:rsid w:val="00FD34D2"/>
    <w:rsid w:val="00FD380F"/>
    <w:rsid w:val="00FD3CD1"/>
    <w:rsid w:val="00FD40AC"/>
    <w:rsid w:val="00FD45BD"/>
    <w:rsid w:val="00FD46F7"/>
    <w:rsid w:val="00FD4F47"/>
    <w:rsid w:val="00FD543B"/>
    <w:rsid w:val="00FD5747"/>
    <w:rsid w:val="00FD57F1"/>
    <w:rsid w:val="00FD5A26"/>
    <w:rsid w:val="00FD735D"/>
    <w:rsid w:val="00FD7564"/>
    <w:rsid w:val="00FD761E"/>
    <w:rsid w:val="00FD7BC1"/>
    <w:rsid w:val="00FE009A"/>
    <w:rsid w:val="00FE059C"/>
    <w:rsid w:val="00FE10FA"/>
    <w:rsid w:val="00FE13FE"/>
    <w:rsid w:val="00FE1A98"/>
    <w:rsid w:val="00FE1C4F"/>
    <w:rsid w:val="00FE24AD"/>
    <w:rsid w:val="00FE298B"/>
    <w:rsid w:val="00FE2BBF"/>
    <w:rsid w:val="00FE321E"/>
    <w:rsid w:val="00FE3727"/>
    <w:rsid w:val="00FE38A1"/>
    <w:rsid w:val="00FE398F"/>
    <w:rsid w:val="00FE3B0C"/>
    <w:rsid w:val="00FE3D47"/>
    <w:rsid w:val="00FE402A"/>
    <w:rsid w:val="00FE465E"/>
    <w:rsid w:val="00FE46AC"/>
    <w:rsid w:val="00FE5335"/>
    <w:rsid w:val="00FE5712"/>
    <w:rsid w:val="00FE592F"/>
    <w:rsid w:val="00FE59A2"/>
    <w:rsid w:val="00FE5E1F"/>
    <w:rsid w:val="00FE5F9B"/>
    <w:rsid w:val="00FE6094"/>
    <w:rsid w:val="00FE6454"/>
    <w:rsid w:val="00FE6DAA"/>
    <w:rsid w:val="00FE6F0F"/>
    <w:rsid w:val="00FE790F"/>
    <w:rsid w:val="00FE7995"/>
    <w:rsid w:val="00FE7C30"/>
    <w:rsid w:val="00FE7E60"/>
    <w:rsid w:val="00FF026E"/>
    <w:rsid w:val="00FF0ED8"/>
    <w:rsid w:val="00FF137A"/>
    <w:rsid w:val="00FF1558"/>
    <w:rsid w:val="00FF1E55"/>
    <w:rsid w:val="00FF21A8"/>
    <w:rsid w:val="00FF259A"/>
    <w:rsid w:val="00FF26D5"/>
    <w:rsid w:val="00FF2733"/>
    <w:rsid w:val="00FF30F7"/>
    <w:rsid w:val="00FF4783"/>
    <w:rsid w:val="00FF4C83"/>
    <w:rsid w:val="00FF4FC9"/>
    <w:rsid w:val="00FF579D"/>
    <w:rsid w:val="00FF5879"/>
    <w:rsid w:val="00FF59F0"/>
    <w:rsid w:val="00FF5B0F"/>
    <w:rsid w:val="00FF6210"/>
    <w:rsid w:val="00FF62DF"/>
    <w:rsid w:val="00FF6603"/>
    <w:rsid w:val="00FF6793"/>
    <w:rsid w:val="00FF6883"/>
    <w:rsid w:val="00FF7C9C"/>
    <w:rsid w:val="05FA3A5D"/>
    <w:rsid w:val="19507421"/>
    <w:rsid w:val="1E36A2A2"/>
    <w:rsid w:val="1E3AC5EF"/>
    <w:rsid w:val="1F515CCF"/>
    <w:rsid w:val="22D7B20B"/>
    <w:rsid w:val="2E6E3263"/>
    <w:rsid w:val="327D2154"/>
    <w:rsid w:val="334DF3C4"/>
    <w:rsid w:val="368B88D3"/>
    <w:rsid w:val="3C9E9CE4"/>
    <w:rsid w:val="3D296406"/>
    <w:rsid w:val="3F3B745E"/>
    <w:rsid w:val="4B8155D1"/>
    <w:rsid w:val="4C1B65C4"/>
    <w:rsid w:val="4ECD6BC6"/>
    <w:rsid w:val="566792F1"/>
    <w:rsid w:val="5EFF2AFD"/>
    <w:rsid w:val="60E7A16F"/>
    <w:rsid w:val="6337736B"/>
    <w:rsid w:val="64919E49"/>
    <w:rsid w:val="6530B777"/>
    <w:rsid w:val="67A21864"/>
    <w:rsid w:val="6A231E06"/>
    <w:rsid w:val="6AEAB760"/>
    <w:rsid w:val="712B5D30"/>
    <w:rsid w:val="749529AB"/>
    <w:rsid w:val="7CEE8733"/>
    <w:rsid w:val="7E8BEB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4BD530A-FA55-4F2E-927A-D751AA9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Number">
    <w:name w:val="List Number"/>
    <w:basedOn w:val="Normal"/>
    <w:pPr>
      <w:numPr>
        <w:numId w:val="5"/>
      </w:numPr>
    </w:pPr>
    <w:rPr>
      <w:rFonts w:eastAsia="Times New Roman"/>
      <w:lang w:eastAsia="de-DE"/>
    </w:rPr>
  </w:style>
  <w:style w:type="paragraph" w:customStyle="1" w:styleId="ListBullet1">
    <w:name w:val="List Bullet 1"/>
    <w:basedOn w:val="Normal"/>
    <w:pPr>
      <w:numPr>
        <w:numId w:val="2"/>
      </w:numPr>
    </w:pPr>
    <w:rPr>
      <w:rFonts w:eastAsia="Times New Roman"/>
      <w:lang w:eastAsia="de-DE"/>
    </w:rPr>
  </w:style>
  <w:style w:type="paragraph" w:customStyle="1" w:styleId="ListDash1">
    <w:name w:val="List Dash 1"/>
    <w:basedOn w:val="Normal"/>
    <w:pPr>
      <w:numPr>
        <w:numId w:val="3"/>
      </w:numPr>
    </w:pPr>
    <w:rPr>
      <w:rFonts w:eastAsia="Times New Roman"/>
      <w:lang w:eastAsia="de-DE"/>
    </w:rPr>
  </w:style>
  <w:style w:type="paragraph" w:customStyle="1" w:styleId="ListDash2">
    <w:name w:val="List Dash 2"/>
    <w:basedOn w:val="Normal"/>
    <w:pPr>
      <w:numPr>
        <w:numId w:val="4"/>
      </w:numPr>
    </w:pPr>
    <w:rPr>
      <w:rFonts w:eastAsia="Times New Roman"/>
      <w:lang w:eastAsia="de-DE"/>
    </w:rPr>
  </w:style>
  <w:style w:type="paragraph" w:customStyle="1" w:styleId="ListNumberLevel2">
    <w:name w:val="List Number (Level 2)"/>
    <w:basedOn w:val="Normal"/>
    <w:pPr>
      <w:numPr>
        <w:ilvl w:val="1"/>
        <w:numId w:val="5"/>
      </w:numPr>
    </w:pPr>
    <w:rPr>
      <w:rFonts w:eastAsia="Times New Roman"/>
      <w:lang w:eastAsia="de-DE"/>
    </w:rPr>
  </w:style>
  <w:style w:type="paragraph" w:customStyle="1" w:styleId="ListNumberLevel3">
    <w:name w:val="List Number (Level 3)"/>
    <w:basedOn w:val="Normal"/>
    <w:pPr>
      <w:numPr>
        <w:ilvl w:val="2"/>
        <w:numId w:val="5"/>
      </w:numPr>
    </w:pPr>
    <w:rPr>
      <w:rFonts w:eastAsia="Times New Roman"/>
      <w:lang w:eastAsia="de-DE"/>
    </w:rPr>
  </w:style>
  <w:style w:type="paragraph" w:customStyle="1" w:styleId="ListNumberLevel4">
    <w:name w:val="List Number (Level 4)"/>
    <w:basedOn w:val="Normal"/>
    <w:pPr>
      <w:numPr>
        <w:ilvl w:val="3"/>
        <w:numId w:val="5"/>
      </w:numPr>
    </w:pPr>
    <w:rPr>
      <w:rFonts w:eastAsia="Times New Roman"/>
      <w:lang w:eastAsia="de-DE"/>
    </w:rPr>
  </w:style>
  <w:style w:type="paragraph" w:styleId="ListBullet">
    <w:name w:val="List Bullet"/>
    <w:basedOn w:val="Normal"/>
    <w:pPr>
      <w:numPr>
        <w:numId w:val="6"/>
      </w:numPr>
    </w:pPr>
    <w:rPr>
      <w:rFonts w:eastAsia="Times New Roman"/>
      <w:lang w:val="fr-FR"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unhideWhenUsed/>
    <w:qFormat/>
    <w:rsid w:val="00375919"/>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paragraph" w:customStyle="1" w:styleId="N">
    <w:name w:val="N"/>
    <w:basedOn w:val="Point1number"/>
    <w:pPr>
      <w:numPr>
        <w:numId w:val="12"/>
      </w:numPr>
    </w:p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L"/>
    <w:basedOn w:val="Normal"/>
    <w:link w:val="ListParagraphChar"/>
    <w:uiPriority w:val="34"/>
    <w:qFormat/>
    <w:pPr>
      <w:spacing w:before="0"/>
      <w:ind w:left="720"/>
      <w:contextualSpacing/>
    </w:pPr>
    <w:rPr>
      <w:szCs w:val="24"/>
    </w:r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19"/>
    <w:qFormat/>
    <w:rPr>
      <w:rFonts w:ascii="Times New Roman" w:hAnsi="Times New Roman" w:cs="Times New Roman"/>
      <w:sz w:val="24"/>
      <w:szCs w:val="24"/>
      <w:lang w:val="en-IE"/>
    </w:rPr>
  </w:style>
  <w:style w:type="paragraph" w:styleId="NormalWeb">
    <w:name w:val="Normal (Web)"/>
    <w:basedOn w:val="Normal"/>
    <w:uiPriority w:val="99"/>
    <w:unhideWhenUsed/>
    <w:pPr>
      <w:spacing w:before="100" w:beforeAutospacing="1" w:after="100" w:afterAutospacing="1"/>
    </w:pPr>
    <w:rPr>
      <w:rFonts w:eastAsia="Times New Roman"/>
      <w:szCs w:val="24"/>
      <w:lang w:eastAsia="en-GB"/>
    </w:rPr>
  </w:style>
  <w:style w:type="paragraph" w:styleId="PlainText">
    <w:name w:val="Plain Text"/>
    <w:basedOn w:val="Normal"/>
    <w:link w:val="PlainTextChar"/>
    <w:uiPriority w:val="99"/>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rPr>
      <w:rFonts w:ascii="Calibri" w:hAnsi="Calibri" w:cs="Consolas"/>
      <w:szCs w:val="21"/>
      <w:lang w:val="en-IE"/>
    </w:rPr>
  </w:style>
  <w:style w:type="paragraph" w:customStyle="1" w:styleId="FigureEconomisit">
    <w:name w:val="Figure Economisit"/>
    <w:basedOn w:val="Normal"/>
    <w:qFormat/>
    <w:pPr>
      <w:numPr>
        <w:numId w:val="13"/>
      </w:numPr>
    </w:pPr>
    <w:rPr>
      <w:rFonts w:ascii="Arial" w:eastAsia="Times New Roman" w:hAnsi="Arial"/>
      <w:b/>
      <w:color w:val="595959" w:themeColor="text1" w:themeTint="A6"/>
      <w:sz w:val="20"/>
      <w:szCs w:val="20"/>
      <w:lang w:eastAsia="ar-SA"/>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Normal1">
    <w:name w:val="Normal1"/>
    <w:basedOn w:val="Normal"/>
    <w:rsid w:val="000E14D8"/>
    <w:pPr>
      <w:spacing w:before="100" w:beforeAutospacing="1" w:after="100" w:afterAutospacing="1"/>
      <w:jc w:val="left"/>
    </w:pPr>
    <w:rPr>
      <w:rFonts w:eastAsia="Times New Roman"/>
      <w:szCs w:val="24"/>
      <w:lang w:eastAsia="en-IE"/>
    </w:rPr>
  </w:style>
  <w:style w:type="paragraph" w:customStyle="1" w:styleId="Normal2">
    <w:name w:val="Normal2"/>
    <w:basedOn w:val="Normal"/>
    <w:rsid w:val="003D1C62"/>
    <w:pPr>
      <w:spacing w:before="100" w:beforeAutospacing="1" w:after="100" w:afterAutospacing="1"/>
      <w:jc w:val="left"/>
    </w:pPr>
    <w:rPr>
      <w:rFonts w:eastAsia="Times New Roman"/>
      <w:szCs w:val="24"/>
      <w:lang w:eastAsia="en-IE"/>
    </w:rPr>
  </w:style>
  <w:style w:type="paragraph" w:customStyle="1" w:styleId="SUPERSChar">
    <w:name w:val="SUPERS Char"/>
    <w:aliases w:val="EN Footnote Reference Char"/>
    <w:basedOn w:val="Normal"/>
    <w:uiPriority w:val="99"/>
    <w:rsid w:val="00E14CA0"/>
    <w:pPr>
      <w:spacing w:before="0" w:after="160" w:line="240" w:lineRule="exact"/>
      <w:ind w:left="357" w:hanging="357"/>
    </w:pPr>
    <w:rPr>
      <w:rFonts w:asciiTheme="minorHAnsi" w:hAnsiTheme="minorHAnsi" w:cstheme="minorBidi"/>
      <w:sz w:val="22"/>
      <w:vertAlign w:val="superscript"/>
      <w:lang w:val="en-US"/>
    </w:rPr>
  </w:style>
  <w:style w:type="paragraph" w:customStyle="1" w:styleId="Normal3">
    <w:name w:val="Normal3"/>
    <w:basedOn w:val="Normal"/>
    <w:rsid w:val="00EE3201"/>
    <w:pPr>
      <w:spacing w:before="100" w:beforeAutospacing="1" w:after="100" w:afterAutospacing="1"/>
      <w:jc w:val="left"/>
    </w:pPr>
    <w:rPr>
      <w:rFonts w:eastAsia="Times New Roman"/>
      <w:szCs w:val="24"/>
      <w:lang w:eastAsia="en-IE"/>
    </w:rPr>
  </w:style>
  <w:style w:type="paragraph" w:customStyle="1" w:styleId="norm">
    <w:name w:val="norm"/>
    <w:basedOn w:val="Normal"/>
    <w:rsid w:val="00CB1D51"/>
    <w:pPr>
      <w:spacing w:before="100" w:beforeAutospacing="1" w:after="100" w:afterAutospacing="1"/>
      <w:jc w:val="left"/>
    </w:pPr>
    <w:rPr>
      <w:rFonts w:eastAsia="Times New Roman"/>
      <w:szCs w:val="24"/>
      <w:lang w:val="en-IE" w:eastAsia="en-IE"/>
    </w:rPr>
  </w:style>
  <w:style w:type="paragraph" w:customStyle="1" w:styleId="title-annex-2">
    <w:name w:val="title-annex-2"/>
    <w:basedOn w:val="Normal"/>
    <w:rsid w:val="00D13E94"/>
    <w:pPr>
      <w:spacing w:before="100" w:beforeAutospacing="1" w:after="100" w:afterAutospacing="1"/>
      <w:jc w:val="left"/>
    </w:pPr>
    <w:rPr>
      <w:rFonts w:eastAsia="Times New Roman"/>
      <w:szCs w:val="24"/>
      <w:lang w:val="en-IE" w:eastAsia="en-IE"/>
    </w:rPr>
  </w:style>
  <w:style w:type="paragraph" w:customStyle="1" w:styleId="li">
    <w:name w:val="li"/>
    <w:basedOn w:val="Normal"/>
    <w:rsid w:val="00C87ACE"/>
    <w:pPr>
      <w:spacing w:before="100" w:beforeAutospacing="1" w:after="100" w:afterAutospacing="1"/>
      <w:jc w:val="left"/>
    </w:pPr>
    <w:rPr>
      <w:rFonts w:eastAsia="Times New Roman"/>
      <w:szCs w:val="24"/>
      <w:lang w:val="ga-IE" w:eastAsia="ga-IE"/>
    </w:rPr>
  </w:style>
  <w:style w:type="character" w:customStyle="1" w:styleId="footnotereference">
    <w:name w:val="footnotereference"/>
    <w:basedOn w:val="DefaultParagraphFont"/>
    <w:rsid w:val="00C87ACE"/>
  </w:style>
  <w:style w:type="character" w:customStyle="1" w:styleId="num">
    <w:name w:val="num"/>
    <w:basedOn w:val="DefaultParagraphFont"/>
    <w:rsid w:val="00C87ACE"/>
  </w:style>
  <w:style w:type="paragraph" w:customStyle="1" w:styleId="BTNumbList">
    <w:name w:val="BTNumbList"/>
    <w:aliases w:val="NumbList 1,Numblist1,Numblist"/>
    <w:basedOn w:val="Normal"/>
    <w:link w:val="BTNumbListChar"/>
    <w:uiPriority w:val="14"/>
    <w:qFormat/>
    <w:rsid w:val="00560C3B"/>
    <w:pPr>
      <w:spacing w:before="240" w:after="0" w:line="260" w:lineRule="atLeast"/>
    </w:pPr>
    <w:rPr>
      <w:rFonts w:ascii="Arial" w:hAnsi="Arial"/>
      <w:sz w:val="22"/>
      <w:szCs w:val="24"/>
    </w:rPr>
  </w:style>
  <w:style w:type="character" w:customStyle="1" w:styleId="BTNumbListChar">
    <w:name w:val="BTNumbList Char"/>
    <w:basedOn w:val="DefaultParagraphFont"/>
    <w:link w:val="BTNumbList"/>
    <w:uiPriority w:val="14"/>
    <w:rsid w:val="00560C3B"/>
    <w:rPr>
      <w:rFonts w:ascii="Arial" w:hAnsi="Arial" w:cs="Times New Roman"/>
      <w:szCs w:val="24"/>
      <w:lang w:val="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Norm"/>
    <w:basedOn w:val="Normal"/>
    <w:link w:val="BodyTextChar"/>
    <w:uiPriority w:val="1"/>
    <w:qFormat/>
    <w:rsid w:val="00906BBD"/>
    <w:pPr>
      <w:spacing w:line="260" w:lineRule="atLeast"/>
      <w:ind w:left="851" w:hanging="357"/>
    </w:pPr>
    <w:rPr>
      <w:rFonts w:ascii="Arial" w:hAnsi="Arial"/>
      <w:sz w:val="22"/>
      <w:szCs w:val="24"/>
    </w:r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1"/>
    <w:qFormat/>
    <w:rsid w:val="00906BBD"/>
    <w:rPr>
      <w:rFonts w:ascii="Arial" w:hAnsi="Arial" w:cs="Times New Roman"/>
      <w:szCs w:val="24"/>
      <w:lang w:val="en-GB"/>
    </w:rPr>
  </w:style>
  <w:style w:type="paragraph" w:customStyle="1" w:styleId="CaseStudy">
    <w:name w:val="CaseStudy"/>
    <w:basedOn w:val="Normal"/>
    <w:next w:val="Normal"/>
    <w:uiPriority w:val="12"/>
    <w:qFormat/>
    <w:rsid w:val="00732515"/>
    <w:pPr>
      <w:numPr>
        <w:numId w:val="18"/>
      </w:numPr>
      <w:tabs>
        <w:tab w:val="num" w:pos="851"/>
        <w:tab w:val="left" w:pos="1814"/>
      </w:tabs>
      <w:spacing w:line="260" w:lineRule="atLeast"/>
      <w:ind w:left="851" w:hanging="851"/>
      <w:jc w:val="left"/>
    </w:pPr>
    <w:rPr>
      <w:rFonts w:ascii="Arial" w:hAnsi="Arial"/>
      <w:b/>
      <w:color w:val="4F81BD" w:themeColor="accent1"/>
      <w:sz w:val="22"/>
      <w:szCs w:val="24"/>
    </w:rPr>
  </w:style>
  <w:style w:type="paragraph" w:customStyle="1" w:styleId="Evidence">
    <w:name w:val="Evidence"/>
    <w:basedOn w:val="Normal"/>
    <w:next w:val="BlockText"/>
    <w:uiPriority w:val="12"/>
    <w:qFormat/>
    <w:rsid w:val="00732515"/>
    <w:pPr>
      <w:keepNext/>
      <w:keepLines/>
      <w:numPr>
        <w:ilvl w:val="1"/>
        <w:numId w:val="18"/>
      </w:numPr>
      <w:spacing w:line="260" w:lineRule="atLeast"/>
      <w:ind w:right="57"/>
      <w:jc w:val="left"/>
    </w:pPr>
    <w:rPr>
      <w:rFonts w:ascii="Arial" w:hAnsi="Arial"/>
      <w:b/>
      <w:color w:val="4F81BD" w:themeColor="accent1"/>
      <w:sz w:val="22"/>
      <w:szCs w:val="24"/>
    </w:rPr>
  </w:style>
  <w:style w:type="paragraph" w:customStyle="1" w:styleId="Recommendation">
    <w:name w:val="Recommendation"/>
    <w:basedOn w:val="Normal"/>
    <w:next w:val="Normal"/>
    <w:uiPriority w:val="6"/>
    <w:qFormat/>
    <w:rsid w:val="00732515"/>
    <w:pPr>
      <w:numPr>
        <w:ilvl w:val="3"/>
        <w:numId w:val="18"/>
      </w:numPr>
      <w:spacing w:line="260" w:lineRule="atLeast"/>
      <w:ind w:right="113"/>
      <w:jc w:val="left"/>
    </w:pPr>
    <w:rPr>
      <w:rFonts w:ascii="Arial Bold" w:hAnsi="Arial Bold"/>
      <w:b/>
      <w:color w:val="4F81BD" w:themeColor="accent1"/>
      <w:sz w:val="22"/>
      <w:szCs w:val="24"/>
    </w:rPr>
  </w:style>
  <w:style w:type="paragraph" w:customStyle="1" w:styleId="Conclusion">
    <w:name w:val="Conclusion"/>
    <w:basedOn w:val="Normal"/>
    <w:next w:val="Normal"/>
    <w:uiPriority w:val="6"/>
    <w:qFormat/>
    <w:rsid w:val="00732515"/>
    <w:pPr>
      <w:numPr>
        <w:ilvl w:val="2"/>
        <w:numId w:val="18"/>
      </w:numPr>
      <w:spacing w:line="260" w:lineRule="atLeast"/>
      <w:ind w:right="113"/>
      <w:jc w:val="left"/>
    </w:pPr>
    <w:rPr>
      <w:rFonts w:ascii="Arial Bold" w:hAnsi="Arial Bold"/>
      <w:b/>
      <w:color w:val="4F81BD" w:themeColor="accent1"/>
      <w:sz w:val="22"/>
      <w:szCs w:val="24"/>
    </w:rPr>
  </w:style>
  <w:style w:type="numbering" w:customStyle="1" w:styleId="NumbLstBoxes">
    <w:name w:val="NumbLstBoxes"/>
    <w:uiPriority w:val="99"/>
    <w:rsid w:val="00732515"/>
    <w:pPr>
      <w:numPr>
        <w:numId w:val="17"/>
      </w:numPr>
    </w:pPr>
  </w:style>
  <w:style w:type="paragraph" w:customStyle="1" w:styleId="BoxNumb">
    <w:name w:val="BoxNumb"/>
    <w:basedOn w:val="Normal"/>
    <w:next w:val="Normal"/>
    <w:uiPriority w:val="6"/>
    <w:qFormat/>
    <w:rsid w:val="00732515"/>
    <w:pPr>
      <w:keepNext/>
      <w:keepLines/>
      <w:numPr>
        <w:ilvl w:val="4"/>
        <w:numId w:val="18"/>
      </w:numPr>
      <w:spacing w:line="260" w:lineRule="atLeast"/>
      <w:ind w:right="113"/>
      <w:jc w:val="left"/>
    </w:pPr>
    <w:rPr>
      <w:rFonts w:ascii="Arial Bold" w:hAnsi="Arial Bold"/>
      <w:b/>
      <w:color w:val="4F81BD" w:themeColor="accent1"/>
      <w:sz w:val="22"/>
      <w:szCs w:val="24"/>
    </w:rPr>
  </w:style>
  <w:style w:type="paragraph" w:styleId="BlockText">
    <w:name w:val="Block Text"/>
    <w:basedOn w:val="Normal"/>
    <w:uiPriority w:val="99"/>
    <w:semiHidden/>
    <w:unhideWhenUsed/>
    <w:rsid w:val="007325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FootnoteReference0">
    <w:name w:val="footnote reference"/>
    <w:basedOn w:val="DefaultParagraphFont"/>
    <w:uiPriority w:val="99"/>
    <w:semiHidden/>
    <w:unhideWhenUsed/>
    <w:rsid w:val="00517205"/>
    <w:rPr>
      <w:shd w:val="clear" w:color="auto" w:fill="auto"/>
      <w:vertAlign w:val="superscript"/>
    </w:rPr>
  </w:style>
  <w:style w:type="paragraph" w:customStyle="1" w:styleId="Normal4">
    <w:name w:val="Normal4"/>
    <w:basedOn w:val="Normal"/>
    <w:rsid w:val="00822247"/>
    <w:pPr>
      <w:spacing w:before="100" w:beforeAutospacing="1" w:after="100" w:afterAutospacing="1"/>
      <w:jc w:val="left"/>
    </w:pPr>
    <w:rPr>
      <w:rFonts w:eastAsia="Times New Roman"/>
      <w:szCs w:val="24"/>
      <w:lang w:val="fr-BE" w:eastAsia="fr-BE"/>
    </w:rPr>
  </w:style>
  <w:style w:type="character" w:customStyle="1" w:styleId="bold">
    <w:name w:val="bold"/>
    <w:basedOn w:val="DefaultParagraphFont"/>
    <w:rsid w:val="00822247"/>
  </w:style>
  <w:style w:type="character" w:customStyle="1" w:styleId="super">
    <w:name w:val="super"/>
    <w:basedOn w:val="DefaultParagraphFont"/>
    <w:rsid w:val="00822247"/>
  </w:style>
  <w:style w:type="character" w:styleId="EndnoteReference">
    <w:name w:val="endnote reference"/>
    <w:basedOn w:val="DefaultParagraphFont"/>
    <w:uiPriority w:val="99"/>
    <w:semiHidden/>
    <w:unhideWhenUsed/>
    <w:rsid w:val="000B73A8"/>
    <w:rPr>
      <w:vertAlign w:val="superscript"/>
    </w:rPr>
  </w:style>
  <w:style w:type="character" w:styleId="Emphasis">
    <w:name w:val="Emphasis"/>
    <w:basedOn w:val="DefaultParagraphFont"/>
    <w:uiPriority w:val="20"/>
    <w:qFormat/>
    <w:rsid w:val="00A65804"/>
    <w:rPr>
      <w:i/>
      <w:iCs/>
    </w:rPr>
  </w:style>
  <w:style w:type="character" w:customStyle="1" w:styleId="markedcontent">
    <w:name w:val="markedcontent"/>
    <w:basedOn w:val="DefaultParagraphFont"/>
    <w:rsid w:val="002D2D55"/>
  </w:style>
  <w:style w:type="paragraph" w:customStyle="1" w:styleId="ti-art">
    <w:name w:val="ti-art"/>
    <w:basedOn w:val="Normal"/>
    <w:rsid w:val="00CA7EC7"/>
    <w:pPr>
      <w:spacing w:before="100" w:beforeAutospacing="1" w:after="100" w:afterAutospacing="1"/>
      <w:jc w:val="left"/>
    </w:pPr>
    <w:rPr>
      <w:rFonts w:eastAsia="Times New Roman"/>
      <w:szCs w:val="24"/>
      <w:lang w:val="en-IE" w:eastAsia="en-IE"/>
    </w:rPr>
  </w:style>
  <w:style w:type="paragraph" w:customStyle="1" w:styleId="sti-art">
    <w:name w:val="sti-art"/>
    <w:basedOn w:val="Normal"/>
    <w:rsid w:val="00CA7EC7"/>
    <w:pPr>
      <w:spacing w:before="100" w:beforeAutospacing="1" w:after="100" w:afterAutospacing="1"/>
      <w:jc w:val="left"/>
    </w:pPr>
    <w:rPr>
      <w:rFonts w:eastAsia="Times New Roman"/>
      <w:szCs w:val="24"/>
      <w:lang w:val="en-IE" w:eastAsia="en-IE"/>
    </w:rPr>
  </w:style>
  <w:style w:type="paragraph" w:customStyle="1" w:styleId="Normal5">
    <w:name w:val="Normal5"/>
    <w:basedOn w:val="Normal"/>
    <w:rsid w:val="00CA7EC7"/>
    <w:pPr>
      <w:spacing w:before="100" w:beforeAutospacing="1" w:after="100" w:afterAutospacing="1"/>
      <w:jc w:val="left"/>
    </w:pPr>
    <w:rPr>
      <w:rFonts w:eastAsia="Times New Roman"/>
      <w:szCs w:val="24"/>
      <w:lang w:val="en-IE" w:eastAsia="en-IE"/>
    </w:rPr>
  </w:style>
  <w:style w:type="character" w:customStyle="1" w:styleId="oj-bold">
    <w:name w:val="oj-bold"/>
    <w:basedOn w:val="DefaultParagraphFont"/>
    <w:rsid w:val="00F14C6A"/>
  </w:style>
  <w:style w:type="paragraph" w:customStyle="1" w:styleId="Annexe">
    <w:name w:val="Annexe"/>
    <w:basedOn w:val="Annexetitre"/>
    <w:rsid w:val="006D714C"/>
  </w:style>
  <w:style w:type="paragraph" w:customStyle="1" w:styleId="Normal6">
    <w:name w:val="Normal6"/>
    <w:basedOn w:val="Normal"/>
    <w:rsid w:val="00BB6FA9"/>
    <w:pPr>
      <w:spacing w:before="100" w:beforeAutospacing="1" w:after="100" w:afterAutospacing="1"/>
      <w:jc w:val="left"/>
    </w:pPr>
    <w:rPr>
      <w:rFonts w:eastAsia="Times New Roman"/>
      <w:szCs w:val="24"/>
      <w:lang w:val="en-IE" w:eastAsia="en-IE"/>
    </w:rPr>
  </w:style>
  <w:style w:type="paragraph" w:customStyle="1" w:styleId="Normal7">
    <w:name w:val="Normal7"/>
    <w:basedOn w:val="Normal"/>
    <w:rsid w:val="002B65CE"/>
    <w:pPr>
      <w:spacing w:before="100" w:beforeAutospacing="1" w:after="100" w:afterAutospacing="1"/>
      <w:jc w:val="left"/>
    </w:pPr>
    <w:rPr>
      <w:rFonts w:eastAsia="Times New Roman"/>
      <w:szCs w:val="24"/>
      <w:lang w:val="fr-BE" w:eastAsia="fr-BE"/>
    </w:rPr>
  </w:style>
  <w:style w:type="paragraph" w:styleId="Header">
    <w:name w:val="header"/>
    <w:basedOn w:val="Normal"/>
    <w:link w:val="HeaderChar"/>
    <w:uiPriority w:val="99"/>
    <w:unhideWhenUsed/>
    <w:rsid w:val="00CE7D10"/>
    <w:pPr>
      <w:tabs>
        <w:tab w:val="center" w:pos="4535"/>
        <w:tab w:val="right" w:pos="9071"/>
      </w:tabs>
      <w:spacing w:before="0"/>
    </w:pPr>
  </w:style>
  <w:style w:type="character" w:customStyle="1" w:styleId="HeaderChar">
    <w:name w:val="Header Char"/>
    <w:basedOn w:val="DefaultParagraphFont"/>
    <w:link w:val="Header"/>
    <w:uiPriority w:val="99"/>
    <w:rsid w:val="00CE7D10"/>
    <w:rPr>
      <w:rFonts w:ascii="Times New Roman" w:hAnsi="Times New Roman" w:cs="Times New Roman"/>
      <w:sz w:val="24"/>
      <w:lang w:val="en-GB"/>
    </w:rPr>
  </w:style>
  <w:style w:type="paragraph" w:styleId="Footer">
    <w:name w:val="footer"/>
    <w:basedOn w:val="Normal"/>
    <w:link w:val="FooterChar"/>
    <w:uiPriority w:val="99"/>
    <w:unhideWhenUsed/>
    <w:rsid w:val="00CE7D1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E7D10"/>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CE7D10"/>
    <w:pPr>
      <w:tabs>
        <w:tab w:val="center" w:pos="7285"/>
        <w:tab w:val="right" w:pos="14003"/>
      </w:tabs>
      <w:spacing w:before="0"/>
    </w:pPr>
  </w:style>
  <w:style w:type="paragraph" w:customStyle="1" w:styleId="FooterLandscape">
    <w:name w:val="FooterLandscape"/>
    <w:basedOn w:val="Normal"/>
    <w:rsid w:val="00CE7D10"/>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CE7D1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E7D10"/>
    <w:pPr>
      <w:spacing w:before="0"/>
      <w:jc w:val="right"/>
    </w:pPr>
    <w:rPr>
      <w:sz w:val="28"/>
    </w:rPr>
  </w:style>
  <w:style w:type="paragraph" w:customStyle="1" w:styleId="FooterSensitivity">
    <w:name w:val="Footer Sensitivity"/>
    <w:basedOn w:val="Normal"/>
    <w:rsid w:val="00CE7D1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2"/>
      </w:numPr>
    </w:pPr>
  </w:style>
  <w:style w:type="paragraph" w:customStyle="1" w:styleId="Tiret1">
    <w:name w:val="Tiret 1"/>
    <w:basedOn w:val="Point1"/>
    <w:rsid w:val="00517205"/>
    <w:pPr>
      <w:numPr>
        <w:numId w:val="33"/>
      </w:numPr>
    </w:pPr>
  </w:style>
  <w:style w:type="paragraph" w:customStyle="1" w:styleId="Tiret2">
    <w:name w:val="Tiret 2"/>
    <w:basedOn w:val="Point2"/>
    <w:rsid w:val="00517205"/>
    <w:pPr>
      <w:numPr>
        <w:numId w:val="34"/>
      </w:numPr>
    </w:pPr>
  </w:style>
  <w:style w:type="paragraph" w:customStyle="1" w:styleId="Tiret3">
    <w:name w:val="Tiret 3"/>
    <w:basedOn w:val="Point3"/>
    <w:rsid w:val="00517205"/>
    <w:pPr>
      <w:numPr>
        <w:numId w:val="35"/>
      </w:numPr>
    </w:pPr>
  </w:style>
  <w:style w:type="paragraph" w:customStyle="1" w:styleId="Tiret4">
    <w:name w:val="Tiret 4"/>
    <w:basedOn w:val="Point4"/>
    <w:rsid w:val="00517205"/>
    <w:pPr>
      <w:numPr>
        <w:numId w:val="36"/>
      </w:numPr>
    </w:pPr>
  </w:style>
  <w:style w:type="paragraph" w:customStyle="1" w:styleId="Tiret5">
    <w:name w:val="Tiret 5"/>
    <w:basedOn w:val="Point5"/>
    <w:rsid w:val="00517205"/>
    <w:pPr>
      <w:numPr>
        <w:numId w:val="37"/>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8"/>
      </w:numPr>
    </w:pPr>
  </w:style>
  <w:style w:type="paragraph" w:customStyle="1" w:styleId="NumPar2">
    <w:name w:val="NumPar 2"/>
    <w:basedOn w:val="Normal"/>
    <w:next w:val="Text1"/>
    <w:rsid w:val="00517205"/>
    <w:pPr>
      <w:numPr>
        <w:ilvl w:val="1"/>
        <w:numId w:val="38"/>
      </w:numPr>
    </w:pPr>
  </w:style>
  <w:style w:type="paragraph" w:customStyle="1" w:styleId="NumPar3">
    <w:name w:val="NumPar 3"/>
    <w:basedOn w:val="Normal"/>
    <w:next w:val="Text1"/>
    <w:rsid w:val="00517205"/>
    <w:pPr>
      <w:numPr>
        <w:ilvl w:val="2"/>
        <w:numId w:val="38"/>
      </w:numPr>
    </w:pPr>
  </w:style>
  <w:style w:type="paragraph" w:customStyle="1" w:styleId="NumPar4">
    <w:name w:val="NumPar 4"/>
    <w:basedOn w:val="Normal"/>
    <w:next w:val="Text1"/>
    <w:rsid w:val="00517205"/>
    <w:pPr>
      <w:numPr>
        <w:ilvl w:val="3"/>
        <w:numId w:val="38"/>
      </w:numPr>
    </w:pPr>
  </w:style>
  <w:style w:type="paragraph" w:customStyle="1" w:styleId="NumPar5">
    <w:name w:val="NumPar 5"/>
    <w:basedOn w:val="Normal"/>
    <w:next w:val="Text2"/>
    <w:rsid w:val="00517205"/>
    <w:pPr>
      <w:numPr>
        <w:ilvl w:val="4"/>
        <w:numId w:val="38"/>
      </w:numPr>
    </w:pPr>
  </w:style>
  <w:style w:type="paragraph" w:customStyle="1" w:styleId="NumPar6">
    <w:name w:val="NumPar 6"/>
    <w:basedOn w:val="Normal"/>
    <w:next w:val="Text2"/>
    <w:rsid w:val="00517205"/>
    <w:pPr>
      <w:numPr>
        <w:ilvl w:val="5"/>
        <w:numId w:val="38"/>
      </w:numPr>
    </w:pPr>
  </w:style>
  <w:style w:type="paragraph" w:customStyle="1" w:styleId="NumPar7">
    <w:name w:val="NumPar 7"/>
    <w:basedOn w:val="Normal"/>
    <w:next w:val="Text2"/>
    <w:rsid w:val="00517205"/>
    <w:pPr>
      <w:numPr>
        <w:ilvl w:val="6"/>
        <w:numId w:val="38"/>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40"/>
      </w:numPr>
    </w:pPr>
  </w:style>
  <w:style w:type="paragraph" w:customStyle="1" w:styleId="Point1number">
    <w:name w:val="Point 1 (number)"/>
    <w:basedOn w:val="Normal"/>
    <w:rsid w:val="00517205"/>
    <w:pPr>
      <w:numPr>
        <w:ilvl w:val="2"/>
        <w:numId w:val="40"/>
      </w:numPr>
    </w:pPr>
  </w:style>
  <w:style w:type="paragraph" w:customStyle="1" w:styleId="Point2number">
    <w:name w:val="Point 2 (number)"/>
    <w:basedOn w:val="Normal"/>
    <w:rsid w:val="00517205"/>
    <w:pPr>
      <w:numPr>
        <w:ilvl w:val="4"/>
        <w:numId w:val="40"/>
      </w:numPr>
    </w:pPr>
  </w:style>
  <w:style w:type="paragraph" w:customStyle="1" w:styleId="Point3number">
    <w:name w:val="Point 3 (number)"/>
    <w:basedOn w:val="Normal"/>
    <w:rsid w:val="00517205"/>
    <w:pPr>
      <w:numPr>
        <w:ilvl w:val="6"/>
        <w:numId w:val="40"/>
      </w:numPr>
    </w:pPr>
  </w:style>
  <w:style w:type="paragraph" w:customStyle="1" w:styleId="Point0letter">
    <w:name w:val="Point 0 (letter)"/>
    <w:basedOn w:val="Normal"/>
    <w:rsid w:val="00517205"/>
    <w:pPr>
      <w:numPr>
        <w:ilvl w:val="1"/>
        <w:numId w:val="40"/>
      </w:numPr>
    </w:pPr>
  </w:style>
  <w:style w:type="paragraph" w:customStyle="1" w:styleId="Point1letter">
    <w:name w:val="Point 1 (letter)"/>
    <w:basedOn w:val="Normal"/>
    <w:rsid w:val="00517205"/>
    <w:pPr>
      <w:numPr>
        <w:ilvl w:val="3"/>
        <w:numId w:val="40"/>
      </w:numPr>
    </w:pPr>
  </w:style>
  <w:style w:type="paragraph" w:customStyle="1" w:styleId="Point2letter">
    <w:name w:val="Point 2 (letter)"/>
    <w:basedOn w:val="Normal"/>
    <w:rsid w:val="00517205"/>
    <w:pPr>
      <w:numPr>
        <w:ilvl w:val="5"/>
        <w:numId w:val="40"/>
      </w:numPr>
    </w:pPr>
  </w:style>
  <w:style w:type="paragraph" w:customStyle="1" w:styleId="Point3letter">
    <w:name w:val="Point 3 (letter)"/>
    <w:basedOn w:val="Normal"/>
    <w:rsid w:val="00517205"/>
    <w:pPr>
      <w:numPr>
        <w:ilvl w:val="7"/>
        <w:numId w:val="40"/>
      </w:numPr>
    </w:pPr>
  </w:style>
  <w:style w:type="paragraph" w:customStyle="1" w:styleId="Point4letter">
    <w:name w:val="Point 4 (letter)"/>
    <w:basedOn w:val="Normal"/>
    <w:rsid w:val="00517205"/>
    <w:pPr>
      <w:numPr>
        <w:ilvl w:val="8"/>
        <w:numId w:val="40"/>
      </w:numPr>
    </w:pPr>
  </w:style>
  <w:style w:type="paragraph" w:customStyle="1" w:styleId="Bullet0">
    <w:name w:val="Bullet 0"/>
    <w:basedOn w:val="Normal"/>
    <w:rsid w:val="00517205"/>
    <w:pPr>
      <w:numPr>
        <w:numId w:val="41"/>
      </w:numPr>
    </w:pPr>
  </w:style>
  <w:style w:type="paragraph" w:customStyle="1" w:styleId="Bullet1">
    <w:name w:val="Bullet 1"/>
    <w:basedOn w:val="Normal"/>
    <w:rsid w:val="00517205"/>
    <w:pPr>
      <w:numPr>
        <w:numId w:val="42"/>
      </w:numPr>
    </w:pPr>
  </w:style>
  <w:style w:type="paragraph" w:customStyle="1" w:styleId="Bullet2">
    <w:name w:val="Bullet 2"/>
    <w:basedOn w:val="Normal"/>
    <w:rsid w:val="00517205"/>
    <w:pPr>
      <w:numPr>
        <w:numId w:val="43"/>
      </w:numPr>
    </w:pPr>
  </w:style>
  <w:style w:type="paragraph" w:customStyle="1" w:styleId="Bullet3">
    <w:name w:val="Bullet 3"/>
    <w:basedOn w:val="Normal"/>
    <w:rsid w:val="00517205"/>
    <w:pPr>
      <w:numPr>
        <w:numId w:val="44"/>
      </w:numPr>
    </w:pPr>
  </w:style>
  <w:style w:type="paragraph" w:customStyle="1" w:styleId="Bullet4">
    <w:name w:val="Bullet 4"/>
    <w:basedOn w:val="Normal"/>
    <w:rsid w:val="00517205"/>
    <w:pPr>
      <w:numPr>
        <w:numId w:val="45"/>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6"/>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 w:type="paragraph" w:customStyle="1" w:styleId="oj-normal">
    <w:name w:val="oj-normal"/>
    <w:basedOn w:val="Normal"/>
    <w:rsid w:val="0049405E"/>
    <w:pPr>
      <w:spacing w:before="100" w:beforeAutospacing="1" w:after="100" w:afterAutospacing="1"/>
      <w:jc w:val="left"/>
    </w:pPr>
    <w:rPr>
      <w:rFonts w:ascii="Calibri" w:hAnsi="Calibri" w:cs="Calibri"/>
      <w:sz w:val="22"/>
      <w:lang w:val="en-IE" w:eastAsia="en-IE"/>
    </w:rPr>
  </w:style>
  <w:style w:type="character" w:customStyle="1" w:styleId="oj-italic">
    <w:name w:val="oj-italic"/>
    <w:basedOn w:val="DefaultParagraphFont"/>
    <w:rsid w:val="0049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6987">
      <w:bodyDiv w:val="1"/>
      <w:marLeft w:val="0"/>
      <w:marRight w:val="0"/>
      <w:marTop w:val="0"/>
      <w:marBottom w:val="0"/>
      <w:divBdr>
        <w:top w:val="none" w:sz="0" w:space="0" w:color="auto"/>
        <w:left w:val="none" w:sz="0" w:space="0" w:color="auto"/>
        <w:bottom w:val="none" w:sz="0" w:space="0" w:color="auto"/>
        <w:right w:val="none" w:sz="0" w:space="0" w:color="auto"/>
      </w:divBdr>
    </w:div>
    <w:div w:id="136846365">
      <w:bodyDiv w:val="1"/>
      <w:marLeft w:val="0"/>
      <w:marRight w:val="0"/>
      <w:marTop w:val="0"/>
      <w:marBottom w:val="0"/>
      <w:divBdr>
        <w:top w:val="none" w:sz="0" w:space="0" w:color="auto"/>
        <w:left w:val="none" w:sz="0" w:space="0" w:color="auto"/>
        <w:bottom w:val="none" w:sz="0" w:space="0" w:color="auto"/>
        <w:right w:val="none" w:sz="0" w:space="0" w:color="auto"/>
      </w:divBdr>
    </w:div>
    <w:div w:id="161435609">
      <w:bodyDiv w:val="1"/>
      <w:marLeft w:val="0"/>
      <w:marRight w:val="0"/>
      <w:marTop w:val="0"/>
      <w:marBottom w:val="0"/>
      <w:divBdr>
        <w:top w:val="none" w:sz="0" w:space="0" w:color="auto"/>
        <w:left w:val="none" w:sz="0" w:space="0" w:color="auto"/>
        <w:bottom w:val="none" w:sz="0" w:space="0" w:color="auto"/>
        <w:right w:val="none" w:sz="0" w:space="0" w:color="auto"/>
      </w:divBdr>
    </w:div>
    <w:div w:id="207962640">
      <w:bodyDiv w:val="1"/>
      <w:marLeft w:val="0"/>
      <w:marRight w:val="0"/>
      <w:marTop w:val="0"/>
      <w:marBottom w:val="0"/>
      <w:divBdr>
        <w:top w:val="none" w:sz="0" w:space="0" w:color="auto"/>
        <w:left w:val="none" w:sz="0" w:space="0" w:color="auto"/>
        <w:bottom w:val="none" w:sz="0" w:space="0" w:color="auto"/>
        <w:right w:val="none" w:sz="0" w:space="0" w:color="auto"/>
      </w:divBdr>
    </w:div>
    <w:div w:id="208540611">
      <w:bodyDiv w:val="1"/>
      <w:marLeft w:val="0"/>
      <w:marRight w:val="0"/>
      <w:marTop w:val="0"/>
      <w:marBottom w:val="0"/>
      <w:divBdr>
        <w:top w:val="none" w:sz="0" w:space="0" w:color="auto"/>
        <w:left w:val="none" w:sz="0" w:space="0" w:color="auto"/>
        <w:bottom w:val="none" w:sz="0" w:space="0" w:color="auto"/>
        <w:right w:val="none" w:sz="0" w:space="0" w:color="auto"/>
      </w:divBdr>
    </w:div>
    <w:div w:id="209877085">
      <w:bodyDiv w:val="1"/>
      <w:marLeft w:val="0"/>
      <w:marRight w:val="0"/>
      <w:marTop w:val="0"/>
      <w:marBottom w:val="0"/>
      <w:divBdr>
        <w:top w:val="none" w:sz="0" w:space="0" w:color="auto"/>
        <w:left w:val="none" w:sz="0" w:space="0" w:color="auto"/>
        <w:bottom w:val="none" w:sz="0" w:space="0" w:color="auto"/>
        <w:right w:val="none" w:sz="0" w:space="0" w:color="auto"/>
      </w:divBdr>
    </w:div>
    <w:div w:id="223566760">
      <w:bodyDiv w:val="1"/>
      <w:marLeft w:val="0"/>
      <w:marRight w:val="0"/>
      <w:marTop w:val="0"/>
      <w:marBottom w:val="0"/>
      <w:divBdr>
        <w:top w:val="none" w:sz="0" w:space="0" w:color="auto"/>
        <w:left w:val="none" w:sz="0" w:space="0" w:color="auto"/>
        <w:bottom w:val="none" w:sz="0" w:space="0" w:color="auto"/>
        <w:right w:val="none" w:sz="0" w:space="0" w:color="auto"/>
      </w:divBdr>
    </w:div>
    <w:div w:id="224416210">
      <w:bodyDiv w:val="1"/>
      <w:marLeft w:val="0"/>
      <w:marRight w:val="0"/>
      <w:marTop w:val="0"/>
      <w:marBottom w:val="0"/>
      <w:divBdr>
        <w:top w:val="none" w:sz="0" w:space="0" w:color="auto"/>
        <w:left w:val="none" w:sz="0" w:space="0" w:color="auto"/>
        <w:bottom w:val="none" w:sz="0" w:space="0" w:color="auto"/>
        <w:right w:val="none" w:sz="0" w:space="0" w:color="auto"/>
      </w:divBdr>
    </w:div>
    <w:div w:id="262958639">
      <w:bodyDiv w:val="1"/>
      <w:marLeft w:val="0"/>
      <w:marRight w:val="0"/>
      <w:marTop w:val="0"/>
      <w:marBottom w:val="0"/>
      <w:divBdr>
        <w:top w:val="none" w:sz="0" w:space="0" w:color="auto"/>
        <w:left w:val="none" w:sz="0" w:space="0" w:color="auto"/>
        <w:bottom w:val="none" w:sz="0" w:space="0" w:color="auto"/>
        <w:right w:val="none" w:sz="0" w:space="0" w:color="auto"/>
      </w:divBdr>
      <w:divsChild>
        <w:div w:id="1287809572">
          <w:marLeft w:val="0"/>
          <w:marRight w:val="0"/>
          <w:marTop w:val="0"/>
          <w:marBottom w:val="0"/>
          <w:divBdr>
            <w:top w:val="none" w:sz="0" w:space="0" w:color="auto"/>
            <w:left w:val="none" w:sz="0" w:space="0" w:color="auto"/>
            <w:bottom w:val="none" w:sz="0" w:space="0" w:color="auto"/>
            <w:right w:val="none" w:sz="0" w:space="0" w:color="auto"/>
          </w:divBdr>
          <w:divsChild>
            <w:div w:id="1308977271">
              <w:marLeft w:val="0"/>
              <w:marRight w:val="0"/>
              <w:marTop w:val="0"/>
              <w:marBottom w:val="0"/>
              <w:divBdr>
                <w:top w:val="none" w:sz="0" w:space="0" w:color="auto"/>
                <w:left w:val="none" w:sz="0" w:space="0" w:color="auto"/>
                <w:bottom w:val="none" w:sz="0" w:space="0" w:color="auto"/>
                <w:right w:val="none" w:sz="0" w:space="0" w:color="auto"/>
              </w:divBdr>
              <w:divsChild>
                <w:div w:id="376512483">
                  <w:marLeft w:val="0"/>
                  <w:marRight w:val="0"/>
                  <w:marTop w:val="0"/>
                  <w:marBottom w:val="0"/>
                  <w:divBdr>
                    <w:top w:val="none" w:sz="0" w:space="0" w:color="auto"/>
                    <w:left w:val="none" w:sz="0" w:space="0" w:color="auto"/>
                    <w:bottom w:val="none" w:sz="0" w:space="0" w:color="auto"/>
                    <w:right w:val="none" w:sz="0" w:space="0" w:color="auto"/>
                  </w:divBdr>
                  <w:divsChild>
                    <w:div w:id="410548003">
                      <w:marLeft w:val="1"/>
                      <w:marRight w:val="1"/>
                      <w:marTop w:val="0"/>
                      <w:marBottom w:val="0"/>
                      <w:divBdr>
                        <w:top w:val="none" w:sz="0" w:space="0" w:color="auto"/>
                        <w:left w:val="none" w:sz="0" w:space="0" w:color="auto"/>
                        <w:bottom w:val="none" w:sz="0" w:space="0" w:color="auto"/>
                        <w:right w:val="none" w:sz="0" w:space="0" w:color="auto"/>
                      </w:divBdr>
                      <w:divsChild>
                        <w:div w:id="728767824">
                          <w:marLeft w:val="0"/>
                          <w:marRight w:val="0"/>
                          <w:marTop w:val="0"/>
                          <w:marBottom w:val="0"/>
                          <w:divBdr>
                            <w:top w:val="none" w:sz="0" w:space="0" w:color="auto"/>
                            <w:left w:val="none" w:sz="0" w:space="0" w:color="auto"/>
                            <w:bottom w:val="none" w:sz="0" w:space="0" w:color="auto"/>
                            <w:right w:val="none" w:sz="0" w:space="0" w:color="auto"/>
                          </w:divBdr>
                          <w:divsChild>
                            <w:div w:id="1247378081">
                              <w:marLeft w:val="0"/>
                              <w:marRight w:val="0"/>
                              <w:marTop w:val="0"/>
                              <w:marBottom w:val="0"/>
                              <w:divBdr>
                                <w:top w:val="none" w:sz="0" w:space="0" w:color="auto"/>
                                <w:left w:val="none" w:sz="0" w:space="0" w:color="auto"/>
                                <w:bottom w:val="none" w:sz="0" w:space="0" w:color="auto"/>
                                <w:right w:val="none" w:sz="0" w:space="0" w:color="auto"/>
                              </w:divBdr>
                              <w:divsChild>
                                <w:div w:id="1352609797">
                                  <w:marLeft w:val="0"/>
                                  <w:marRight w:val="0"/>
                                  <w:marTop w:val="0"/>
                                  <w:marBottom w:val="360"/>
                                  <w:divBdr>
                                    <w:top w:val="none" w:sz="0" w:space="0" w:color="auto"/>
                                    <w:left w:val="none" w:sz="0" w:space="0" w:color="auto"/>
                                    <w:bottom w:val="none" w:sz="0" w:space="0" w:color="auto"/>
                                    <w:right w:val="none" w:sz="0" w:space="0" w:color="auto"/>
                                  </w:divBdr>
                                  <w:divsChild>
                                    <w:div w:id="311830800">
                                      <w:marLeft w:val="0"/>
                                      <w:marRight w:val="0"/>
                                      <w:marTop w:val="0"/>
                                      <w:marBottom w:val="0"/>
                                      <w:divBdr>
                                        <w:top w:val="none" w:sz="0" w:space="0" w:color="auto"/>
                                        <w:left w:val="none" w:sz="0" w:space="0" w:color="auto"/>
                                        <w:bottom w:val="none" w:sz="0" w:space="0" w:color="auto"/>
                                        <w:right w:val="none" w:sz="0" w:space="0" w:color="auto"/>
                                      </w:divBdr>
                                      <w:divsChild>
                                        <w:div w:id="346449561">
                                          <w:marLeft w:val="0"/>
                                          <w:marRight w:val="0"/>
                                          <w:marTop w:val="0"/>
                                          <w:marBottom w:val="0"/>
                                          <w:divBdr>
                                            <w:top w:val="none" w:sz="0" w:space="0" w:color="auto"/>
                                            <w:left w:val="none" w:sz="0" w:space="0" w:color="auto"/>
                                            <w:bottom w:val="none" w:sz="0" w:space="0" w:color="auto"/>
                                            <w:right w:val="none" w:sz="0" w:space="0" w:color="auto"/>
                                          </w:divBdr>
                                          <w:divsChild>
                                            <w:div w:id="186985402">
                                              <w:marLeft w:val="0"/>
                                              <w:marRight w:val="0"/>
                                              <w:marTop w:val="0"/>
                                              <w:marBottom w:val="0"/>
                                              <w:divBdr>
                                                <w:top w:val="none" w:sz="0" w:space="0" w:color="auto"/>
                                                <w:left w:val="none" w:sz="0" w:space="0" w:color="auto"/>
                                                <w:bottom w:val="none" w:sz="0" w:space="0" w:color="auto"/>
                                                <w:right w:val="none" w:sz="0" w:space="0" w:color="auto"/>
                                              </w:divBdr>
                                            </w:div>
                                            <w:div w:id="526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6254218">
      <w:bodyDiv w:val="1"/>
      <w:marLeft w:val="0"/>
      <w:marRight w:val="0"/>
      <w:marTop w:val="0"/>
      <w:marBottom w:val="0"/>
      <w:divBdr>
        <w:top w:val="none" w:sz="0" w:space="0" w:color="auto"/>
        <w:left w:val="none" w:sz="0" w:space="0" w:color="auto"/>
        <w:bottom w:val="none" w:sz="0" w:space="0" w:color="auto"/>
        <w:right w:val="none" w:sz="0" w:space="0" w:color="auto"/>
      </w:divBdr>
    </w:div>
    <w:div w:id="295180772">
      <w:bodyDiv w:val="1"/>
      <w:marLeft w:val="0"/>
      <w:marRight w:val="0"/>
      <w:marTop w:val="0"/>
      <w:marBottom w:val="0"/>
      <w:divBdr>
        <w:top w:val="none" w:sz="0" w:space="0" w:color="auto"/>
        <w:left w:val="none" w:sz="0" w:space="0" w:color="auto"/>
        <w:bottom w:val="none" w:sz="0" w:space="0" w:color="auto"/>
        <w:right w:val="none" w:sz="0" w:space="0" w:color="auto"/>
      </w:divBdr>
      <w:divsChild>
        <w:div w:id="1643584985">
          <w:marLeft w:val="0"/>
          <w:marRight w:val="0"/>
          <w:marTop w:val="0"/>
          <w:marBottom w:val="0"/>
          <w:divBdr>
            <w:top w:val="none" w:sz="0" w:space="0" w:color="auto"/>
            <w:left w:val="none" w:sz="0" w:space="0" w:color="auto"/>
            <w:bottom w:val="none" w:sz="0" w:space="0" w:color="auto"/>
            <w:right w:val="none" w:sz="0" w:space="0" w:color="auto"/>
          </w:divBdr>
          <w:divsChild>
            <w:div w:id="1184125517">
              <w:marLeft w:val="0"/>
              <w:marRight w:val="0"/>
              <w:marTop w:val="0"/>
              <w:marBottom w:val="0"/>
              <w:divBdr>
                <w:top w:val="none" w:sz="0" w:space="0" w:color="auto"/>
                <w:left w:val="none" w:sz="0" w:space="0" w:color="auto"/>
                <w:bottom w:val="none" w:sz="0" w:space="0" w:color="auto"/>
                <w:right w:val="none" w:sz="0" w:space="0" w:color="auto"/>
              </w:divBdr>
              <w:divsChild>
                <w:div w:id="1824470252">
                  <w:marLeft w:val="0"/>
                  <w:marRight w:val="0"/>
                  <w:marTop w:val="0"/>
                  <w:marBottom w:val="0"/>
                  <w:divBdr>
                    <w:top w:val="none" w:sz="0" w:space="0" w:color="auto"/>
                    <w:left w:val="none" w:sz="0" w:space="0" w:color="auto"/>
                    <w:bottom w:val="none" w:sz="0" w:space="0" w:color="auto"/>
                    <w:right w:val="none" w:sz="0" w:space="0" w:color="auto"/>
                  </w:divBdr>
                  <w:divsChild>
                    <w:div w:id="2078479945">
                      <w:marLeft w:val="1"/>
                      <w:marRight w:val="1"/>
                      <w:marTop w:val="0"/>
                      <w:marBottom w:val="0"/>
                      <w:divBdr>
                        <w:top w:val="none" w:sz="0" w:space="0" w:color="auto"/>
                        <w:left w:val="none" w:sz="0" w:space="0" w:color="auto"/>
                        <w:bottom w:val="none" w:sz="0" w:space="0" w:color="auto"/>
                        <w:right w:val="none" w:sz="0" w:space="0" w:color="auto"/>
                      </w:divBdr>
                      <w:divsChild>
                        <w:div w:id="997851199">
                          <w:marLeft w:val="0"/>
                          <w:marRight w:val="0"/>
                          <w:marTop w:val="0"/>
                          <w:marBottom w:val="0"/>
                          <w:divBdr>
                            <w:top w:val="none" w:sz="0" w:space="0" w:color="auto"/>
                            <w:left w:val="none" w:sz="0" w:space="0" w:color="auto"/>
                            <w:bottom w:val="none" w:sz="0" w:space="0" w:color="auto"/>
                            <w:right w:val="none" w:sz="0" w:space="0" w:color="auto"/>
                          </w:divBdr>
                          <w:divsChild>
                            <w:div w:id="1845510370">
                              <w:marLeft w:val="0"/>
                              <w:marRight w:val="0"/>
                              <w:marTop w:val="0"/>
                              <w:marBottom w:val="360"/>
                              <w:divBdr>
                                <w:top w:val="none" w:sz="0" w:space="0" w:color="auto"/>
                                <w:left w:val="none" w:sz="0" w:space="0" w:color="auto"/>
                                <w:bottom w:val="none" w:sz="0" w:space="0" w:color="auto"/>
                                <w:right w:val="none" w:sz="0" w:space="0" w:color="auto"/>
                              </w:divBdr>
                              <w:divsChild>
                                <w:div w:id="1305115873">
                                  <w:marLeft w:val="0"/>
                                  <w:marRight w:val="0"/>
                                  <w:marTop w:val="0"/>
                                  <w:marBottom w:val="0"/>
                                  <w:divBdr>
                                    <w:top w:val="none" w:sz="0" w:space="0" w:color="auto"/>
                                    <w:left w:val="none" w:sz="0" w:space="0" w:color="auto"/>
                                    <w:bottom w:val="none" w:sz="0" w:space="0" w:color="auto"/>
                                    <w:right w:val="none" w:sz="0" w:space="0" w:color="auto"/>
                                  </w:divBdr>
                                  <w:divsChild>
                                    <w:div w:id="1322929733">
                                      <w:marLeft w:val="0"/>
                                      <w:marRight w:val="0"/>
                                      <w:marTop w:val="0"/>
                                      <w:marBottom w:val="0"/>
                                      <w:divBdr>
                                        <w:top w:val="none" w:sz="0" w:space="0" w:color="auto"/>
                                        <w:left w:val="none" w:sz="0" w:space="0" w:color="auto"/>
                                        <w:bottom w:val="none" w:sz="0" w:space="0" w:color="auto"/>
                                        <w:right w:val="none" w:sz="0" w:space="0" w:color="auto"/>
                                      </w:divBdr>
                                      <w:divsChild>
                                        <w:div w:id="1815367772">
                                          <w:marLeft w:val="0"/>
                                          <w:marRight w:val="0"/>
                                          <w:marTop w:val="0"/>
                                          <w:marBottom w:val="0"/>
                                          <w:divBdr>
                                            <w:top w:val="none" w:sz="0" w:space="0" w:color="auto"/>
                                            <w:left w:val="none" w:sz="0" w:space="0" w:color="auto"/>
                                            <w:bottom w:val="none" w:sz="0" w:space="0" w:color="auto"/>
                                            <w:right w:val="none" w:sz="0" w:space="0" w:color="auto"/>
                                          </w:divBdr>
                                        </w:div>
                                        <w:div w:id="17444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466120">
      <w:bodyDiv w:val="1"/>
      <w:marLeft w:val="0"/>
      <w:marRight w:val="0"/>
      <w:marTop w:val="0"/>
      <w:marBottom w:val="0"/>
      <w:divBdr>
        <w:top w:val="none" w:sz="0" w:space="0" w:color="auto"/>
        <w:left w:val="none" w:sz="0" w:space="0" w:color="auto"/>
        <w:bottom w:val="none" w:sz="0" w:space="0" w:color="auto"/>
        <w:right w:val="none" w:sz="0" w:space="0" w:color="auto"/>
      </w:divBdr>
    </w:div>
    <w:div w:id="333533137">
      <w:bodyDiv w:val="1"/>
      <w:marLeft w:val="0"/>
      <w:marRight w:val="0"/>
      <w:marTop w:val="0"/>
      <w:marBottom w:val="0"/>
      <w:divBdr>
        <w:top w:val="none" w:sz="0" w:space="0" w:color="auto"/>
        <w:left w:val="none" w:sz="0" w:space="0" w:color="auto"/>
        <w:bottom w:val="none" w:sz="0" w:space="0" w:color="auto"/>
        <w:right w:val="none" w:sz="0" w:space="0" w:color="auto"/>
      </w:divBdr>
    </w:div>
    <w:div w:id="348681431">
      <w:bodyDiv w:val="1"/>
      <w:marLeft w:val="0"/>
      <w:marRight w:val="0"/>
      <w:marTop w:val="0"/>
      <w:marBottom w:val="0"/>
      <w:divBdr>
        <w:top w:val="none" w:sz="0" w:space="0" w:color="auto"/>
        <w:left w:val="none" w:sz="0" w:space="0" w:color="auto"/>
        <w:bottom w:val="none" w:sz="0" w:space="0" w:color="auto"/>
        <w:right w:val="none" w:sz="0" w:space="0" w:color="auto"/>
      </w:divBdr>
    </w:div>
    <w:div w:id="351612388">
      <w:bodyDiv w:val="1"/>
      <w:marLeft w:val="0"/>
      <w:marRight w:val="0"/>
      <w:marTop w:val="0"/>
      <w:marBottom w:val="0"/>
      <w:divBdr>
        <w:top w:val="none" w:sz="0" w:space="0" w:color="auto"/>
        <w:left w:val="none" w:sz="0" w:space="0" w:color="auto"/>
        <w:bottom w:val="none" w:sz="0" w:space="0" w:color="auto"/>
        <w:right w:val="none" w:sz="0" w:space="0" w:color="auto"/>
      </w:divBdr>
    </w:div>
    <w:div w:id="378482219">
      <w:bodyDiv w:val="1"/>
      <w:marLeft w:val="0"/>
      <w:marRight w:val="0"/>
      <w:marTop w:val="0"/>
      <w:marBottom w:val="0"/>
      <w:divBdr>
        <w:top w:val="none" w:sz="0" w:space="0" w:color="auto"/>
        <w:left w:val="none" w:sz="0" w:space="0" w:color="auto"/>
        <w:bottom w:val="none" w:sz="0" w:space="0" w:color="auto"/>
        <w:right w:val="none" w:sz="0" w:space="0" w:color="auto"/>
      </w:divBdr>
    </w:div>
    <w:div w:id="393240598">
      <w:bodyDiv w:val="1"/>
      <w:marLeft w:val="0"/>
      <w:marRight w:val="0"/>
      <w:marTop w:val="0"/>
      <w:marBottom w:val="0"/>
      <w:divBdr>
        <w:top w:val="none" w:sz="0" w:space="0" w:color="auto"/>
        <w:left w:val="none" w:sz="0" w:space="0" w:color="auto"/>
        <w:bottom w:val="none" w:sz="0" w:space="0" w:color="auto"/>
        <w:right w:val="none" w:sz="0" w:space="0" w:color="auto"/>
      </w:divBdr>
      <w:divsChild>
        <w:div w:id="329337695">
          <w:marLeft w:val="0"/>
          <w:marRight w:val="0"/>
          <w:marTop w:val="0"/>
          <w:marBottom w:val="0"/>
          <w:divBdr>
            <w:top w:val="none" w:sz="0" w:space="0" w:color="auto"/>
            <w:left w:val="none" w:sz="0" w:space="0" w:color="auto"/>
            <w:bottom w:val="none" w:sz="0" w:space="0" w:color="auto"/>
            <w:right w:val="none" w:sz="0" w:space="0" w:color="auto"/>
          </w:divBdr>
        </w:div>
      </w:divsChild>
    </w:div>
    <w:div w:id="402720977">
      <w:bodyDiv w:val="1"/>
      <w:marLeft w:val="0"/>
      <w:marRight w:val="0"/>
      <w:marTop w:val="0"/>
      <w:marBottom w:val="0"/>
      <w:divBdr>
        <w:top w:val="none" w:sz="0" w:space="0" w:color="auto"/>
        <w:left w:val="none" w:sz="0" w:space="0" w:color="auto"/>
        <w:bottom w:val="none" w:sz="0" w:space="0" w:color="auto"/>
        <w:right w:val="none" w:sz="0" w:space="0" w:color="auto"/>
      </w:divBdr>
    </w:div>
    <w:div w:id="405880163">
      <w:bodyDiv w:val="1"/>
      <w:marLeft w:val="0"/>
      <w:marRight w:val="0"/>
      <w:marTop w:val="0"/>
      <w:marBottom w:val="0"/>
      <w:divBdr>
        <w:top w:val="none" w:sz="0" w:space="0" w:color="auto"/>
        <w:left w:val="none" w:sz="0" w:space="0" w:color="auto"/>
        <w:bottom w:val="none" w:sz="0" w:space="0" w:color="auto"/>
        <w:right w:val="none" w:sz="0" w:space="0" w:color="auto"/>
      </w:divBdr>
      <w:divsChild>
        <w:div w:id="1316690312">
          <w:marLeft w:val="0"/>
          <w:marRight w:val="0"/>
          <w:marTop w:val="0"/>
          <w:marBottom w:val="0"/>
          <w:divBdr>
            <w:top w:val="none" w:sz="0" w:space="0" w:color="auto"/>
            <w:left w:val="none" w:sz="0" w:space="0" w:color="auto"/>
            <w:bottom w:val="none" w:sz="0" w:space="0" w:color="auto"/>
            <w:right w:val="none" w:sz="0" w:space="0" w:color="auto"/>
          </w:divBdr>
          <w:divsChild>
            <w:div w:id="1227914411">
              <w:marLeft w:val="0"/>
              <w:marRight w:val="0"/>
              <w:marTop w:val="0"/>
              <w:marBottom w:val="0"/>
              <w:divBdr>
                <w:top w:val="none" w:sz="0" w:space="0" w:color="auto"/>
                <w:left w:val="none" w:sz="0" w:space="0" w:color="auto"/>
                <w:bottom w:val="none" w:sz="0" w:space="0" w:color="auto"/>
                <w:right w:val="none" w:sz="0" w:space="0" w:color="auto"/>
              </w:divBdr>
              <w:divsChild>
                <w:div w:id="1905480962">
                  <w:marLeft w:val="0"/>
                  <w:marRight w:val="0"/>
                  <w:marTop w:val="0"/>
                  <w:marBottom w:val="0"/>
                  <w:divBdr>
                    <w:top w:val="none" w:sz="0" w:space="0" w:color="auto"/>
                    <w:left w:val="none" w:sz="0" w:space="0" w:color="auto"/>
                    <w:bottom w:val="none" w:sz="0" w:space="0" w:color="auto"/>
                    <w:right w:val="none" w:sz="0" w:space="0" w:color="auto"/>
                  </w:divBdr>
                  <w:divsChild>
                    <w:div w:id="34739461">
                      <w:marLeft w:val="1"/>
                      <w:marRight w:val="1"/>
                      <w:marTop w:val="0"/>
                      <w:marBottom w:val="0"/>
                      <w:divBdr>
                        <w:top w:val="none" w:sz="0" w:space="0" w:color="auto"/>
                        <w:left w:val="none" w:sz="0" w:space="0" w:color="auto"/>
                        <w:bottom w:val="none" w:sz="0" w:space="0" w:color="auto"/>
                        <w:right w:val="none" w:sz="0" w:space="0" w:color="auto"/>
                      </w:divBdr>
                      <w:divsChild>
                        <w:div w:id="1355765352">
                          <w:marLeft w:val="0"/>
                          <w:marRight w:val="0"/>
                          <w:marTop w:val="0"/>
                          <w:marBottom w:val="0"/>
                          <w:divBdr>
                            <w:top w:val="none" w:sz="0" w:space="0" w:color="auto"/>
                            <w:left w:val="none" w:sz="0" w:space="0" w:color="auto"/>
                            <w:bottom w:val="none" w:sz="0" w:space="0" w:color="auto"/>
                            <w:right w:val="none" w:sz="0" w:space="0" w:color="auto"/>
                          </w:divBdr>
                          <w:divsChild>
                            <w:div w:id="1958750206">
                              <w:marLeft w:val="0"/>
                              <w:marRight w:val="0"/>
                              <w:marTop w:val="0"/>
                              <w:marBottom w:val="360"/>
                              <w:divBdr>
                                <w:top w:val="none" w:sz="0" w:space="0" w:color="auto"/>
                                <w:left w:val="none" w:sz="0" w:space="0" w:color="auto"/>
                                <w:bottom w:val="none" w:sz="0" w:space="0" w:color="auto"/>
                                <w:right w:val="none" w:sz="0" w:space="0" w:color="auto"/>
                              </w:divBdr>
                              <w:divsChild>
                                <w:div w:id="911424215">
                                  <w:marLeft w:val="0"/>
                                  <w:marRight w:val="0"/>
                                  <w:marTop w:val="0"/>
                                  <w:marBottom w:val="0"/>
                                  <w:divBdr>
                                    <w:top w:val="none" w:sz="0" w:space="0" w:color="auto"/>
                                    <w:left w:val="none" w:sz="0" w:space="0" w:color="auto"/>
                                    <w:bottom w:val="none" w:sz="0" w:space="0" w:color="auto"/>
                                    <w:right w:val="none" w:sz="0" w:space="0" w:color="auto"/>
                                  </w:divBdr>
                                  <w:divsChild>
                                    <w:div w:id="1817186980">
                                      <w:marLeft w:val="0"/>
                                      <w:marRight w:val="0"/>
                                      <w:marTop w:val="0"/>
                                      <w:marBottom w:val="0"/>
                                      <w:divBdr>
                                        <w:top w:val="none" w:sz="0" w:space="0" w:color="auto"/>
                                        <w:left w:val="none" w:sz="0" w:space="0" w:color="auto"/>
                                        <w:bottom w:val="none" w:sz="0" w:space="0" w:color="auto"/>
                                        <w:right w:val="none" w:sz="0" w:space="0" w:color="auto"/>
                                      </w:divBdr>
                                      <w:divsChild>
                                        <w:div w:id="589699503">
                                          <w:marLeft w:val="0"/>
                                          <w:marRight w:val="0"/>
                                          <w:marTop w:val="0"/>
                                          <w:marBottom w:val="0"/>
                                          <w:divBdr>
                                            <w:top w:val="none" w:sz="0" w:space="0" w:color="auto"/>
                                            <w:left w:val="none" w:sz="0" w:space="0" w:color="auto"/>
                                            <w:bottom w:val="none" w:sz="0" w:space="0" w:color="auto"/>
                                            <w:right w:val="none" w:sz="0" w:space="0" w:color="auto"/>
                                          </w:divBdr>
                                          <w:divsChild>
                                            <w:div w:id="1483308619">
                                              <w:marLeft w:val="0"/>
                                              <w:marRight w:val="0"/>
                                              <w:marTop w:val="0"/>
                                              <w:marBottom w:val="0"/>
                                              <w:divBdr>
                                                <w:top w:val="none" w:sz="0" w:space="0" w:color="auto"/>
                                                <w:left w:val="none" w:sz="0" w:space="0" w:color="auto"/>
                                                <w:bottom w:val="none" w:sz="0" w:space="0" w:color="auto"/>
                                                <w:right w:val="none" w:sz="0" w:space="0" w:color="auto"/>
                                              </w:divBdr>
                                              <w:divsChild>
                                                <w:div w:id="81755164">
                                                  <w:marLeft w:val="0"/>
                                                  <w:marRight w:val="0"/>
                                                  <w:marTop w:val="0"/>
                                                  <w:marBottom w:val="0"/>
                                                  <w:divBdr>
                                                    <w:top w:val="none" w:sz="0" w:space="0" w:color="auto"/>
                                                    <w:left w:val="none" w:sz="0" w:space="0" w:color="auto"/>
                                                    <w:bottom w:val="none" w:sz="0" w:space="0" w:color="auto"/>
                                                    <w:right w:val="none" w:sz="0" w:space="0" w:color="auto"/>
                                                  </w:divBdr>
                                                  <w:divsChild>
                                                    <w:div w:id="996109713">
                                                      <w:marLeft w:val="0"/>
                                                      <w:marRight w:val="0"/>
                                                      <w:marTop w:val="0"/>
                                                      <w:marBottom w:val="0"/>
                                                      <w:divBdr>
                                                        <w:top w:val="none" w:sz="0" w:space="0" w:color="auto"/>
                                                        <w:left w:val="none" w:sz="0" w:space="0" w:color="auto"/>
                                                        <w:bottom w:val="none" w:sz="0" w:space="0" w:color="auto"/>
                                                        <w:right w:val="none" w:sz="0" w:space="0" w:color="auto"/>
                                                      </w:divBdr>
                                                      <w:divsChild>
                                                        <w:div w:id="8096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427448">
      <w:bodyDiv w:val="1"/>
      <w:marLeft w:val="0"/>
      <w:marRight w:val="0"/>
      <w:marTop w:val="0"/>
      <w:marBottom w:val="0"/>
      <w:divBdr>
        <w:top w:val="none" w:sz="0" w:space="0" w:color="auto"/>
        <w:left w:val="none" w:sz="0" w:space="0" w:color="auto"/>
        <w:bottom w:val="none" w:sz="0" w:space="0" w:color="auto"/>
        <w:right w:val="none" w:sz="0" w:space="0" w:color="auto"/>
      </w:divBdr>
    </w:div>
    <w:div w:id="444429540">
      <w:bodyDiv w:val="1"/>
      <w:marLeft w:val="0"/>
      <w:marRight w:val="0"/>
      <w:marTop w:val="0"/>
      <w:marBottom w:val="0"/>
      <w:divBdr>
        <w:top w:val="none" w:sz="0" w:space="0" w:color="auto"/>
        <w:left w:val="none" w:sz="0" w:space="0" w:color="auto"/>
        <w:bottom w:val="none" w:sz="0" w:space="0" w:color="auto"/>
        <w:right w:val="none" w:sz="0" w:space="0" w:color="auto"/>
      </w:divBdr>
      <w:divsChild>
        <w:div w:id="226696828">
          <w:marLeft w:val="0"/>
          <w:marRight w:val="0"/>
          <w:marTop w:val="0"/>
          <w:marBottom w:val="0"/>
          <w:divBdr>
            <w:top w:val="none" w:sz="0" w:space="0" w:color="auto"/>
            <w:left w:val="none" w:sz="0" w:space="0" w:color="auto"/>
            <w:bottom w:val="none" w:sz="0" w:space="0" w:color="auto"/>
            <w:right w:val="none" w:sz="0" w:space="0" w:color="auto"/>
          </w:divBdr>
          <w:divsChild>
            <w:div w:id="1496144135">
              <w:marLeft w:val="0"/>
              <w:marRight w:val="0"/>
              <w:marTop w:val="0"/>
              <w:marBottom w:val="0"/>
              <w:divBdr>
                <w:top w:val="none" w:sz="0" w:space="0" w:color="auto"/>
                <w:left w:val="none" w:sz="0" w:space="0" w:color="auto"/>
                <w:bottom w:val="none" w:sz="0" w:space="0" w:color="auto"/>
                <w:right w:val="none" w:sz="0" w:space="0" w:color="auto"/>
              </w:divBdr>
              <w:divsChild>
                <w:div w:id="1779518335">
                  <w:marLeft w:val="0"/>
                  <w:marRight w:val="0"/>
                  <w:marTop w:val="0"/>
                  <w:marBottom w:val="0"/>
                  <w:divBdr>
                    <w:top w:val="none" w:sz="0" w:space="0" w:color="auto"/>
                    <w:left w:val="none" w:sz="0" w:space="0" w:color="auto"/>
                    <w:bottom w:val="none" w:sz="0" w:space="0" w:color="auto"/>
                    <w:right w:val="none" w:sz="0" w:space="0" w:color="auto"/>
                  </w:divBdr>
                  <w:divsChild>
                    <w:div w:id="233400123">
                      <w:marLeft w:val="1"/>
                      <w:marRight w:val="1"/>
                      <w:marTop w:val="0"/>
                      <w:marBottom w:val="0"/>
                      <w:divBdr>
                        <w:top w:val="none" w:sz="0" w:space="0" w:color="auto"/>
                        <w:left w:val="none" w:sz="0" w:space="0" w:color="auto"/>
                        <w:bottom w:val="none" w:sz="0" w:space="0" w:color="auto"/>
                        <w:right w:val="none" w:sz="0" w:space="0" w:color="auto"/>
                      </w:divBdr>
                      <w:divsChild>
                        <w:div w:id="47807333">
                          <w:marLeft w:val="0"/>
                          <w:marRight w:val="0"/>
                          <w:marTop w:val="0"/>
                          <w:marBottom w:val="0"/>
                          <w:divBdr>
                            <w:top w:val="none" w:sz="0" w:space="0" w:color="auto"/>
                            <w:left w:val="none" w:sz="0" w:space="0" w:color="auto"/>
                            <w:bottom w:val="none" w:sz="0" w:space="0" w:color="auto"/>
                            <w:right w:val="none" w:sz="0" w:space="0" w:color="auto"/>
                          </w:divBdr>
                          <w:divsChild>
                            <w:div w:id="1883861837">
                              <w:marLeft w:val="0"/>
                              <w:marRight w:val="0"/>
                              <w:marTop w:val="0"/>
                              <w:marBottom w:val="360"/>
                              <w:divBdr>
                                <w:top w:val="none" w:sz="0" w:space="0" w:color="auto"/>
                                <w:left w:val="none" w:sz="0" w:space="0" w:color="auto"/>
                                <w:bottom w:val="none" w:sz="0" w:space="0" w:color="auto"/>
                                <w:right w:val="none" w:sz="0" w:space="0" w:color="auto"/>
                              </w:divBdr>
                              <w:divsChild>
                                <w:div w:id="60295485">
                                  <w:marLeft w:val="0"/>
                                  <w:marRight w:val="0"/>
                                  <w:marTop w:val="0"/>
                                  <w:marBottom w:val="0"/>
                                  <w:divBdr>
                                    <w:top w:val="none" w:sz="0" w:space="0" w:color="auto"/>
                                    <w:left w:val="none" w:sz="0" w:space="0" w:color="auto"/>
                                    <w:bottom w:val="none" w:sz="0" w:space="0" w:color="auto"/>
                                    <w:right w:val="none" w:sz="0" w:space="0" w:color="auto"/>
                                  </w:divBdr>
                                  <w:divsChild>
                                    <w:div w:id="1076367227">
                                      <w:marLeft w:val="0"/>
                                      <w:marRight w:val="0"/>
                                      <w:marTop w:val="0"/>
                                      <w:marBottom w:val="0"/>
                                      <w:divBdr>
                                        <w:top w:val="none" w:sz="0" w:space="0" w:color="auto"/>
                                        <w:left w:val="none" w:sz="0" w:space="0" w:color="auto"/>
                                        <w:bottom w:val="none" w:sz="0" w:space="0" w:color="auto"/>
                                        <w:right w:val="none" w:sz="0" w:space="0" w:color="auto"/>
                                      </w:divBdr>
                                      <w:divsChild>
                                        <w:div w:id="2138138638">
                                          <w:marLeft w:val="0"/>
                                          <w:marRight w:val="0"/>
                                          <w:marTop w:val="0"/>
                                          <w:marBottom w:val="0"/>
                                          <w:divBdr>
                                            <w:top w:val="none" w:sz="0" w:space="0" w:color="auto"/>
                                            <w:left w:val="none" w:sz="0" w:space="0" w:color="auto"/>
                                            <w:bottom w:val="none" w:sz="0" w:space="0" w:color="auto"/>
                                            <w:right w:val="none" w:sz="0" w:space="0" w:color="auto"/>
                                          </w:divBdr>
                                        </w:div>
                                        <w:div w:id="20690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939126">
      <w:bodyDiv w:val="1"/>
      <w:marLeft w:val="0"/>
      <w:marRight w:val="0"/>
      <w:marTop w:val="0"/>
      <w:marBottom w:val="0"/>
      <w:divBdr>
        <w:top w:val="none" w:sz="0" w:space="0" w:color="auto"/>
        <w:left w:val="none" w:sz="0" w:space="0" w:color="auto"/>
        <w:bottom w:val="none" w:sz="0" w:space="0" w:color="auto"/>
        <w:right w:val="none" w:sz="0" w:space="0" w:color="auto"/>
      </w:divBdr>
    </w:div>
    <w:div w:id="456727075">
      <w:bodyDiv w:val="1"/>
      <w:marLeft w:val="0"/>
      <w:marRight w:val="0"/>
      <w:marTop w:val="0"/>
      <w:marBottom w:val="0"/>
      <w:divBdr>
        <w:top w:val="none" w:sz="0" w:space="0" w:color="auto"/>
        <w:left w:val="none" w:sz="0" w:space="0" w:color="auto"/>
        <w:bottom w:val="none" w:sz="0" w:space="0" w:color="auto"/>
        <w:right w:val="none" w:sz="0" w:space="0" w:color="auto"/>
      </w:divBdr>
    </w:div>
    <w:div w:id="473254863">
      <w:bodyDiv w:val="1"/>
      <w:marLeft w:val="0"/>
      <w:marRight w:val="0"/>
      <w:marTop w:val="0"/>
      <w:marBottom w:val="0"/>
      <w:divBdr>
        <w:top w:val="none" w:sz="0" w:space="0" w:color="auto"/>
        <w:left w:val="none" w:sz="0" w:space="0" w:color="auto"/>
        <w:bottom w:val="none" w:sz="0" w:space="0" w:color="auto"/>
        <w:right w:val="none" w:sz="0" w:space="0" w:color="auto"/>
      </w:divBdr>
    </w:div>
    <w:div w:id="473908929">
      <w:bodyDiv w:val="1"/>
      <w:marLeft w:val="0"/>
      <w:marRight w:val="0"/>
      <w:marTop w:val="0"/>
      <w:marBottom w:val="0"/>
      <w:divBdr>
        <w:top w:val="none" w:sz="0" w:space="0" w:color="auto"/>
        <w:left w:val="none" w:sz="0" w:space="0" w:color="auto"/>
        <w:bottom w:val="none" w:sz="0" w:space="0" w:color="auto"/>
        <w:right w:val="none" w:sz="0" w:space="0" w:color="auto"/>
      </w:divBdr>
    </w:div>
    <w:div w:id="485632231">
      <w:bodyDiv w:val="1"/>
      <w:marLeft w:val="0"/>
      <w:marRight w:val="0"/>
      <w:marTop w:val="0"/>
      <w:marBottom w:val="0"/>
      <w:divBdr>
        <w:top w:val="none" w:sz="0" w:space="0" w:color="auto"/>
        <w:left w:val="none" w:sz="0" w:space="0" w:color="auto"/>
        <w:bottom w:val="none" w:sz="0" w:space="0" w:color="auto"/>
        <w:right w:val="none" w:sz="0" w:space="0" w:color="auto"/>
      </w:divBdr>
    </w:div>
    <w:div w:id="530845077">
      <w:bodyDiv w:val="1"/>
      <w:marLeft w:val="0"/>
      <w:marRight w:val="0"/>
      <w:marTop w:val="0"/>
      <w:marBottom w:val="0"/>
      <w:divBdr>
        <w:top w:val="none" w:sz="0" w:space="0" w:color="auto"/>
        <w:left w:val="none" w:sz="0" w:space="0" w:color="auto"/>
        <w:bottom w:val="none" w:sz="0" w:space="0" w:color="auto"/>
        <w:right w:val="none" w:sz="0" w:space="0" w:color="auto"/>
      </w:divBdr>
      <w:divsChild>
        <w:div w:id="1367023125">
          <w:marLeft w:val="0"/>
          <w:marRight w:val="0"/>
          <w:marTop w:val="0"/>
          <w:marBottom w:val="0"/>
          <w:divBdr>
            <w:top w:val="none" w:sz="0" w:space="0" w:color="auto"/>
            <w:left w:val="none" w:sz="0" w:space="0" w:color="auto"/>
            <w:bottom w:val="none" w:sz="0" w:space="0" w:color="auto"/>
            <w:right w:val="none" w:sz="0" w:space="0" w:color="auto"/>
          </w:divBdr>
          <w:divsChild>
            <w:div w:id="151604768">
              <w:marLeft w:val="0"/>
              <w:marRight w:val="0"/>
              <w:marTop w:val="0"/>
              <w:marBottom w:val="0"/>
              <w:divBdr>
                <w:top w:val="none" w:sz="0" w:space="0" w:color="auto"/>
                <w:left w:val="none" w:sz="0" w:space="0" w:color="auto"/>
                <w:bottom w:val="none" w:sz="0" w:space="0" w:color="auto"/>
                <w:right w:val="none" w:sz="0" w:space="0" w:color="auto"/>
              </w:divBdr>
              <w:divsChild>
                <w:div w:id="564217738">
                  <w:marLeft w:val="0"/>
                  <w:marRight w:val="0"/>
                  <w:marTop w:val="0"/>
                  <w:marBottom w:val="0"/>
                  <w:divBdr>
                    <w:top w:val="none" w:sz="0" w:space="0" w:color="auto"/>
                    <w:left w:val="none" w:sz="0" w:space="0" w:color="auto"/>
                    <w:bottom w:val="none" w:sz="0" w:space="0" w:color="auto"/>
                    <w:right w:val="none" w:sz="0" w:space="0" w:color="auto"/>
                  </w:divBdr>
                  <w:divsChild>
                    <w:div w:id="1246497657">
                      <w:marLeft w:val="1"/>
                      <w:marRight w:val="1"/>
                      <w:marTop w:val="0"/>
                      <w:marBottom w:val="0"/>
                      <w:divBdr>
                        <w:top w:val="none" w:sz="0" w:space="0" w:color="auto"/>
                        <w:left w:val="none" w:sz="0" w:space="0" w:color="auto"/>
                        <w:bottom w:val="none" w:sz="0" w:space="0" w:color="auto"/>
                        <w:right w:val="none" w:sz="0" w:space="0" w:color="auto"/>
                      </w:divBdr>
                      <w:divsChild>
                        <w:div w:id="1746876842">
                          <w:marLeft w:val="0"/>
                          <w:marRight w:val="0"/>
                          <w:marTop w:val="0"/>
                          <w:marBottom w:val="0"/>
                          <w:divBdr>
                            <w:top w:val="none" w:sz="0" w:space="0" w:color="auto"/>
                            <w:left w:val="none" w:sz="0" w:space="0" w:color="auto"/>
                            <w:bottom w:val="none" w:sz="0" w:space="0" w:color="auto"/>
                            <w:right w:val="none" w:sz="0" w:space="0" w:color="auto"/>
                          </w:divBdr>
                          <w:divsChild>
                            <w:div w:id="1139348491">
                              <w:marLeft w:val="0"/>
                              <w:marRight w:val="0"/>
                              <w:marTop w:val="0"/>
                              <w:marBottom w:val="360"/>
                              <w:divBdr>
                                <w:top w:val="none" w:sz="0" w:space="0" w:color="auto"/>
                                <w:left w:val="none" w:sz="0" w:space="0" w:color="auto"/>
                                <w:bottom w:val="none" w:sz="0" w:space="0" w:color="auto"/>
                                <w:right w:val="none" w:sz="0" w:space="0" w:color="auto"/>
                              </w:divBdr>
                              <w:divsChild>
                                <w:div w:id="1722711534">
                                  <w:marLeft w:val="0"/>
                                  <w:marRight w:val="0"/>
                                  <w:marTop w:val="0"/>
                                  <w:marBottom w:val="0"/>
                                  <w:divBdr>
                                    <w:top w:val="none" w:sz="0" w:space="0" w:color="auto"/>
                                    <w:left w:val="none" w:sz="0" w:space="0" w:color="auto"/>
                                    <w:bottom w:val="none" w:sz="0" w:space="0" w:color="auto"/>
                                    <w:right w:val="none" w:sz="0" w:space="0" w:color="auto"/>
                                  </w:divBdr>
                                  <w:divsChild>
                                    <w:div w:id="1204515577">
                                      <w:marLeft w:val="0"/>
                                      <w:marRight w:val="0"/>
                                      <w:marTop w:val="0"/>
                                      <w:marBottom w:val="0"/>
                                      <w:divBdr>
                                        <w:top w:val="none" w:sz="0" w:space="0" w:color="auto"/>
                                        <w:left w:val="none" w:sz="0" w:space="0" w:color="auto"/>
                                        <w:bottom w:val="none" w:sz="0" w:space="0" w:color="auto"/>
                                        <w:right w:val="none" w:sz="0" w:space="0" w:color="auto"/>
                                      </w:divBdr>
                                      <w:divsChild>
                                        <w:div w:id="184683563">
                                          <w:marLeft w:val="0"/>
                                          <w:marRight w:val="0"/>
                                          <w:marTop w:val="0"/>
                                          <w:marBottom w:val="0"/>
                                          <w:divBdr>
                                            <w:top w:val="none" w:sz="0" w:space="0" w:color="auto"/>
                                            <w:left w:val="none" w:sz="0" w:space="0" w:color="auto"/>
                                            <w:bottom w:val="none" w:sz="0" w:space="0" w:color="auto"/>
                                            <w:right w:val="none" w:sz="0" w:space="0" w:color="auto"/>
                                          </w:divBdr>
                                          <w:divsChild>
                                            <w:div w:id="919171617">
                                              <w:marLeft w:val="0"/>
                                              <w:marRight w:val="0"/>
                                              <w:marTop w:val="0"/>
                                              <w:marBottom w:val="0"/>
                                              <w:divBdr>
                                                <w:top w:val="none" w:sz="0" w:space="0" w:color="auto"/>
                                                <w:left w:val="none" w:sz="0" w:space="0" w:color="auto"/>
                                                <w:bottom w:val="none" w:sz="0" w:space="0" w:color="auto"/>
                                                <w:right w:val="none" w:sz="0" w:space="0" w:color="auto"/>
                                              </w:divBdr>
                                              <w:divsChild>
                                                <w:div w:id="652567437">
                                                  <w:marLeft w:val="0"/>
                                                  <w:marRight w:val="0"/>
                                                  <w:marTop w:val="0"/>
                                                  <w:marBottom w:val="0"/>
                                                  <w:divBdr>
                                                    <w:top w:val="none" w:sz="0" w:space="0" w:color="auto"/>
                                                    <w:left w:val="none" w:sz="0" w:space="0" w:color="auto"/>
                                                    <w:bottom w:val="none" w:sz="0" w:space="0" w:color="auto"/>
                                                    <w:right w:val="none" w:sz="0" w:space="0" w:color="auto"/>
                                                  </w:divBdr>
                                                  <w:divsChild>
                                                    <w:div w:id="2141070920">
                                                      <w:marLeft w:val="0"/>
                                                      <w:marRight w:val="0"/>
                                                      <w:marTop w:val="0"/>
                                                      <w:marBottom w:val="0"/>
                                                      <w:divBdr>
                                                        <w:top w:val="none" w:sz="0" w:space="0" w:color="auto"/>
                                                        <w:left w:val="none" w:sz="0" w:space="0" w:color="auto"/>
                                                        <w:bottom w:val="none" w:sz="0" w:space="0" w:color="auto"/>
                                                        <w:right w:val="none" w:sz="0" w:space="0" w:color="auto"/>
                                                      </w:divBdr>
                                                      <w:divsChild>
                                                        <w:div w:id="21177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650768">
      <w:bodyDiv w:val="1"/>
      <w:marLeft w:val="0"/>
      <w:marRight w:val="0"/>
      <w:marTop w:val="0"/>
      <w:marBottom w:val="0"/>
      <w:divBdr>
        <w:top w:val="none" w:sz="0" w:space="0" w:color="auto"/>
        <w:left w:val="none" w:sz="0" w:space="0" w:color="auto"/>
        <w:bottom w:val="none" w:sz="0" w:space="0" w:color="auto"/>
        <w:right w:val="none" w:sz="0" w:space="0" w:color="auto"/>
      </w:divBdr>
    </w:div>
    <w:div w:id="580410747">
      <w:bodyDiv w:val="1"/>
      <w:marLeft w:val="0"/>
      <w:marRight w:val="0"/>
      <w:marTop w:val="0"/>
      <w:marBottom w:val="0"/>
      <w:divBdr>
        <w:top w:val="none" w:sz="0" w:space="0" w:color="auto"/>
        <w:left w:val="none" w:sz="0" w:space="0" w:color="auto"/>
        <w:bottom w:val="none" w:sz="0" w:space="0" w:color="auto"/>
        <w:right w:val="none" w:sz="0" w:space="0" w:color="auto"/>
      </w:divBdr>
    </w:div>
    <w:div w:id="593243535">
      <w:bodyDiv w:val="1"/>
      <w:marLeft w:val="0"/>
      <w:marRight w:val="0"/>
      <w:marTop w:val="0"/>
      <w:marBottom w:val="0"/>
      <w:divBdr>
        <w:top w:val="none" w:sz="0" w:space="0" w:color="auto"/>
        <w:left w:val="none" w:sz="0" w:space="0" w:color="auto"/>
        <w:bottom w:val="none" w:sz="0" w:space="0" w:color="auto"/>
        <w:right w:val="none" w:sz="0" w:space="0" w:color="auto"/>
      </w:divBdr>
    </w:div>
    <w:div w:id="596181956">
      <w:bodyDiv w:val="1"/>
      <w:marLeft w:val="0"/>
      <w:marRight w:val="0"/>
      <w:marTop w:val="0"/>
      <w:marBottom w:val="0"/>
      <w:divBdr>
        <w:top w:val="none" w:sz="0" w:space="0" w:color="auto"/>
        <w:left w:val="none" w:sz="0" w:space="0" w:color="auto"/>
        <w:bottom w:val="none" w:sz="0" w:space="0" w:color="auto"/>
        <w:right w:val="none" w:sz="0" w:space="0" w:color="auto"/>
      </w:divBdr>
    </w:div>
    <w:div w:id="611015377">
      <w:bodyDiv w:val="1"/>
      <w:marLeft w:val="0"/>
      <w:marRight w:val="0"/>
      <w:marTop w:val="0"/>
      <w:marBottom w:val="0"/>
      <w:divBdr>
        <w:top w:val="none" w:sz="0" w:space="0" w:color="auto"/>
        <w:left w:val="none" w:sz="0" w:space="0" w:color="auto"/>
        <w:bottom w:val="none" w:sz="0" w:space="0" w:color="auto"/>
        <w:right w:val="none" w:sz="0" w:space="0" w:color="auto"/>
      </w:divBdr>
    </w:div>
    <w:div w:id="640581149">
      <w:bodyDiv w:val="1"/>
      <w:marLeft w:val="0"/>
      <w:marRight w:val="0"/>
      <w:marTop w:val="0"/>
      <w:marBottom w:val="0"/>
      <w:divBdr>
        <w:top w:val="none" w:sz="0" w:space="0" w:color="auto"/>
        <w:left w:val="none" w:sz="0" w:space="0" w:color="auto"/>
        <w:bottom w:val="none" w:sz="0" w:space="0" w:color="auto"/>
        <w:right w:val="none" w:sz="0" w:space="0" w:color="auto"/>
      </w:divBdr>
    </w:div>
    <w:div w:id="654529791">
      <w:bodyDiv w:val="1"/>
      <w:marLeft w:val="0"/>
      <w:marRight w:val="0"/>
      <w:marTop w:val="0"/>
      <w:marBottom w:val="0"/>
      <w:divBdr>
        <w:top w:val="none" w:sz="0" w:space="0" w:color="auto"/>
        <w:left w:val="none" w:sz="0" w:space="0" w:color="auto"/>
        <w:bottom w:val="none" w:sz="0" w:space="0" w:color="auto"/>
        <w:right w:val="none" w:sz="0" w:space="0" w:color="auto"/>
      </w:divBdr>
    </w:div>
    <w:div w:id="716970791">
      <w:bodyDiv w:val="1"/>
      <w:marLeft w:val="0"/>
      <w:marRight w:val="0"/>
      <w:marTop w:val="0"/>
      <w:marBottom w:val="0"/>
      <w:divBdr>
        <w:top w:val="none" w:sz="0" w:space="0" w:color="auto"/>
        <w:left w:val="none" w:sz="0" w:space="0" w:color="auto"/>
        <w:bottom w:val="none" w:sz="0" w:space="0" w:color="auto"/>
        <w:right w:val="none" w:sz="0" w:space="0" w:color="auto"/>
      </w:divBdr>
    </w:div>
    <w:div w:id="730806663">
      <w:bodyDiv w:val="1"/>
      <w:marLeft w:val="0"/>
      <w:marRight w:val="0"/>
      <w:marTop w:val="0"/>
      <w:marBottom w:val="0"/>
      <w:divBdr>
        <w:top w:val="none" w:sz="0" w:space="0" w:color="auto"/>
        <w:left w:val="none" w:sz="0" w:space="0" w:color="auto"/>
        <w:bottom w:val="none" w:sz="0" w:space="0" w:color="auto"/>
        <w:right w:val="none" w:sz="0" w:space="0" w:color="auto"/>
      </w:divBdr>
    </w:div>
    <w:div w:id="756438819">
      <w:bodyDiv w:val="1"/>
      <w:marLeft w:val="0"/>
      <w:marRight w:val="0"/>
      <w:marTop w:val="0"/>
      <w:marBottom w:val="0"/>
      <w:divBdr>
        <w:top w:val="none" w:sz="0" w:space="0" w:color="auto"/>
        <w:left w:val="none" w:sz="0" w:space="0" w:color="auto"/>
        <w:bottom w:val="none" w:sz="0" w:space="0" w:color="auto"/>
        <w:right w:val="none" w:sz="0" w:space="0" w:color="auto"/>
      </w:divBdr>
    </w:div>
    <w:div w:id="764034376">
      <w:bodyDiv w:val="1"/>
      <w:marLeft w:val="0"/>
      <w:marRight w:val="0"/>
      <w:marTop w:val="0"/>
      <w:marBottom w:val="0"/>
      <w:divBdr>
        <w:top w:val="none" w:sz="0" w:space="0" w:color="auto"/>
        <w:left w:val="none" w:sz="0" w:space="0" w:color="auto"/>
        <w:bottom w:val="none" w:sz="0" w:space="0" w:color="auto"/>
        <w:right w:val="none" w:sz="0" w:space="0" w:color="auto"/>
      </w:divBdr>
    </w:div>
    <w:div w:id="801073266">
      <w:bodyDiv w:val="1"/>
      <w:marLeft w:val="0"/>
      <w:marRight w:val="0"/>
      <w:marTop w:val="0"/>
      <w:marBottom w:val="0"/>
      <w:divBdr>
        <w:top w:val="none" w:sz="0" w:space="0" w:color="auto"/>
        <w:left w:val="none" w:sz="0" w:space="0" w:color="auto"/>
        <w:bottom w:val="none" w:sz="0" w:space="0" w:color="auto"/>
        <w:right w:val="none" w:sz="0" w:space="0" w:color="auto"/>
      </w:divBdr>
    </w:div>
    <w:div w:id="848253569">
      <w:bodyDiv w:val="1"/>
      <w:marLeft w:val="0"/>
      <w:marRight w:val="0"/>
      <w:marTop w:val="0"/>
      <w:marBottom w:val="0"/>
      <w:divBdr>
        <w:top w:val="none" w:sz="0" w:space="0" w:color="auto"/>
        <w:left w:val="none" w:sz="0" w:space="0" w:color="auto"/>
        <w:bottom w:val="none" w:sz="0" w:space="0" w:color="auto"/>
        <w:right w:val="none" w:sz="0" w:space="0" w:color="auto"/>
      </w:divBdr>
    </w:div>
    <w:div w:id="894314235">
      <w:bodyDiv w:val="1"/>
      <w:marLeft w:val="0"/>
      <w:marRight w:val="0"/>
      <w:marTop w:val="0"/>
      <w:marBottom w:val="0"/>
      <w:divBdr>
        <w:top w:val="none" w:sz="0" w:space="0" w:color="auto"/>
        <w:left w:val="none" w:sz="0" w:space="0" w:color="auto"/>
        <w:bottom w:val="none" w:sz="0" w:space="0" w:color="auto"/>
        <w:right w:val="none" w:sz="0" w:space="0" w:color="auto"/>
      </w:divBdr>
    </w:div>
    <w:div w:id="966163978">
      <w:bodyDiv w:val="1"/>
      <w:marLeft w:val="0"/>
      <w:marRight w:val="0"/>
      <w:marTop w:val="0"/>
      <w:marBottom w:val="0"/>
      <w:divBdr>
        <w:top w:val="none" w:sz="0" w:space="0" w:color="auto"/>
        <w:left w:val="none" w:sz="0" w:space="0" w:color="auto"/>
        <w:bottom w:val="none" w:sz="0" w:space="0" w:color="auto"/>
        <w:right w:val="none" w:sz="0" w:space="0" w:color="auto"/>
      </w:divBdr>
    </w:div>
    <w:div w:id="1012995364">
      <w:bodyDiv w:val="1"/>
      <w:marLeft w:val="0"/>
      <w:marRight w:val="0"/>
      <w:marTop w:val="0"/>
      <w:marBottom w:val="0"/>
      <w:divBdr>
        <w:top w:val="none" w:sz="0" w:space="0" w:color="auto"/>
        <w:left w:val="none" w:sz="0" w:space="0" w:color="auto"/>
        <w:bottom w:val="none" w:sz="0" w:space="0" w:color="auto"/>
        <w:right w:val="none" w:sz="0" w:space="0" w:color="auto"/>
      </w:divBdr>
    </w:div>
    <w:div w:id="1031802442">
      <w:bodyDiv w:val="1"/>
      <w:marLeft w:val="0"/>
      <w:marRight w:val="0"/>
      <w:marTop w:val="0"/>
      <w:marBottom w:val="0"/>
      <w:divBdr>
        <w:top w:val="none" w:sz="0" w:space="0" w:color="auto"/>
        <w:left w:val="none" w:sz="0" w:space="0" w:color="auto"/>
        <w:bottom w:val="none" w:sz="0" w:space="0" w:color="auto"/>
        <w:right w:val="none" w:sz="0" w:space="0" w:color="auto"/>
      </w:divBdr>
    </w:div>
    <w:div w:id="1055816810">
      <w:bodyDiv w:val="1"/>
      <w:marLeft w:val="0"/>
      <w:marRight w:val="0"/>
      <w:marTop w:val="0"/>
      <w:marBottom w:val="0"/>
      <w:divBdr>
        <w:top w:val="none" w:sz="0" w:space="0" w:color="auto"/>
        <w:left w:val="none" w:sz="0" w:space="0" w:color="auto"/>
        <w:bottom w:val="none" w:sz="0" w:space="0" w:color="auto"/>
        <w:right w:val="none" w:sz="0" w:space="0" w:color="auto"/>
      </w:divBdr>
    </w:div>
    <w:div w:id="1081682970">
      <w:bodyDiv w:val="1"/>
      <w:marLeft w:val="0"/>
      <w:marRight w:val="0"/>
      <w:marTop w:val="0"/>
      <w:marBottom w:val="0"/>
      <w:divBdr>
        <w:top w:val="none" w:sz="0" w:space="0" w:color="auto"/>
        <w:left w:val="none" w:sz="0" w:space="0" w:color="auto"/>
        <w:bottom w:val="none" w:sz="0" w:space="0" w:color="auto"/>
        <w:right w:val="none" w:sz="0" w:space="0" w:color="auto"/>
      </w:divBdr>
    </w:div>
    <w:div w:id="1092510795">
      <w:bodyDiv w:val="1"/>
      <w:marLeft w:val="0"/>
      <w:marRight w:val="0"/>
      <w:marTop w:val="0"/>
      <w:marBottom w:val="0"/>
      <w:divBdr>
        <w:top w:val="none" w:sz="0" w:space="0" w:color="auto"/>
        <w:left w:val="none" w:sz="0" w:space="0" w:color="auto"/>
        <w:bottom w:val="none" w:sz="0" w:space="0" w:color="auto"/>
        <w:right w:val="none" w:sz="0" w:space="0" w:color="auto"/>
      </w:divBdr>
    </w:div>
    <w:div w:id="1129978534">
      <w:bodyDiv w:val="1"/>
      <w:marLeft w:val="0"/>
      <w:marRight w:val="0"/>
      <w:marTop w:val="0"/>
      <w:marBottom w:val="0"/>
      <w:divBdr>
        <w:top w:val="none" w:sz="0" w:space="0" w:color="auto"/>
        <w:left w:val="none" w:sz="0" w:space="0" w:color="auto"/>
        <w:bottom w:val="none" w:sz="0" w:space="0" w:color="auto"/>
        <w:right w:val="none" w:sz="0" w:space="0" w:color="auto"/>
      </w:divBdr>
    </w:div>
    <w:div w:id="1147093944">
      <w:bodyDiv w:val="1"/>
      <w:marLeft w:val="0"/>
      <w:marRight w:val="0"/>
      <w:marTop w:val="0"/>
      <w:marBottom w:val="0"/>
      <w:divBdr>
        <w:top w:val="none" w:sz="0" w:space="0" w:color="auto"/>
        <w:left w:val="none" w:sz="0" w:space="0" w:color="auto"/>
        <w:bottom w:val="none" w:sz="0" w:space="0" w:color="auto"/>
        <w:right w:val="none" w:sz="0" w:space="0" w:color="auto"/>
      </w:divBdr>
    </w:div>
    <w:div w:id="1156996772">
      <w:bodyDiv w:val="1"/>
      <w:marLeft w:val="0"/>
      <w:marRight w:val="0"/>
      <w:marTop w:val="0"/>
      <w:marBottom w:val="0"/>
      <w:divBdr>
        <w:top w:val="none" w:sz="0" w:space="0" w:color="auto"/>
        <w:left w:val="none" w:sz="0" w:space="0" w:color="auto"/>
        <w:bottom w:val="none" w:sz="0" w:space="0" w:color="auto"/>
        <w:right w:val="none" w:sz="0" w:space="0" w:color="auto"/>
      </w:divBdr>
    </w:div>
    <w:div w:id="1174689439">
      <w:bodyDiv w:val="1"/>
      <w:marLeft w:val="0"/>
      <w:marRight w:val="0"/>
      <w:marTop w:val="0"/>
      <w:marBottom w:val="0"/>
      <w:divBdr>
        <w:top w:val="none" w:sz="0" w:space="0" w:color="auto"/>
        <w:left w:val="none" w:sz="0" w:space="0" w:color="auto"/>
        <w:bottom w:val="none" w:sz="0" w:space="0" w:color="auto"/>
        <w:right w:val="none" w:sz="0" w:space="0" w:color="auto"/>
      </w:divBdr>
    </w:div>
    <w:div w:id="1205601214">
      <w:bodyDiv w:val="1"/>
      <w:marLeft w:val="0"/>
      <w:marRight w:val="0"/>
      <w:marTop w:val="0"/>
      <w:marBottom w:val="0"/>
      <w:divBdr>
        <w:top w:val="none" w:sz="0" w:space="0" w:color="auto"/>
        <w:left w:val="none" w:sz="0" w:space="0" w:color="auto"/>
        <w:bottom w:val="none" w:sz="0" w:space="0" w:color="auto"/>
        <w:right w:val="none" w:sz="0" w:space="0" w:color="auto"/>
      </w:divBdr>
      <w:divsChild>
        <w:div w:id="1847476327">
          <w:marLeft w:val="0"/>
          <w:marRight w:val="0"/>
          <w:marTop w:val="0"/>
          <w:marBottom w:val="0"/>
          <w:divBdr>
            <w:top w:val="none" w:sz="0" w:space="0" w:color="auto"/>
            <w:left w:val="none" w:sz="0" w:space="0" w:color="auto"/>
            <w:bottom w:val="none" w:sz="0" w:space="0" w:color="auto"/>
            <w:right w:val="none" w:sz="0" w:space="0" w:color="auto"/>
          </w:divBdr>
        </w:div>
      </w:divsChild>
    </w:div>
    <w:div w:id="1272517620">
      <w:bodyDiv w:val="1"/>
      <w:marLeft w:val="0"/>
      <w:marRight w:val="0"/>
      <w:marTop w:val="0"/>
      <w:marBottom w:val="0"/>
      <w:divBdr>
        <w:top w:val="none" w:sz="0" w:space="0" w:color="auto"/>
        <w:left w:val="none" w:sz="0" w:space="0" w:color="auto"/>
        <w:bottom w:val="none" w:sz="0" w:space="0" w:color="auto"/>
        <w:right w:val="none" w:sz="0" w:space="0" w:color="auto"/>
      </w:divBdr>
      <w:divsChild>
        <w:div w:id="225265324">
          <w:marLeft w:val="0"/>
          <w:marRight w:val="0"/>
          <w:marTop w:val="0"/>
          <w:marBottom w:val="0"/>
          <w:divBdr>
            <w:top w:val="none" w:sz="0" w:space="0" w:color="auto"/>
            <w:left w:val="none" w:sz="0" w:space="0" w:color="auto"/>
            <w:bottom w:val="none" w:sz="0" w:space="0" w:color="auto"/>
            <w:right w:val="none" w:sz="0" w:space="0" w:color="auto"/>
          </w:divBdr>
        </w:div>
      </w:divsChild>
    </w:div>
    <w:div w:id="1273632610">
      <w:bodyDiv w:val="1"/>
      <w:marLeft w:val="0"/>
      <w:marRight w:val="0"/>
      <w:marTop w:val="0"/>
      <w:marBottom w:val="0"/>
      <w:divBdr>
        <w:top w:val="none" w:sz="0" w:space="0" w:color="auto"/>
        <w:left w:val="none" w:sz="0" w:space="0" w:color="auto"/>
        <w:bottom w:val="none" w:sz="0" w:space="0" w:color="auto"/>
        <w:right w:val="none" w:sz="0" w:space="0" w:color="auto"/>
      </w:divBdr>
    </w:div>
    <w:div w:id="1299455212">
      <w:bodyDiv w:val="1"/>
      <w:marLeft w:val="0"/>
      <w:marRight w:val="0"/>
      <w:marTop w:val="0"/>
      <w:marBottom w:val="0"/>
      <w:divBdr>
        <w:top w:val="none" w:sz="0" w:space="0" w:color="auto"/>
        <w:left w:val="none" w:sz="0" w:space="0" w:color="auto"/>
        <w:bottom w:val="none" w:sz="0" w:space="0" w:color="auto"/>
        <w:right w:val="none" w:sz="0" w:space="0" w:color="auto"/>
      </w:divBdr>
    </w:div>
    <w:div w:id="1302342033">
      <w:bodyDiv w:val="1"/>
      <w:marLeft w:val="0"/>
      <w:marRight w:val="0"/>
      <w:marTop w:val="0"/>
      <w:marBottom w:val="0"/>
      <w:divBdr>
        <w:top w:val="none" w:sz="0" w:space="0" w:color="auto"/>
        <w:left w:val="none" w:sz="0" w:space="0" w:color="auto"/>
        <w:bottom w:val="none" w:sz="0" w:space="0" w:color="auto"/>
        <w:right w:val="none" w:sz="0" w:space="0" w:color="auto"/>
      </w:divBdr>
    </w:div>
    <w:div w:id="1311442589">
      <w:bodyDiv w:val="1"/>
      <w:marLeft w:val="0"/>
      <w:marRight w:val="0"/>
      <w:marTop w:val="0"/>
      <w:marBottom w:val="0"/>
      <w:divBdr>
        <w:top w:val="none" w:sz="0" w:space="0" w:color="auto"/>
        <w:left w:val="none" w:sz="0" w:space="0" w:color="auto"/>
        <w:bottom w:val="none" w:sz="0" w:space="0" w:color="auto"/>
        <w:right w:val="none" w:sz="0" w:space="0" w:color="auto"/>
      </w:divBdr>
      <w:divsChild>
        <w:div w:id="1796682074">
          <w:marLeft w:val="0"/>
          <w:marRight w:val="0"/>
          <w:marTop w:val="0"/>
          <w:marBottom w:val="0"/>
          <w:divBdr>
            <w:top w:val="none" w:sz="0" w:space="0" w:color="auto"/>
            <w:left w:val="none" w:sz="0" w:space="0" w:color="auto"/>
            <w:bottom w:val="none" w:sz="0" w:space="0" w:color="auto"/>
            <w:right w:val="none" w:sz="0" w:space="0" w:color="auto"/>
          </w:divBdr>
          <w:divsChild>
            <w:div w:id="1708287610">
              <w:marLeft w:val="0"/>
              <w:marRight w:val="0"/>
              <w:marTop w:val="0"/>
              <w:marBottom w:val="0"/>
              <w:divBdr>
                <w:top w:val="none" w:sz="0" w:space="0" w:color="auto"/>
                <w:left w:val="none" w:sz="0" w:space="0" w:color="auto"/>
                <w:bottom w:val="none" w:sz="0" w:space="0" w:color="auto"/>
                <w:right w:val="none" w:sz="0" w:space="0" w:color="auto"/>
              </w:divBdr>
              <w:divsChild>
                <w:div w:id="1226256717">
                  <w:marLeft w:val="0"/>
                  <w:marRight w:val="0"/>
                  <w:marTop w:val="0"/>
                  <w:marBottom w:val="0"/>
                  <w:divBdr>
                    <w:top w:val="none" w:sz="0" w:space="0" w:color="auto"/>
                    <w:left w:val="none" w:sz="0" w:space="0" w:color="auto"/>
                    <w:bottom w:val="none" w:sz="0" w:space="0" w:color="auto"/>
                    <w:right w:val="none" w:sz="0" w:space="0" w:color="auto"/>
                  </w:divBdr>
                  <w:divsChild>
                    <w:div w:id="565798384">
                      <w:marLeft w:val="1"/>
                      <w:marRight w:val="1"/>
                      <w:marTop w:val="0"/>
                      <w:marBottom w:val="0"/>
                      <w:divBdr>
                        <w:top w:val="none" w:sz="0" w:space="0" w:color="auto"/>
                        <w:left w:val="none" w:sz="0" w:space="0" w:color="auto"/>
                        <w:bottom w:val="none" w:sz="0" w:space="0" w:color="auto"/>
                        <w:right w:val="none" w:sz="0" w:space="0" w:color="auto"/>
                      </w:divBdr>
                      <w:divsChild>
                        <w:div w:id="1249726660">
                          <w:marLeft w:val="0"/>
                          <w:marRight w:val="0"/>
                          <w:marTop w:val="0"/>
                          <w:marBottom w:val="0"/>
                          <w:divBdr>
                            <w:top w:val="none" w:sz="0" w:space="0" w:color="auto"/>
                            <w:left w:val="none" w:sz="0" w:space="0" w:color="auto"/>
                            <w:bottom w:val="none" w:sz="0" w:space="0" w:color="auto"/>
                            <w:right w:val="none" w:sz="0" w:space="0" w:color="auto"/>
                          </w:divBdr>
                          <w:divsChild>
                            <w:div w:id="1099713503">
                              <w:marLeft w:val="0"/>
                              <w:marRight w:val="0"/>
                              <w:marTop w:val="0"/>
                              <w:marBottom w:val="360"/>
                              <w:divBdr>
                                <w:top w:val="none" w:sz="0" w:space="0" w:color="auto"/>
                                <w:left w:val="none" w:sz="0" w:space="0" w:color="auto"/>
                                <w:bottom w:val="none" w:sz="0" w:space="0" w:color="auto"/>
                                <w:right w:val="none" w:sz="0" w:space="0" w:color="auto"/>
                              </w:divBdr>
                              <w:divsChild>
                                <w:div w:id="637491471">
                                  <w:marLeft w:val="0"/>
                                  <w:marRight w:val="0"/>
                                  <w:marTop w:val="0"/>
                                  <w:marBottom w:val="0"/>
                                  <w:divBdr>
                                    <w:top w:val="none" w:sz="0" w:space="0" w:color="auto"/>
                                    <w:left w:val="none" w:sz="0" w:space="0" w:color="auto"/>
                                    <w:bottom w:val="none" w:sz="0" w:space="0" w:color="auto"/>
                                    <w:right w:val="none" w:sz="0" w:space="0" w:color="auto"/>
                                  </w:divBdr>
                                  <w:divsChild>
                                    <w:div w:id="1811241387">
                                      <w:marLeft w:val="0"/>
                                      <w:marRight w:val="0"/>
                                      <w:marTop w:val="0"/>
                                      <w:marBottom w:val="0"/>
                                      <w:divBdr>
                                        <w:top w:val="none" w:sz="0" w:space="0" w:color="auto"/>
                                        <w:left w:val="none" w:sz="0" w:space="0" w:color="auto"/>
                                        <w:bottom w:val="none" w:sz="0" w:space="0" w:color="auto"/>
                                        <w:right w:val="none" w:sz="0" w:space="0" w:color="auto"/>
                                      </w:divBdr>
                                      <w:divsChild>
                                        <w:div w:id="1824928304">
                                          <w:marLeft w:val="0"/>
                                          <w:marRight w:val="0"/>
                                          <w:marTop w:val="0"/>
                                          <w:marBottom w:val="0"/>
                                          <w:divBdr>
                                            <w:top w:val="none" w:sz="0" w:space="0" w:color="auto"/>
                                            <w:left w:val="none" w:sz="0" w:space="0" w:color="auto"/>
                                            <w:bottom w:val="none" w:sz="0" w:space="0" w:color="auto"/>
                                            <w:right w:val="none" w:sz="0" w:space="0" w:color="auto"/>
                                          </w:divBdr>
                                          <w:divsChild>
                                            <w:div w:id="1992902153">
                                              <w:marLeft w:val="0"/>
                                              <w:marRight w:val="0"/>
                                              <w:marTop w:val="0"/>
                                              <w:marBottom w:val="0"/>
                                              <w:divBdr>
                                                <w:top w:val="none" w:sz="0" w:space="0" w:color="auto"/>
                                                <w:left w:val="none" w:sz="0" w:space="0" w:color="auto"/>
                                                <w:bottom w:val="none" w:sz="0" w:space="0" w:color="auto"/>
                                                <w:right w:val="none" w:sz="0" w:space="0" w:color="auto"/>
                                              </w:divBdr>
                                              <w:divsChild>
                                                <w:div w:id="839077229">
                                                  <w:marLeft w:val="0"/>
                                                  <w:marRight w:val="0"/>
                                                  <w:marTop w:val="0"/>
                                                  <w:marBottom w:val="0"/>
                                                  <w:divBdr>
                                                    <w:top w:val="none" w:sz="0" w:space="0" w:color="auto"/>
                                                    <w:left w:val="none" w:sz="0" w:space="0" w:color="auto"/>
                                                    <w:bottom w:val="none" w:sz="0" w:space="0" w:color="auto"/>
                                                    <w:right w:val="none" w:sz="0" w:space="0" w:color="auto"/>
                                                  </w:divBdr>
                                                  <w:divsChild>
                                                    <w:div w:id="1958831933">
                                                      <w:marLeft w:val="0"/>
                                                      <w:marRight w:val="0"/>
                                                      <w:marTop w:val="0"/>
                                                      <w:marBottom w:val="0"/>
                                                      <w:divBdr>
                                                        <w:top w:val="none" w:sz="0" w:space="0" w:color="auto"/>
                                                        <w:left w:val="none" w:sz="0" w:space="0" w:color="auto"/>
                                                        <w:bottom w:val="none" w:sz="0" w:space="0" w:color="auto"/>
                                                        <w:right w:val="none" w:sz="0" w:space="0" w:color="auto"/>
                                                      </w:divBdr>
                                                      <w:divsChild>
                                                        <w:div w:id="16394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1755164">
      <w:bodyDiv w:val="1"/>
      <w:marLeft w:val="0"/>
      <w:marRight w:val="0"/>
      <w:marTop w:val="0"/>
      <w:marBottom w:val="0"/>
      <w:divBdr>
        <w:top w:val="none" w:sz="0" w:space="0" w:color="auto"/>
        <w:left w:val="none" w:sz="0" w:space="0" w:color="auto"/>
        <w:bottom w:val="none" w:sz="0" w:space="0" w:color="auto"/>
        <w:right w:val="none" w:sz="0" w:space="0" w:color="auto"/>
      </w:divBdr>
      <w:divsChild>
        <w:div w:id="1177501853">
          <w:marLeft w:val="0"/>
          <w:marRight w:val="0"/>
          <w:marTop w:val="0"/>
          <w:marBottom w:val="0"/>
          <w:divBdr>
            <w:top w:val="none" w:sz="0" w:space="0" w:color="auto"/>
            <w:left w:val="none" w:sz="0" w:space="0" w:color="auto"/>
            <w:bottom w:val="none" w:sz="0" w:space="0" w:color="auto"/>
            <w:right w:val="none" w:sz="0" w:space="0" w:color="auto"/>
          </w:divBdr>
          <w:divsChild>
            <w:div w:id="1463571514">
              <w:marLeft w:val="0"/>
              <w:marRight w:val="0"/>
              <w:marTop w:val="0"/>
              <w:marBottom w:val="0"/>
              <w:divBdr>
                <w:top w:val="none" w:sz="0" w:space="0" w:color="auto"/>
                <w:left w:val="none" w:sz="0" w:space="0" w:color="auto"/>
                <w:bottom w:val="none" w:sz="0" w:space="0" w:color="auto"/>
                <w:right w:val="none" w:sz="0" w:space="0" w:color="auto"/>
              </w:divBdr>
              <w:divsChild>
                <w:div w:id="1044450464">
                  <w:marLeft w:val="0"/>
                  <w:marRight w:val="0"/>
                  <w:marTop w:val="0"/>
                  <w:marBottom w:val="0"/>
                  <w:divBdr>
                    <w:top w:val="none" w:sz="0" w:space="0" w:color="auto"/>
                    <w:left w:val="none" w:sz="0" w:space="0" w:color="auto"/>
                    <w:bottom w:val="none" w:sz="0" w:space="0" w:color="auto"/>
                    <w:right w:val="none" w:sz="0" w:space="0" w:color="auto"/>
                  </w:divBdr>
                  <w:divsChild>
                    <w:div w:id="1284850297">
                      <w:marLeft w:val="1"/>
                      <w:marRight w:val="1"/>
                      <w:marTop w:val="0"/>
                      <w:marBottom w:val="0"/>
                      <w:divBdr>
                        <w:top w:val="none" w:sz="0" w:space="0" w:color="auto"/>
                        <w:left w:val="none" w:sz="0" w:space="0" w:color="auto"/>
                        <w:bottom w:val="none" w:sz="0" w:space="0" w:color="auto"/>
                        <w:right w:val="none" w:sz="0" w:space="0" w:color="auto"/>
                      </w:divBdr>
                      <w:divsChild>
                        <w:div w:id="881743650">
                          <w:marLeft w:val="0"/>
                          <w:marRight w:val="0"/>
                          <w:marTop w:val="0"/>
                          <w:marBottom w:val="0"/>
                          <w:divBdr>
                            <w:top w:val="none" w:sz="0" w:space="0" w:color="auto"/>
                            <w:left w:val="none" w:sz="0" w:space="0" w:color="auto"/>
                            <w:bottom w:val="none" w:sz="0" w:space="0" w:color="auto"/>
                            <w:right w:val="none" w:sz="0" w:space="0" w:color="auto"/>
                          </w:divBdr>
                          <w:divsChild>
                            <w:div w:id="2012561637">
                              <w:marLeft w:val="0"/>
                              <w:marRight w:val="0"/>
                              <w:marTop w:val="0"/>
                              <w:marBottom w:val="360"/>
                              <w:divBdr>
                                <w:top w:val="none" w:sz="0" w:space="0" w:color="auto"/>
                                <w:left w:val="none" w:sz="0" w:space="0" w:color="auto"/>
                                <w:bottom w:val="none" w:sz="0" w:space="0" w:color="auto"/>
                                <w:right w:val="none" w:sz="0" w:space="0" w:color="auto"/>
                              </w:divBdr>
                              <w:divsChild>
                                <w:div w:id="92744206">
                                  <w:marLeft w:val="0"/>
                                  <w:marRight w:val="0"/>
                                  <w:marTop w:val="0"/>
                                  <w:marBottom w:val="0"/>
                                  <w:divBdr>
                                    <w:top w:val="none" w:sz="0" w:space="0" w:color="auto"/>
                                    <w:left w:val="none" w:sz="0" w:space="0" w:color="auto"/>
                                    <w:bottom w:val="none" w:sz="0" w:space="0" w:color="auto"/>
                                    <w:right w:val="none" w:sz="0" w:space="0" w:color="auto"/>
                                  </w:divBdr>
                                  <w:divsChild>
                                    <w:div w:id="1596935420">
                                      <w:marLeft w:val="0"/>
                                      <w:marRight w:val="0"/>
                                      <w:marTop w:val="0"/>
                                      <w:marBottom w:val="0"/>
                                      <w:divBdr>
                                        <w:top w:val="none" w:sz="0" w:space="0" w:color="auto"/>
                                        <w:left w:val="none" w:sz="0" w:space="0" w:color="auto"/>
                                        <w:bottom w:val="none" w:sz="0" w:space="0" w:color="auto"/>
                                        <w:right w:val="none" w:sz="0" w:space="0" w:color="auto"/>
                                      </w:divBdr>
                                      <w:divsChild>
                                        <w:div w:id="112556059">
                                          <w:marLeft w:val="0"/>
                                          <w:marRight w:val="0"/>
                                          <w:marTop w:val="0"/>
                                          <w:marBottom w:val="0"/>
                                          <w:divBdr>
                                            <w:top w:val="none" w:sz="0" w:space="0" w:color="auto"/>
                                            <w:left w:val="none" w:sz="0" w:space="0" w:color="auto"/>
                                            <w:bottom w:val="none" w:sz="0" w:space="0" w:color="auto"/>
                                            <w:right w:val="none" w:sz="0" w:space="0" w:color="auto"/>
                                          </w:divBdr>
                                        </w:div>
                                        <w:div w:id="327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97992">
      <w:bodyDiv w:val="1"/>
      <w:marLeft w:val="0"/>
      <w:marRight w:val="0"/>
      <w:marTop w:val="0"/>
      <w:marBottom w:val="0"/>
      <w:divBdr>
        <w:top w:val="none" w:sz="0" w:space="0" w:color="auto"/>
        <w:left w:val="none" w:sz="0" w:space="0" w:color="auto"/>
        <w:bottom w:val="none" w:sz="0" w:space="0" w:color="auto"/>
        <w:right w:val="none" w:sz="0" w:space="0" w:color="auto"/>
      </w:divBdr>
    </w:div>
    <w:div w:id="1405445381">
      <w:bodyDiv w:val="1"/>
      <w:marLeft w:val="0"/>
      <w:marRight w:val="0"/>
      <w:marTop w:val="0"/>
      <w:marBottom w:val="0"/>
      <w:divBdr>
        <w:top w:val="none" w:sz="0" w:space="0" w:color="auto"/>
        <w:left w:val="none" w:sz="0" w:space="0" w:color="auto"/>
        <w:bottom w:val="none" w:sz="0" w:space="0" w:color="auto"/>
        <w:right w:val="none" w:sz="0" w:space="0" w:color="auto"/>
      </w:divBdr>
      <w:divsChild>
        <w:div w:id="86465268">
          <w:marLeft w:val="0"/>
          <w:marRight w:val="0"/>
          <w:marTop w:val="0"/>
          <w:marBottom w:val="0"/>
          <w:divBdr>
            <w:top w:val="none" w:sz="0" w:space="0" w:color="auto"/>
            <w:left w:val="none" w:sz="0" w:space="0" w:color="auto"/>
            <w:bottom w:val="none" w:sz="0" w:space="0" w:color="auto"/>
            <w:right w:val="none" w:sz="0" w:space="0" w:color="auto"/>
          </w:divBdr>
        </w:div>
      </w:divsChild>
    </w:div>
    <w:div w:id="1411846627">
      <w:bodyDiv w:val="1"/>
      <w:marLeft w:val="0"/>
      <w:marRight w:val="0"/>
      <w:marTop w:val="0"/>
      <w:marBottom w:val="0"/>
      <w:divBdr>
        <w:top w:val="none" w:sz="0" w:space="0" w:color="auto"/>
        <w:left w:val="none" w:sz="0" w:space="0" w:color="auto"/>
        <w:bottom w:val="none" w:sz="0" w:space="0" w:color="auto"/>
        <w:right w:val="none" w:sz="0" w:space="0" w:color="auto"/>
      </w:divBdr>
    </w:div>
    <w:div w:id="1442988143">
      <w:bodyDiv w:val="1"/>
      <w:marLeft w:val="0"/>
      <w:marRight w:val="0"/>
      <w:marTop w:val="0"/>
      <w:marBottom w:val="0"/>
      <w:divBdr>
        <w:top w:val="none" w:sz="0" w:space="0" w:color="auto"/>
        <w:left w:val="none" w:sz="0" w:space="0" w:color="auto"/>
        <w:bottom w:val="none" w:sz="0" w:space="0" w:color="auto"/>
        <w:right w:val="none" w:sz="0" w:space="0" w:color="auto"/>
      </w:divBdr>
    </w:div>
    <w:div w:id="1467746911">
      <w:bodyDiv w:val="1"/>
      <w:marLeft w:val="0"/>
      <w:marRight w:val="0"/>
      <w:marTop w:val="0"/>
      <w:marBottom w:val="0"/>
      <w:divBdr>
        <w:top w:val="none" w:sz="0" w:space="0" w:color="auto"/>
        <w:left w:val="none" w:sz="0" w:space="0" w:color="auto"/>
        <w:bottom w:val="none" w:sz="0" w:space="0" w:color="auto"/>
        <w:right w:val="none" w:sz="0" w:space="0" w:color="auto"/>
      </w:divBdr>
    </w:div>
    <w:div w:id="1496529286">
      <w:bodyDiv w:val="1"/>
      <w:marLeft w:val="0"/>
      <w:marRight w:val="0"/>
      <w:marTop w:val="0"/>
      <w:marBottom w:val="0"/>
      <w:divBdr>
        <w:top w:val="none" w:sz="0" w:space="0" w:color="auto"/>
        <w:left w:val="none" w:sz="0" w:space="0" w:color="auto"/>
        <w:bottom w:val="none" w:sz="0" w:space="0" w:color="auto"/>
        <w:right w:val="none" w:sz="0" w:space="0" w:color="auto"/>
      </w:divBdr>
    </w:div>
    <w:div w:id="1504853881">
      <w:bodyDiv w:val="1"/>
      <w:marLeft w:val="0"/>
      <w:marRight w:val="0"/>
      <w:marTop w:val="0"/>
      <w:marBottom w:val="0"/>
      <w:divBdr>
        <w:top w:val="none" w:sz="0" w:space="0" w:color="auto"/>
        <w:left w:val="none" w:sz="0" w:space="0" w:color="auto"/>
        <w:bottom w:val="none" w:sz="0" w:space="0" w:color="auto"/>
        <w:right w:val="none" w:sz="0" w:space="0" w:color="auto"/>
      </w:divBdr>
    </w:div>
    <w:div w:id="1517311701">
      <w:bodyDiv w:val="1"/>
      <w:marLeft w:val="0"/>
      <w:marRight w:val="0"/>
      <w:marTop w:val="0"/>
      <w:marBottom w:val="0"/>
      <w:divBdr>
        <w:top w:val="none" w:sz="0" w:space="0" w:color="auto"/>
        <w:left w:val="none" w:sz="0" w:space="0" w:color="auto"/>
        <w:bottom w:val="none" w:sz="0" w:space="0" w:color="auto"/>
        <w:right w:val="none" w:sz="0" w:space="0" w:color="auto"/>
      </w:divBdr>
    </w:div>
    <w:div w:id="1520779756">
      <w:bodyDiv w:val="1"/>
      <w:marLeft w:val="0"/>
      <w:marRight w:val="0"/>
      <w:marTop w:val="0"/>
      <w:marBottom w:val="0"/>
      <w:divBdr>
        <w:top w:val="none" w:sz="0" w:space="0" w:color="auto"/>
        <w:left w:val="none" w:sz="0" w:space="0" w:color="auto"/>
        <w:bottom w:val="none" w:sz="0" w:space="0" w:color="auto"/>
        <w:right w:val="none" w:sz="0" w:space="0" w:color="auto"/>
      </w:divBdr>
    </w:div>
    <w:div w:id="1534615676">
      <w:bodyDiv w:val="1"/>
      <w:marLeft w:val="0"/>
      <w:marRight w:val="0"/>
      <w:marTop w:val="0"/>
      <w:marBottom w:val="0"/>
      <w:divBdr>
        <w:top w:val="none" w:sz="0" w:space="0" w:color="auto"/>
        <w:left w:val="none" w:sz="0" w:space="0" w:color="auto"/>
        <w:bottom w:val="none" w:sz="0" w:space="0" w:color="auto"/>
        <w:right w:val="none" w:sz="0" w:space="0" w:color="auto"/>
      </w:divBdr>
    </w:div>
    <w:div w:id="1573470446">
      <w:bodyDiv w:val="1"/>
      <w:marLeft w:val="0"/>
      <w:marRight w:val="0"/>
      <w:marTop w:val="0"/>
      <w:marBottom w:val="0"/>
      <w:divBdr>
        <w:top w:val="none" w:sz="0" w:space="0" w:color="auto"/>
        <w:left w:val="none" w:sz="0" w:space="0" w:color="auto"/>
        <w:bottom w:val="none" w:sz="0" w:space="0" w:color="auto"/>
        <w:right w:val="none" w:sz="0" w:space="0" w:color="auto"/>
      </w:divBdr>
    </w:div>
    <w:div w:id="1587760991">
      <w:bodyDiv w:val="1"/>
      <w:marLeft w:val="0"/>
      <w:marRight w:val="0"/>
      <w:marTop w:val="0"/>
      <w:marBottom w:val="0"/>
      <w:divBdr>
        <w:top w:val="none" w:sz="0" w:space="0" w:color="auto"/>
        <w:left w:val="none" w:sz="0" w:space="0" w:color="auto"/>
        <w:bottom w:val="none" w:sz="0" w:space="0" w:color="auto"/>
        <w:right w:val="none" w:sz="0" w:space="0" w:color="auto"/>
      </w:divBdr>
    </w:div>
    <w:div w:id="1626351259">
      <w:bodyDiv w:val="1"/>
      <w:marLeft w:val="0"/>
      <w:marRight w:val="0"/>
      <w:marTop w:val="0"/>
      <w:marBottom w:val="0"/>
      <w:divBdr>
        <w:top w:val="none" w:sz="0" w:space="0" w:color="auto"/>
        <w:left w:val="none" w:sz="0" w:space="0" w:color="auto"/>
        <w:bottom w:val="none" w:sz="0" w:space="0" w:color="auto"/>
        <w:right w:val="none" w:sz="0" w:space="0" w:color="auto"/>
      </w:divBdr>
    </w:div>
    <w:div w:id="1648777698">
      <w:bodyDiv w:val="1"/>
      <w:marLeft w:val="0"/>
      <w:marRight w:val="0"/>
      <w:marTop w:val="0"/>
      <w:marBottom w:val="0"/>
      <w:divBdr>
        <w:top w:val="none" w:sz="0" w:space="0" w:color="auto"/>
        <w:left w:val="none" w:sz="0" w:space="0" w:color="auto"/>
        <w:bottom w:val="none" w:sz="0" w:space="0" w:color="auto"/>
        <w:right w:val="none" w:sz="0" w:space="0" w:color="auto"/>
      </w:divBdr>
    </w:div>
    <w:div w:id="1709067695">
      <w:bodyDiv w:val="1"/>
      <w:marLeft w:val="0"/>
      <w:marRight w:val="0"/>
      <w:marTop w:val="0"/>
      <w:marBottom w:val="0"/>
      <w:divBdr>
        <w:top w:val="none" w:sz="0" w:space="0" w:color="auto"/>
        <w:left w:val="none" w:sz="0" w:space="0" w:color="auto"/>
        <w:bottom w:val="none" w:sz="0" w:space="0" w:color="auto"/>
        <w:right w:val="none" w:sz="0" w:space="0" w:color="auto"/>
      </w:divBdr>
    </w:div>
    <w:div w:id="1721317163">
      <w:bodyDiv w:val="1"/>
      <w:marLeft w:val="0"/>
      <w:marRight w:val="0"/>
      <w:marTop w:val="0"/>
      <w:marBottom w:val="0"/>
      <w:divBdr>
        <w:top w:val="none" w:sz="0" w:space="0" w:color="auto"/>
        <w:left w:val="none" w:sz="0" w:space="0" w:color="auto"/>
        <w:bottom w:val="none" w:sz="0" w:space="0" w:color="auto"/>
        <w:right w:val="none" w:sz="0" w:space="0" w:color="auto"/>
      </w:divBdr>
    </w:div>
    <w:div w:id="1757356912">
      <w:bodyDiv w:val="1"/>
      <w:marLeft w:val="0"/>
      <w:marRight w:val="0"/>
      <w:marTop w:val="0"/>
      <w:marBottom w:val="0"/>
      <w:divBdr>
        <w:top w:val="none" w:sz="0" w:space="0" w:color="auto"/>
        <w:left w:val="none" w:sz="0" w:space="0" w:color="auto"/>
        <w:bottom w:val="none" w:sz="0" w:space="0" w:color="auto"/>
        <w:right w:val="none" w:sz="0" w:space="0" w:color="auto"/>
      </w:divBdr>
    </w:div>
    <w:div w:id="1778216223">
      <w:bodyDiv w:val="1"/>
      <w:marLeft w:val="0"/>
      <w:marRight w:val="0"/>
      <w:marTop w:val="0"/>
      <w:marBottom w:val="0"/>
      <w:divBdr>
        <w:top w:val="none" w:sz="0" w:space="0" w:color="auto"/>
        <w:left w:val="none" w:sz="0" w:space="0" w:color="auto"/>
        <w:bottom w:val="none" w:sz="0" w:space="0" w:color="auto"/>
        <w:right w:val="none" w:sz="0" w:space="0" w:color="auto"/>
      </w:divBdr>
    </w:div>
    <w:div w:id="1778677236">
      <w:bodyDiv w:val="1"/>
      <w:marLeft w:val="0"/>
      <w:marRight w:val="0"/>
      <w:marTop w:val="0"/>
      <w:marBottom w:val="0"/>
      <w:divBdr>
        <w:top w:val="none" w:sz="0" w:space="0" w:color="auto"/>
        <w:left w:val="none" w:sz="0" w:space="0" w:color="auto"/>
        <w:bottom w:val="none" w:sz="0" w:space="0" w:color="auto"/>
        <w:right w:val="none" w:sz="0" w:space="0" w:color="auto"/>
      </w:divBdr>
    </w:div>
    <w:div w:id="1782801291">
      <w:bodyDiv w:val="1"/>
      <w:marLeft w:val="0"/>
      <w:marRight w:val="0"/>
      <w:marTop w:val="0"/>
      <w:marBottom w:val="0"/>
      <w:divBdr>
        <w:top w:val="none" w:sz="0" w:space="0" w:color="auto"/>
        <w:left w:val="none" w:sz="0" w:space="0" w:color="auto"/>
        <w:bottom w:val="none" w:sz="0" w:space="0" w:color="auto"/>
        <w:right w:val="none" w:sz="0" w:space="0" w:color="auto"/>
      </w:divBdr>
      <w:divsChild>
        <w:div w:id="1351831704">
          <w:marLeft w:val="0"/>
          <w:marRight w:val="0"/>
          <w:marTop w:val="0"/>
          <w:marBottom w:val="0"/>
          <w:divBdr>
            <w:top w:val="none" w:sz="0" w:space="0" w:color="auto"/>
            <w:left w:val="none" w:sz="0" w:space="0" w:color="auto"/>
            <w:bottom w:val="none" w:sz="0" w:space="0" w:color="auto"/>
            <w:right w:val="none" w:sz="0" w:space="0" w:color="auto"/>
          </w:divBdr>
        </w:div>
        <w:div w:id="1367873283">
          <w:marLeft w:val="0"/>
          <w:marRight w:val="0"/>
          <w:marTop w:val="0"/>
          <w:marBottom w:val="0"/>
          <w:divBdr>
            <w:top w:val="none" w:sz="0" w:space="0" w:color="auto"/>
            <w:left w:val="none" w:sz="0" w:space="0" w:color="auto"/>
            <w:bottom w:val="none" w:sz="0" w:space="0" w:color="auto"/>
            <w:right w:val="none" w:sz="0" w:space="0" w:color="auto"/>
          </w:divBdr>
        </w:div>
      </w:divsChild>
    </w:div>
    <w:div w:id="1832720335">
      <w:bodyDiv w:val="1"/>
      <w:marLeft w:val="0"/>
      <w:marRight w:val="0"/>
      <w:marTop w:val="0"/>
      <w:marBottom w:val="0"/>
      <w:divBdr>
        <w:top w:val="none" w:sz="0" w:space="0" w:color="auto"/>
        <w:left w:val="none" w:sz="0" w:space="0" w:color="auto"/>
        <w:bottom w:val="none" w:sz="0" w:space="0" w:color="auto"/>
        <w:right w:val="none" w:sz="0" w:space="0" w:color="auto"/>
      </w:divBdr>
    </w:div>
    <w:div w:id="1854831628">
      <w:bodyDiv w:val="1"/>
      <w:marLeft w:val="0"/>
      <w:marRight w:val="0"/>
      <w:marTop w:val="0"/>
      <w:marBottom w:val="0"/>
      <w:divBdr>
        <w:top w:val="none" w:sz="0" w:space="0" w:color="auto"/>
        <w:left w:val="none" w:sz="0" w:space="0" w:color="auto"/>
        <w:bottom w:val="none" w:sz="0" w:space="0" w:color="auto"/>
        <w:right w:val="none" w:sz="0" w:space="0" w:color="auto"/>
      </w:divBdr>
    </w:div>
    <w:div w:id="1855921783">
      <w:bodyDiv w:val="1"/>
      <w:marLeft w:val="0"/>
      <w:marRight w:val="0"/>
      <w:marTop w:val="0"/>
      <w:marBottom w:val="0"/>
      <w:divBdr>
        <w:top w:val="none" w:sz="0" w:space="0" w:color="auto"/>
        <w:left w:val="none" w:sz="0" w:space="0" w:color="auto"/>
        <w:bottom w:val="none" w:sz="0" w:space="0" w:color="auto"/>
        <w:right w:val="none" w:sz="0" w:space="0" w:color="auto"/>
      </w:divBdr>
    </w:div>
    <w:div w:id="1877498511">
      <w:bodyDiv w:val="1"/>
      <w:marLeft w:val="0"/>
      <w:marRight w:val="0"/>
      <w:marTop w:val="0"/>
      <w:marBottom w:val="0"/>
      <w:divBdr>
        <w:top w:val="none" w:sz="0" w:space="0" w:color="auto"/>
        <w:left w:val="none" w:sz="0" w:space="0" w:color="auto"/>
        <w:bottom w:val="none" w:sz="0" w:space="0" w:color="auto"/>
        <w:right w:val="none" w:sz="0" w:space="0" w:color="auto"/>
      </w:divBdr>
    </w:div>
    <w:div w:id="1883322962">
      <w:bodyDiv w:val="1"/>
      <w:marLeft w:val="0"/>
      <w:marRight w:val="0"/>
      <w:marTop w:val="0"/>
      <w:marBottom w:val="0"/>
      <w:divBdr>
        <w:top w:val="none" w:sz="0" w:space="0" w:color="auto"/>
        <w:left w:val="none" w:sz="0" w:space="0" w:color="auto"/>
        <w:bottom w:val="none" w:sz="0" w:space="0" w:color="auto"/>
        <w:right w:val="none" w:sz="0" w:space="0" w:color="auto"/>
      </w:divBdr>
    </w:div>
    <w:div w:id="1927692422">
      <w:bodyDiv w:val="1"/>
      <w:marLeft w:val="0"/>
      <w:marRight w:val="0"/>
      <w:marTop w:val="0"/>
      <w:marBottom w:val="0"/>
      <w:divBdr>
        <w:top w:val="none" w:sz="0" w:space="0" w:color="auto"/>
        <w:left w:val="none" w:sz="0" w:space="0" w:color="auto"/>
        <w:bottom w:val="none" w:sz="0" w:space="0" w:color="auto"/>
        <w:right w:val="none" w:sz="0" w:space="0" w:color="auto"/>
      </w:divBdr>
    </w:div>
    <w:div w:id="1967856226">
      <w:bodyDiv w:val="1"/>
      <w:marLeft w:val="0"/>
      <w:marRight w:val="0"/>
      <w:marTop w:val="0"/>
      <w:marBottom w:val="0"/>
      <w:divBdr>
        <w:top w:val="none" w:sz="0" w:space="0" w:color="auto"/>
        <w:left w:val="none" w:sz="0" w:space="0" w:color="auto"/>
        <w:bottom w:val="none" w:sz="0" w:space="0" w:color="auto"/>
        <w:right w:val="none" w:sz="0" w:space="0" w:color="auto"/>
      </w:divBdr>
    </w:div>
    <w:div w:id="2049909635">
      <w:bodyDiv w:val="1"/>
      <w:marLeft w:val="0"/>
      <w:marRight w:val="0"/>
      <w:marTop w:val="0"/>
      <w:marBottom w:val="0"/>
      <w:divBdr>
        <w:top w:val="none" w:sz="0" w:space="0" w:color="auto"/>
        <w:left w:val="none" w:sz="0" w:space="0" w:color="auto"/>
        <w:bottom w:val="none" w:sz="0" w:space="0" w:color="auto"/>
        <w:right w:val="none" w:sz="0" w:space="0" w:color="auto"/>
      </w:divBdr>
    </w:div>
    <w:div w:id="2052414086">
      <w:bodyDiv w:val="1"/>
      <w:marLeft w:val="0"/>
      <w:marRight w:val="0"/>
      <w:marTop w:val="0"/>
      <w:marBottom w:val="0"/>
      <w:divBdr>
        <w:top w:val="none" w:sz="0" w:space="0" w:color="auto"/>
        <w:left w:val="none" w:sz="0" w:space="0" w:color="auto"/>
        <w:bottom w:val="none" w:sz="0" w:space="0" w:color="auto"/>
        <w:right w:val="none" w:sz="0" w:space="0" w:color="auto"/>
      </w:divBdr>
    </w:div>
    <w:div w:id="2071659149">
      <w:bodyDiv w:val="1"/>
      <w:marLeft w:val="0"/>
      <w:marRight w:val="0"/>
      <w:marTop w:val="0"/>
      <w:marBottom w:val="0"/>
      <w:divBdr>
        <w:top w:val="none" w:sz="0" w:space="0" w:color="auto"/>
        <w:left w:val="none" w:sz="0" w:space="0" w:color="auto"/>
        <w:bottom w:val="none" w:sz="0" w:space="0" w:color="auto"/>
        <w:right w:val="none" w:sz="0" w:space="0" w:color="auto"/>
      </w:divBdr>
    </w:div>
    <w:div w:id="2071876775">
      <w:bodyDiv w:val="1"/>
      <w:marLeft w:val="0"/>
      <w:marRight w:val="0"/>
      <w:marTop w:val="0"/>
      <w:marBottom w:val="0"/>
      <w:divBdr>
        <w:top w:val="none" w:sz="0" w:space="0" w:color="auto"/>
        <w:left w:val="none" w:sz="0" w:space="0" w:color="auto"/>
        <w:bottom w:val="none" w:sz="0" w:space="0" w:color="auto"/>
        <w:right w:val="none" w:sz="0" w:space="0" w:color="auto"/>
      </w:divBdr>
    </w:div>
    <w:div w:id="2089960155">
      <w:bodyDiv w:val="1"/>
      <w:marLeft w:val="0"/>
      <w:marRight w:val="0"/>
      <w:marTop w:val="0"/>
      <w:marBottom w:val="0"/>
      <w:divBdr>
        <w:top w:val="none" w:sz="0" w:space="0" w:color="auto"/>
        <w:left w:val="none" w:sz="0" w:space="0" w:color="auto"/>
        <w:bottom w:val="none" w:sz="0" w:space="0" w:color="auto"/>
        <w:right w:val="none" w:sz="0" w:space="0" w:color="auto"/>
      </w:divBdr>
    </w:div>
    <w:div w:id="20965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UTO/?uri=OJ:L:2019:136:TOC" TargetMode="External"/><Relationship Id="rId2" Type="http://schemas.openxmlformats.org/officeDocument/2006/relationships/hyperlink" Target="https://ec.europa.eu/newsroom/just/items/59332" TargetMode="External"/><Relationship Id="rId1" Type="http://schemas.openxmlformats.org/officeDocument/2006/relationships/hyperlink" Target="https://ec.europa.eu/newsroom/just/items/593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de73f249-d1f7-47e9-a439-9cfc7f39a99e">EN</EC_Collab_DocumentLanguage>
    <_Status xmlns="http://schemas.microsoft.com/sharepoint/v3/fields">Not Started</_Status>
    <EC_Collab_Status xmlns="de73f249-d1f7-47e9-a439-9cfc7f39a99e">Not Started</EC_Collab_Status>
    <EC_Collab_Reference xmlns="de73f249-d1f7-47e9-a439-9cfc7f39a9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95A687319ECAE54E90D3A12635A71F9A" ma:contentTypeVersion="0" ma:contentTypeDescription="Create a new document in this library." ma:contentTypeScope="" ma:versionID="720b68c848a8da292d99a25b6a7e5caf">
  <xsd:schema xmlns:xsd="http://www.w3.org/2001/XMLSchema" xmlns:xs="http://www.w3.org/2001/XMLSchema" xmlns:p="http://schemas.microsoft.com/office/2006/metadata/properties" xmlns:ns2="http://schemas.microsoft.com/sharepoint/v3/fields" xmlns:ns3="de73f249-d1f7-47e9-a439-9cfc7f39a99e" targetNamespace="http://schemas.microsoft.com/office/2006/metadata/properties" ma:root="true" ma:fieldsID="da821adfae5158d203b12f455d1467bd" ns2:_="" ns3:_="">
    <xsd:import namespace="http://schemas.microsoft.com/sharepoint/v3/fields"/>
    <xsd:import namespace="de73f249-d1f7-47e9-a439-9cfc7f39a99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e73f249-d1f7-47e9-a439-9cfc7f39a99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18615-B3B8-474E-AF41-5A3FC4D23CF6}">
  <ds:schemaRefs>
    <ds:schemaRef ds:uri="http://schemas.microsoft.com/sharepoint/events"/>
  </ds:schemaRefs>
</ds:datastoreItem>
</file>

<file path=customXml/itemProps2.xml><?xml version="1.0" encoding="utf-8"?>
<ds:datastoreItem xmlns:ds="http://schemas.openxmlformats.org/officeDocument/2006/customXml" ds:itemID="{ED3116C5-954A-4601-A288-DB818625D203}">
  <ds:schemaRefs>
    <ds:schemaRef ds:uri="http://schemas.microsoft.com/office/2006/metadata/properties"/>
    <ds:schemaRef ds:uri="http://schemas.microsoft.com/office/infopath/2007/PartnerControls"/>
    <ds:schemaRef ds:uri="de73f249-d1f7-47e9-a439-9cfc7f39a99e"/>
    <ds:schemaRef ds:uri="http://schemas.microsoft.com/sharepoint/v3/fields"/>
  </ds:schemaRefs>
</ds:datastoreItem>
</file>

<file path=customXml/itemProps3.xml><?xml version="1.0" encoding="utf-8"?>
<ds:datastoreItem xmlns:ds="http://schemas.openxmlformats.org/officeDocument/2006/customXml" ds:itemID="{81DB3044-2820-42DA-9685-93A8A269AA9B}">
  <ds:schemaRefs>
    <ds:schemaRef ds:uri="http://schemas.microsoft.com/sharepoint/v3/contenttype/forms"/>
  </ds:schemaRefs>
</ds:datastoreItem>
</file>

<file path=customXml/itemProps4.xml><?xml version="1.0" encoding="utf-8"?>
<ds:datastoreItem xmlns:ds="http://schemas.openxmlformats.org/officeDocument/2006/customXml" ds:itemID="{8299A134-1DDD-4CCC-84A4-67C70F099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e73f249-d1f7-47e9-a439-9cfc7f39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467F0A-BB2C-47E8-8A45-AA3E0BDE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22</TotalTime>
  <Pages>30</Pages>
  <Words>11926</Words>
  <Characters>67147</Characters>
  <Application>Microsoft Office Word</Application>
  <DocSecurity>0</DocSecurity>
  <Lines>1100</Lines>
  <Paragraphs>366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40</cp:revision>
  <cp:lastPrinted>2022-03-24T09:33:00Z</cp:lastPrinted>
  <dcterms:created xsi:type="dcterms:W3CDTF">2022-03-29T07:32:00Z</dcterms:created>
  <dcterms:modified xsi:type="dcterms:W3CDTF">2022-03-30T09:39:00Z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8.0, Build 20220128</vt:lpwstr>
  </property>
  <property fmtid="{D5CDD505-2E9C-101B-9397-08002B2CF9AE}" pid="5" name="ContentTypeId">
    <vt:lpwstr>0x010100258AA79CEB83498886A3A086811232500095A687319ECAE54E90D3A12635A71F9A</vt:lpwstr>
  </property>
  <property fmtid="{D5CDD505-2E9C-101B-9397-08002B2CF9AE}" pid="6" name="IsMyDocuments">
    <vt:bool>true</vt:bool>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_dlc_DocIdItemGuid">
    <vt:lpwstr>e49803a0-bede-489d-8b94-2fd16901397e</vt:lpwstr>
  </property>
  <property fmtid="{D5CDD505-2E9C-101B-9397-08002B2CF9AE}" pid="11" name="DQCStatus">
    <vt:lpwstr>Yellow (DQC version 03)</vt:lpwstr>
  </property>
</Properties>
</file>